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BITFARMS LTD.</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STRONGHOLD DIGITAL MINING,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001-40931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142875</wp:posOffset>
            </wp:positionV>
            <wp:extent cx="2031365"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Provides August 2024 Production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Operations Update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Bitfarms to Acquire Stronghold Digital Mining, Increasing 2025 Energy Portfolio by 47% -</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Earned 233 BTC in August 2024 &amp; Increased HODL to 1,103 BTC -</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Increased Operational Hashrate to 11.3 EH/s -</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Announces Assumption of Control of Sharon, PA Site -</w:t>
      </w:r>
    </w:p>
    <w:p>
      <w:pPr>
        <w:spacing w:after="0" w:line="205" w:lineRule="exact"/>
        <w:rPr>
          <w:sz w:val="24"/>
          <w:szCs w:val="24"/>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March 8, 2024, to its short form base shelf prospectus dated November 10, 2023.</w:t>
      </w:r>
    </w:p>
    <w:p>
      <w:pPr>
        <w:spacing w:after="0" w:line="156" w:lineRule="exact"/>
        <w:rPr>
          <w:sz w:val="24"/>
          <w:szCs w:val="24"/>
          <w:color w:val="auto"/>
        </w:rPr>
      </w:pPr>
    </w:p>
    <w:p>
      <w:pPr>
        <w:jc w:val="both"/>
        <w:ind w:hanging="1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(September 3, 2024) </w:t>
      </w:r>
      <w:r>
        <w:rPr>
          <w:rFonts w:ascii="Times New Roman" w:cs="Times New Roman" w:eastAsia="Times New Roman" w:hAnsi="Times New Roman"/>
          <w:sz w:val="18"/>
          <w:szCs w:val="18"/>
          <w:color w:val="auto"/>
        </w:rPr>
        <w:t>- Bitfarms Ltd. (NASDAQ/TSX: BITF), a global leader in vertically integrated Bitcoin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center operations, is pleased to announce its latest monthly production report alongside an important update on its fleet upgrade and expansion initiatives. All financial references in this release are in U.S. dollars.</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Expansion and Energy Portfolio Enhancement</w:t>
      </w:r>
    </w:p>
    <w:p>
      <w:pPr>
        <w:spacing w:after="0" w:line="229" w:lineRule="exact"/>
        <w:rPr>
          <w:sz w:val="24"/>
          <w:szCs w:val="24"/>
          <w:color w:val="auto"/>
        </w:rPr>
      </w:pPr>
    </w:p>
    <w:p>
      <w:pPr>
        <w:jc w:val="both"/>
        <w:ind w:hanging="8"/>
        <w:spacing w:after="0" w:line="258" w:lineRule="auto"/>
        <w:rPr>
          <w:sz w:val="20"/>
          <w:szCs w:val="20"/>
          <w:color w:val="auto"/>
        </w:rPr>
      </w:pPr>
      <w:r>
        <w:rPr>
          <w:rFonts w:ascii="Times New Roman" w:cs="Times New Roman" w:eastAsia="Times New Roman" w:hAnsi="Times New Roman"/>
          <w:sz w:val="18"/>
          <w:szCs w:val="18"/>
          <w:color w:val="auto"/>
        </w:rPr>
        <w:t>Ben Gagnon, Chief Executive Officer of Bitfarms, emphasized the strategic significance of recent developments: “The acquisition of Stronghold Digital Mining marks an important advancement for Bitfarms, solidifying our position as a dominant player in both the Bitcoin mining and HPC/AI sectors. This acquisition will enable us to enhance and rebalance our energy portfolio, targeting an expansion to 950 MW by the end of 2025, with nearly 50% of our capacity based in the U.S. Additionally, we are positioning ourselves for multi-year growth with total expansion capacity of up to 1.6 GW, approximately 66% of which is located in the U.S., a substantial increase from the current 6%.”</w:t>
      </w:r>
    </w:p>
    <w:p>
      <w:pPr>
        <w:spacing w:after="0" w:line="183" w:lineRule="exact"/>
        <w:rPr>
          <w:sz w:val="24"/>
          <w:szCs w:val="24"/>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Gagnon further elaborated on the Company’s strategy: “By vertically integrating with power generation, advancing our energy trading capabilities, and securing two sites with substantial multi-year expansion potential, Bitfarms is executing a strategy that positions us to diversify our operations beyond Bitcoin mining and maximize long-term shareholder value.”</w:t>
      </w:r>
    </w:p>
    <w:p>
      <w:pPr>
        <w:spacing w:after="0" w:line="176" w:lineRule="exact"/>
        <w:rPr>
          <w:sz w:val="24"/>
          <w:szCs w:val="24"/>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In addition to the strategic acquisition, Bitfarms has assumed control of its first mega-site located in Sharon, PA, which offers access to up to 120 MW. Gagnon noted, “With this transaction, we have finalized the acquisition of 110 MW, with 30 MW expected to come online by the end of 2024. We have also signed a Letter of Intent for an additional 10 MW site, which will increase our total site capacity to 120 MW by 2025.”</w:t>
      </w:r>
    </w:p>
    <w:p>
      <w:pPr>
        <w:spacing w:after="0" w:line="17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developments underscore Bitfarms’ commitment to expanding its operational footprint and optimizing its energy strategy, further reinforcing its position as a leader in the industry.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Mining Review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Bitcoin difficulty decreased 1.3% in the month. August mining operations generated 233 BTC compared to 253 BTC in July as a result of the increase in average network difficulty during the month, partially offset by higher corporate hashrate due to the receipt of 2,744 T21 miners from Bitmain to replace the underperforming miners which are currently being installed.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August 2024</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July 2024</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August 2023</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 End Operating EH/s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BTC/Avg. EH/s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Operating EH/s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Capacity (MW)</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Hydropower (MW)</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Watts/Terahash Efficiency (w/TH)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BTC Sold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August 2024 Select Operating Highlights</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 EH/s operational at August 31, 2024, up 102% Y/Y and 2% M/M.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EH/s average operational, up 104% Y/Y and 1% M/M.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22.4 BTC/average EH/s, down 9% from the previous month due to the increase in average network difficulty.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233 BTC earned, 8% lower M/M and 39% lower Y/Y.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BTC earned daily on average, equal to ~$443,000 per day based on a BTC price of $59,000 at August 31,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5,040 T21 in transit.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3,060 - Canada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648 - Washington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1,332 - Argentina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Paraguay,</w:t>
      </w:r>
    </w:p>
    <w:p>
      <w:pPr>
        <w:spacing w:after="0" w:line="225" w:lineRule="exact"/>
        <w:rPr>
          <w:sz w:val="20"/>
          <w:szCs w:val="20"/>
          <w:color w:val="auto"/>
        </w:rPr>
      </w:pPr>
    </w:p>
    <w:p>
      <w:pPr>
        <w:ind w:left="5580" w:right="5020" w:hanging="4924"/>
        <w:spacing w:after="0" w:line="783" w:lineRule="auto"/>
        <w:tabs>
          <w:tab w:leader="none" w:pos="98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Yguazu, construction is progressing rapidly and remains on 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Bitfarms’ BTC Monthly Production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2760" w:type="dxa"/>
            <w:vAlign w:val="bottom"/>
            <w:tcBorders>
              <w:top w:val="single" w:sz="8" w:color="auto"/>
            </w:tcBorders>
          </w:tcPr>
          <w:p>
            <w:pPr>
              <w:spacing w:after="0"/>
              <w:rPr>
                <w:sz w:val="24"/>
                <w:szCs w:val="24"/>
                <w:color w:val="auto"/>
              </w:rPr>
            </w:pPr>
          </w:p>
        </w:tc>
        <w:tc>
          <w:tcPr>
            <w:tcW w:w="5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BTC Earned</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BTC Earned</w:t>
            </w:r>
          </w:p>
        </w:tc>
      </w:tr>
      <w:tr>
        <w:trPr>
          <w:trHeight w:val="245"/>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YTD Totals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2,043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3,281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August 2024 Financial Update</w:t>
      </w:r>
    </w:p>
    <w:p>
      <w:pPr>
        <w:spacing w:after="0" w:line="22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147 of the 233 BTC earned as part of the Company’s regular treasury management practice for total proceeds of $8.8 million.</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86 BTC, bringing Treasury to 1,103 BTC, up from 1,016 BTC last month and representing $65.1 million based on a BTC price of $59,000 at August 31, 2024.</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Synthetic HODL™ of 647 long-dated BTC call options at August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Upcoming Conferences and Events</w:t>
      </w:r>
    </w:p>
    <w:p>
      <w:pPr>
        <w:spacing w:after="0" w:line="229"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9-11: H.C. Wainwright 26th Annual Global Investment Conference (New York)</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October 21-22: AIM Summit (Dubai)</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13-14: Cantor Crypto, Digital Assets &amp; AI Infrastructure Conference (Miami)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692658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137160"/>
                    </a:xfrm>
                    <a:prstGeom prst="rect">
                      <a:avLst/>
                    </a:prstGeom>
                    <a:noFill/>
                  </pic:spPr>
                </pic:pic>
              </a:graphicData>
            </a:graphic>
          </wp:anchor>
        </w:drawing>
      </w:r>
    </w:p>
    <w:p>
      <w:pPr>
        <w:spacing w:after="0" w:line="205"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data center company that contributes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 The Company’s proprietary data analytics system delivers best-in-class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-559435</wp:posOffset>
            </wp:positionV>
            <wp:extent cx="7123430" cy="1508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1508760"/>
                    </a:xfrm>
                    <a:prstGeom prst="rect">
                      <a:avLst/>
                    </a:prstGeom>
                    <a:noFill/>
                  </pic:spPr>
                </pic:pic>
              </a:graphicData>
            </a:graphic>
          </wp:anchor>
        </w:drawing>
      </w:r>
    </w:p>
    <w:p>
      <w:pPr>
        <w:spacing w:after="0" w:line="160"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23430" cy="685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6858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137160"/>
                    </a:xfrm>
                    <a:prstGeom prst="rect">
                      <a:avLst/>
                    </a:prstGeom>
                    <a:noFill/>
                  </pic:spPr>
                </pic:pic>
              </a:graphicData>
            </a:graphic>
          </wp:anchor>
        </w:drawing>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Y/Y or M/M= year over year or month over month</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or BTC/day = Bitcoin or Bitcoin per day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HPC = High-performance computing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AI = Artificial intelligence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GW or GWh – Gigawatts or gigawatt hour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 or PH/s = Petahash or petahash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 or TH/s = Terahash or terahash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Synthetic HODL™ = the use of instruments that create BTC equivalent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-2586990</wp:posOffset>
            </wp:positionV>
            <wp:extent cx="7132320" cy="3566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56616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projected growth, target hashrate, opportunities relating to the Company’s geographical diversification and expansion, upgrading and deployment of miners as well as the timing therefor, closing of the Stronghold acquisition on a timely basis and on the terms as announced, the ability to integrate and successfully operate the Sharon mega-site with access to up to 120 MW, entering into a definitive lease agreement and receive regulatory approvals in respect of the letter of intent for a lease to an additional 10 MW site in Sharon, the benefits of the Stronghold acquisition and the other Sharon lease transactions (collectively, the “</w:t>
      </w:r>
      <w:r>
        <w:rPr>
          <w:rFonts w:ascii="Times New Roman" w:cs="Times New Roman" w:eastAsia="Times New Roman" w:hAnsi="Times New Roman"/>
          <w:sz w:val="18"/>
          <w:szCs w:val="18"/>
          <w:b w:val="1"/>
          <w:bCs w:val="1"/>
          <w:i w:val="1"/>
          <w:iCs w:val="1"/>
          <w:color w:val="auto"/>
        </w:rPr>
        <w:t>Sharon Acquisitions</w:t>
      </w:r>
      <w:r>
        <w:rPr>
          <w:rFonts w:ascii="Times New Roman" w:cs="Times New Roman" w:eastAsia="Times New Roman" w:hAnsi="Times New Roman"/>
          <w:sz w:val="18"/>
          <w:szCs w:val="18"/>
          <w:i w:val="1"/>
          <w:iCs w:val="1"/>
          <w:color w:val="auto"/>
        </w:rPr>
        <w:t>”) , the ability to gain access to additional electrical power and grow the hashrate of the Stronghold business and the other Sharon Acquisitions, performance of the plants and equipment upgrades and the impact on operating capacity including the target hashrate and multi-year expansion capacity, the opportunities to leverage Bitfarms’ proven expertise to successfully enhance energy efficiency and hashrate, the benefits of the growth strategy including to merge HPC / AI with Bitcoin mining operations, and other statements regarding future plans and objectives of each of Bitfarms, Stronghold and the combined company, improved financial performance and balance sheet liquidity, hashrate growth in general, energy efficiency and cost savings in general, and other growth opportunities and prospects, and other statements regarding future growth, plans and objectives of the Company are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-1787525</wp:posOffset>
            </wp:positionV>
            <wp:extent cx="7132320" cy="1783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83080"/>
                    </a:xfrm>
                    <a:prstGeom prst="rect">
                      <a:avLst/>
                    </a:prstGeom>
                    <a:noFill/>
                  </pic:spPr>
                </pic:pic>
              </a:graphicData>
            </a:graphic>
          </wp:anchor>
        </w:drawing>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-692785</wp:posOffset>
            </wp:positionV>
            <wp:extent cx="7132320" cy="685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each of Bitfarms and Stronghold at the time they were made, and involves known and unknown risks, uncertainties and other factors which may cause the actual results, performance, or achievements of each of Bitfarms and Stronghold to be materially different from any future results, performance or achievements expressed or implied by such forward-looking information. Such factors include, among others, risks relating to: receipt of the approval of the shareholders of Stronghold and the Toronto Stock Exchange for the Stronghold acquisition as well as other applicable regulatory approvals; that the Stronghold acquisition may not close within the timeframe anticipated or at all or may not close on the terms and conditions currently anticipated by the parties for a number of reasons including, without limitation, as a result of a failure to satisfy the conditions to closing of the Stronghold acquisition, the letter of intent on the 10 MW is subject to entering into a definitive lease agreement and TSX approval, none of which is assured; the power purchase agreements and economics thereof may not be as advantageous as expected; the inability of Bitfarms to operate the plants as anticipated following consummation of the Sharon Acquisitions;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and Stronghold operate and the potential adverse impact on profitability; future capital needs and the ability to complete current and future financings, including each of Bitfarms’, Stronghold’s or the combined company’s ability to utilize an at-the-market offering program (each, an “ATM Program”) and the prices at which securities may be sold in each such ATM Program, as well as capital market conditions in general; share dilution resulting from an ATM Program and from other equity issuances;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any of Bitfarms, Stronghold or the combined company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 and Stronghold’s filings on www.sec.gov, including the Annual Report on Form 10-K for the fiscal year ended 2023, filed on March 8, 2024, the Quarterly Report on Form 10-Q for the fiscal quarter ended March 31, 2024, filed on May 8, 2024, the Quarterly Report on Form 10-Q for the fiscal quarter ended June 30, 2024, filed on August 14, 2024, and subsequent reports on Forms 10-Q and 8-K. Although each of Bitfarms and Stronghold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or Stronghold, as applicable. There can be no assurance that such statements will prove to be accurate as actual results, and future events could differ materially from those anticipated in such statements. Accordingly, readers should not place undue reliance on any forward-looking information. Neither Bitfarms nor Stronghold undertakes any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057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057400"/>
                    </a:xfrm>
                    <a:prstGeom prst="rect">
                      <a:avLst/>
                    </a:prstGeom>
                    <a:noFill/>
                  </pic:spPr>
                </pic:pic>
              </a:graphicData>
            </a:graphic>
          </wp:anchor>
        </w:drawing>
        <w:t>Additional Information about the Merger and Where to Find It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communication relates to a proposed merger between Stronghold and Bitfarms. In connection with the proposed merger, Bitfarms intends to file with the SEC a registration statement on Form F-4, which will include a proxy statement of Stronghold that also constitutes a prospectus of Bitfarms.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 Investors are urged to read the proxy statement/prospectus (including all amendments and supplements thereto) and other relevant documents filed with the SEC carefully and in their entirety if and when they become available because they will contain important information about the proposed merger and related matters.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-558165</wp:posOffset>
            </wp:positionV>
            <wp:extent cx="7132320" cy="685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2519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251960"/>
                    </a:xfrm>
                    <a:prstGeom prst="rect">
                      <a:avLst/>
                    </a:prstGeom>
                    <a:noFill/>
                  </pic:spPr>
                </pic:pic>
              </a:graphicData>
            </a:graphic>
          </wp:anchor>
        </w:drawing>
        <w:t>Participants in Solicitation Relating to the Merger</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Innisfree M&amp;A Incorporated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Gabrielle Wolf / Scott Winter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+1 212-750-5833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Laurel Hill Advisory Group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1-877-452-7184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416-304-0211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assistance@laurelhill.com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Joele Frank, Wilkinson Brimmer Katcher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685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2024-09-04T05:18:30Z</dcterms:created>
  <dcterms:modified xsi:type="dcterms:W3CDTF">2024-09-04T05:18:30Z</dcterms:modified>
</cp:coreProperties>
</file>