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to this Form 6-K shall be deemed to be incorporated by reference as an exhibit to the Registration Statement of Bitfarms Ltd. on Form F-10 (File No. 333-258788) and to be a part thereof from the date on which this report was furnished, to the extent not superseded by documents or reports subsequently filed or furnished.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5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 of Annual General Meeting of Shareholders &amp; Management Information Circular</w:t>
            </w:r>
          </w:p>
        </w:tc>
      </w:tr>
      <w:tr>
        <w:trPr>
          <w:trHeight w:val="176"/>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64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Proxy for Annual General Meeting of Shareholders on June 21, 2022</w:t>
            </w:r>
          </w:p>
        </w:tc>
        <w:tc>
          <w:tcPr>
            <w:tcW w:w="370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 &amp; Access Form for Annual General Meeting of Shareholders on June 21, 2022</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156845</wp:posOffset>
            </wp:positionV>
            <wp:extent cx="24688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NOTICE OF ANNUAL GENERAL MEETING OF SHAREHOLDERS &amp; MANAGEMENT INFORMATION</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CIRCULAR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June 21, 2022</w:t>
      </w:r>
      <w:r>
        <w:rPr>
          <w:rFonts w:ascii="Times New Roman" w:cs="Times New Roman" w:eastAsia="Times New Roman" w:hAnsi="Times New Roman"/>
          <w:sz w:val="18"/>
          <w:szCs w:val="18"/>
          <w:color w:val="auto"/>
        </w:rPr>
        <w:t>, 2022 at 10:00 a.m. (Toronto time)</w:t>
      </w:r>
    </w:p>
    <w:p>
      <w:pPr>
        <w:spacing w:after="0" w:line="23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9156 Leduc Blvd.,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Brossard, Quebec J4Y 0L2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Toronto, ON M5C 1C4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2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holders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common shares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will be held at 9156 Leduc Blvd.,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Brossard, Quebec J4Y 0L2 at on</w:t>
      </w:r>
      <w:r>
        <w:rPr>
          <w:rFonts w:ascii="Times New Roman" w:cs="Times New Roman" w:eastAsia="Times New Roman" w:hAnsi="Times New Roman"/>
          <w:sz w:val="18"/>
          <w:szCs w:val="18"/>
          <w:b w:val="1"/>
          <w:bCs w:val="1"/>
          <w:color w:val="auto"/>
        </w:rPr>
        <w:t xml:space="preserve"> Tuesday, June 21</w:t>
      </w:r>
      <w:r>
        <w:rPr>
          <w:rFonts w:ascii="Times New Roman" w:cs="Times New Roman" w:eastAsia="Times New Roman" w:hAnsi="Times New Roman"/>
          <w:sz w:val="18"/>
          <w:szCs w:val="18"/>
          <w:color w:val="auto"/>
        </w:rPr>
        <w:t>, 2022,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 a.m. (Toronto time) for the following purposes, all as more particularly described in the enclosed management information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300" w:right="2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Corporation’s financial statements for the years ended December 31, 2021 and December 31, 2020 and the report of the auditors thereon;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directors of the Corporation for the ensuing year;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auditors and to authorize the directors to fix their remuneration;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further and other business as may be properly brought before the Meeting or any adjournment or postponement thereof.</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has fixed </w:t>
      </w:r>
      <w:r>
        <w:rPr>
          <w:rFonts w:ascii="Times New Roman" w:cs="Times New Roman" w:eastAsia="Times New Roman" w:hAnsi="Times New Roman"/>
          <w:sz w:val="18"/>
          <w:szCs w:val="18"/>
          <w:b w:val="1"/>
          <w:bCs w:val="1"/>
          <w:color w:val="auto"/>
        </w:rPr>
        <w:t>April 28</w:t>
      </w:r>
      <w:r>
        <w:rPr>
          <w:rFonts w:ascii="Times New Roman" w:cs="Times New Roman" w:eastAsia="Times New Roman" w:hAnsi="Times New Roman"/>
          <w:sz w:val="18"/>
          <w:szCs w:val="18"/>
          <w:color w:val="auto"/>
        </w:rPr>
        <w:t>, 2022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All Shareholders may attend the Meeting in person or be represented by proxy. Shareholders who do not plan on attending the Meeting in person are requested to complete, date and sign the enclosed form of proxy and return it in the envelope provided. </w:t>
      </w:r>
      <w:r>
        <w:rPr>
          <w:rFonts w:ascii="Times New Roman" w:cs="Times New Roman" w:eastAsia="Times New Roman" w:hAnsi="Times New Roman"/>
          <w:sz w:val="18"/>
          <w:szCs w:val="18"/>
          <w:color w:val="auto"/>
        </w:rPr>
        <w:t>To be effective, the enclosed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or voting instruction form must be deposited with TSX Trust Company by mail delivery at 301 – 100 Adelaide Street West, Toronto, Ontario M5H 1S3, or by facsimile at (416) 595-9593. In order to be valid and acted upon at the Meeting, the duly completed form of proxy must be received prior to 5:00 p.m. (Toronto time) on June 17, 2022 (the “</w:t>
      </w:r>
      <w:r>
        <w:rPr>
          <w:rFonts w:ascii="Times New Roman" w:cs="Times New Roman" w:eastAsia="Times New Roman" w:hAnsi="Times New Roman"/>
          <w:sz w:val="18"/>
          <w:szCs w:val="18"/>
          <w:b w:val="1"/>
          <w:bCs w:val="1"/>
          <w:color w:val="auto"/>
        </w:rPr>
        <w:t>Proxy Deadline</w:t>
      </w:r>
      <w:r>
        <w:rPr>
          <w:rFonts w:ascii="Times New Roman" w:cs="Times New Roman" w:eastAsia="Times New Roman" w:hAnsi="Times New Roman"/>
          <w:sz w:val="18"/>
          <w:szCs w:val="18"/>
          <w:color w:val="auto"/>
        </w:rPr>
        <w:t>”), or be deposited with the Secretary of the Corporation before the commencement of the Meeting or of any adjournment thereof. Notwithstanding the foregoing, the Chair of the Meeting has the discretion to accept proxies received after such deadline.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are reminded to review the Circular before voting.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April, 2022.</w:t>
      </w:r>
    </w:p>
    <w:p>
      <w:pPr>
        <w:ind w:left="67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(Signed) “Nicolas Bonta”</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 BY MANAGEMENT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 information circular (this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is furnished in connection with the solicitation by the management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of proxies to be used at the annual general and special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holders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common shares of the Corporation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to be held at the time and place and for the purposes set out in the Notice of Meeting. It is expected that the solicitation will be made primarily by mail. However, officers and employees of the Corporation may also solicit proxies by telephone, e-mail or in person. These persons will receive no compensation for such solicitation, other than their ordinary salaries or fees. The total cost of solicitation of proxies will be borne by the Corporation. Pursuant to National Instrument 54-101 – </w:t>
      </w:r>
      <w:r>
        <w:rPr>
          <w:rFonts w:ascii="Times New Roman" w:cs="Times New Roman" w:eastAsia="Times New Roman" w:hAnsi="Times New Roman"/>
          <w:sz w:val="18"/>
          <w:szCs w:val="18"/>
          <w:i w:val="1"/>
          <w:iCs w:val="1"/>
          <w:color w:val="auto"/>
        </w:rPr>
        <w:t>Communication with Beneficial Owners of Securities of a Reporting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54-101</w:t>
      </w:r>
      <w:r>
        <w:rPr>
          <w:rFonts w:ascii="Times New Roman" w:cs="Times New Roman" w:eastAsia="Times New Roman" w:hAnsi="Times New Roman"/>
          <w:sz w:val="18"/>
          <w:szCs w:val="18"/>
          <w:color w:val="auto"/>
        </w:rPr>
        <w:t>”), arrangements have been made with clearing agencies, brokerage houses and other financial intermediaries to forward proxy-related materials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owners of the Common Shares. See “</w:t>
      </w:r>
      <w:r>
        <w:rPr>
          <w:rFonts w:ascii="Times New Roman" w:cs="Times New Roman" w:eastAsia="Times New Roman" w:hAnsi="Times New Roman"/>
          <w:sz w:val="18"/>
          <w:szCs w:val="18"/>
          <w:i w:val="1"/>
          <w:iCs w:val="1"/>
          <w:color w:val="auto"/>
        </w:rPr>
        <w:t>Appointment and Revocation of Proxies – Notice to Beneficial Holders of Shares</w:t>
      </w:r>
      <w:r>
        <w:rPr>
          <w:rFonts w:ascii="Times New Roman" w:cs="Times New Roman" w:eastAsia="Times New Roman" w:hAnsi="Times New Roman"/>
          <w:sz w:val="18"/>
          <w:szCs w:val="18"/>
          <w:color w:val="auto"/>
        </w:rPr>
        <w:t>” below. The Corporation will provide, without cost to such person, upon request to the Secretary of the Corporation, additional copies of the foregoing documents for this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AND ACCESS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Corporation has elected to use the notice-and-access process (“</w:t>
      </w:r>
      <w:r>
        <w:rPr>
          <w:rFonts w:ascii="Times New Roman" w:cs="Times New Roman" w:eastAsia="Times New Roman" w:hAnsi="Times New Roman"/>
          <w:sz w:val="18"/>
          <w:szCs w:val="18"/>
          <w:b w:val="1"/>
          <w:bCs w:val="1"/>
          <w:color w:val="auto"/>
        </w:rPr>
        <w:t>Notice-and-Access</w:t>
      </w:r>
      <w:r>
        <w:rPr>
          <w:rFonts w:ascii="Times New Roman" w:cs="Times New Roman" w:eastAsia="Times New Roman" w:hAnsi="Times New Roman"/>
          <w:sz w:val="18"/>
          <w:szCs w:val="18"/>
          <w:color w:val="auto"/>
        </w:rPr>
        <w:t xml:space="preserve">”) that came into effect on February 11, 2013 under NI 54-101 – </w:t>
      </w:r>
      <w:r>
        <w:rPr>
          <w:rFonts w:ascii="Times New Roman" w:cs="Times New Roman" w:eastAsia="Times New Roman" w:hAnsi="Times New Roman"/>
          <w:sz w:val="18"/>
          <w:szCs w:val="18"/>
          <w:i w:val="1"/>
          <w:iCs w:val="1"/>
          <w:color w:val="auto"/>
        </w:rPr>
        <w:t xml:space="preserve">Communications with Beneficial Owners of Securities of a Reporting Issuer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54-101</w:t>
      </w:r>
      <w:r>
        <w:rPr>
          <w:rFonts w:ascii="Times New Roman" w:cs="Times New Roman" w:eastAsia="Times New Roman" w:hAnsi="Times New Roman"/>
          <w:sz w:val="18"/>
          <w:szCs w:val="18"/>
          <w:color w:val="auto"/>
        </w:rPr>
        <w:t>”) and National Instrument 51-102 –</w:t>
      </w:r>
      <w:r>
        <w:rPr>
          <w:rFonts w:ascii="Times New Roman" w:cs="Times New Roman" w:eastAsia="Times New Roman" w:hAnsi="Times New Roman"/>
          <w:sz w:val="18"/>
          <w:szCs w:val="18"/>
          <w:i w:val="1"/>
          <w:iCs w:val="1"/>
          <w:color w:val="auto"/>
        </w:rPr>
        <w:t xml:space="preserve"> Continuous Disclosure Obligations</w:t>
      </w:r>
      <w:r>
        <w:rPr>
          <w:rFonts w:ascii="Times New Roman" w:cs="Times New Roman" w:eastAsia="Times New Roman" w:hAnsi="Times New Roman"/>
          <w:sz w:val="18"/>
          <w:szCs w:val="18"/>
          <w:color w:val="auto"/>
        </w:rPr>
        <w:t>, for distribution of this Circular and other meeting materials to registered Shareholders of the Corporation and Non-Registered Holders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Notice-and-Access allows issuers to post electronic versions of meeting materials, including circulars, annual financial statements and management discussion and analysis, online, via SEDAR and one other website, rather than mailing paper copies of such meeting materials to Shareholders. The Corporation anticipates that utilizing the Notice-and-Access process will substantially reduce both postage and printing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Meeting materials including the Circular and the Corporation’s audited financial statements for the years ended December 31, 2021 and 2020 and the Corporation’s management discussion and analysis for the year ended December 31, 2021 are available on the Corporation’s website at https://bitfarms.com/investors/#reports-and-filings, on the Corporation’s SEDAR profile at www.sedar.com, and on the website of the Corporation’s registrar and transfer agent at https://docs.tsxtrust.com/2253..</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the Circular and related materials (collectively, the “</w:t>
      </w:r>
      <w:r>
        <w:rPr>
          <w:rFonts w:ascii="Times New Roman" w:cs="Times New Roman" w:eastAsia="Times New Roman" w:hAnsi="Times New Roman"/>
          <w:sz w:val="18"/>
          <w:szCs w:val="18"/>
          <w:b w:val="1"/>
          <w:bCs w:val="1"/>
          <w:color w:val="auto"/>
        </w:rPr>
        <w:t>Meeting Materials</w:t>
      </w:r>
      <w:r>
        <w:rPr>
          <w:rFonts w:ascii="Times New Roman" w:cs="Times New Roman" w:eastAsia="Times New Roman" w:hAnsi="Times New Roman"/>
          <w:sz w:val="18"/>
          <w:szCs w:val="18"/>
          <w:color w:val="auto"/>
        </w:rPr>
        <w:t>”) will be posted electronically online, as noted above, the registered Shareholders and Non-Registered Holders (subject to the provisions set out below under the heading “</w:t>
      </w:r>
      <w:r>
        <w:rPr>
          <w:rFonts w:ascii="Times New Roman" w:cs="Times New Roman" w:eastAsia="Times New Roman" w:hAnsi="Times New Roman"/>
          <w:sz w:val="18"/>
          <w:szCs w:val="18"/>
          <w:b w:val="1"/>
          <w:bCs w:val="1"/>
          <w:color w:val="auto"/>
        </w:rPr>
        <w:t>Voting by Beneficial Holders of Shares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will receive a “notice package” (the “</w:t>
      </w:r>
      <w:r>
        <w:rPr>
          <w:rFonts w:ascii="Times New Roman" w:cs="Times New Roman" w:eastAsia="Times New Roman" w:hAnsi="Times New Roman"/>
          <w:sz w:val="18"/>
          <w:szCs w:val="18"/>
          <w:b w:val="1"/>
          <w:bCs w:val="1"/>
          <w:color w:val="auto"/>
        </w:rPr>
        <w:t xml:space="preserve">Notice-and-Access Notification”), </w:t>
      </w:r>
      <w:r>
        <w:rPr>
          <w:rFonts w:ascii="Times New Roman" w:cs="Times New Roman" w:eastAsia="Times New Roman" w:hAnsi="Times New Roman"/>
          <w:sz w:val="18"/>
          <w:szCs w:val="18"/>
          <w:color w:val="auto"/>
        </w:rPr>
        <w:t>by prepaid mail, which includes the information prescribed by 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54-101, and a proxy form or voting instruction form from their respective intermediaries. Shareholders should follow the instructions for completion and delivery contained in the proxy or voting instruction form. Shareholders are reminded to review the Circular before voting.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the Corporation intends to pay for intermediaries to forward the Notice-and-Access Notification to OBOs (as defined herein) under NI 54-101.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will not receive a paper copy of the Meeting Materials unless they request paper copies from the Corporation. In order to receive a paper copy in time to vote before the meeting, requests for paper copies should be received by the Corporation’s registrar and transfer agent, TSX Trust Company (“</w:t>
      </w:r>
      <w:r>
        <w:rPr>
          <w:rFonts w:ascii="Times New Roman" w:cs="Times New Roman" w:eastAsia="Times New Roman" w:hAnsi="Times New Roman"/>
          <w:sz w:val="18"/>
          <w:szCs w:val="18"/>
          <w:b w:val="1"/>
          <w:bCs w:val="1"/>
          <w:color w:val="auto"/>
        </w:rPr>
        <w:t>TSX Trust</w:t>
      </w:r>
      <w:r>
        <w:rPr>
          <w:rFonts w:ascii="Times New Roman" w:cs="Times New Roman" w:eastAsia="Times New Roman" w:hAnsi="Times New Roman"/>
          <w:sz w:val="18"/>
          <w:szCs w:val="18"/>
          <w:color w:val="auto"/>
        </w:rPr>
        <w:t>”) by June 10, 2022. Shareholders who wish to receive paper copies of the Meeting Materials, or who have questions about Notice-and Access may contact TSX Trust toll free at 1 (866) 600-5869 or email tsxtis@tmx.com.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RESPECTING THE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make any representations in connection with the matters being considered herein other than those contained in this Circular and, if given or made, any such information or representations should be considered not to have been authorized by the Corporation. This Circular does not constitute the solicitation of a proxy by any person in any jurisdiction in which such solicitation is not authorized or in which the person making such solicitation is not qualified to do so or to any person to whom it is unlawful to make such solicitation.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Circular to the Meeting include any adjournment(s) or postponement(s) thereof.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Corporation’s financial statements are reported in United States dollars, the functional currency. In this Circular, unless otherwise indicated, all dollar amounts (“$” or “C$”) are expressed in Canadian dollars and references to “US$” or “US” are to United States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where otherwise indicated, the information contained herein is stated as of April 28, 2022.</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Electronic copies of this Circular, financial statements of the Corporation for the years ended December 31, 2021 and December 31, 2020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and management discussion and analysis for 2021 and 2020 (the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may be found on the Corporation’s SEDAR profile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www.sedar.com.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are reminded to review this Circular before voting.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Shareholders may also obtain paper copies of the Financial Statements and the MD&amp;A free of charge by contacting TSX Trust Company at (416) 342-1091 or 1 (866) 600-5869 or upon request to the Vice President of Corporate Affairs at legal@bitfarms.com.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AND REVOCATION OF PROXIES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Proxy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Shareholder who does not plan on attending the Meeting in person is requested to complete and sign the enclosed form of proxy and to deliver it to TSX Trust Company: (i) by mail delivery to 301 – 100 Adelaide Street West, Toronto, Ontario M5H 1S3; or (ii) by facsimile at (416) 595-9593. In order to be valid and acted upon at the Meeting, the form of proxy must be received no later than 5:00 p.m. (Toronto time) on </w:t>
      </w:r>
      <w:r>
        <w:rPr>
          <w:rFonts w:ascii="Times New Roman" w:cs="Times New Roman" w:eastAsia="Times New Roman" w:hAnsi="Times New Roman"/>
          <w:sz w:val="18"/>
          <w:szCs w:val="18"/>
          <w:b w:val="1"/>
          <w:bCs w:val="1"/>
          <w:color w:val="auto"/>
        </w:rPr>
        <w:t>June 17</w:t>
      </w:r>
      <w:r>
        <w:rPr>
          <w:rFonts w:ascii="Times New Roman" w:cs="Times New Roman" w:eastAsia="Times New Roman" w:hAnsi="Times New Roman"/>
          <w:sz w:val="18"/>
          <w:szCs w:val="18"/>
          <w:color w:val="auto"/>
        </w:rPr>
        <w:t>, 2022 or be deposited with the Secretary of the Corporation before the commencement of the Meeting or any adjournment thereof. The deadline for the deposit of proxies may be waived or extended by the Chair of the Meeting at his discretion, without notice.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 appointing a proxy must be in writing and executed by the Shareholder or his attorney authorized in writing or, if the Shareholder is a corporation, under its corporate seal or by an officer or attorney thereof duly authorized.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 Shareholder submitting a form of proxy has the right to appoint a person (who need not be a Shareholder) to represent him or her at the Meeting other than the persons designated in the form of proxy furnished by the Corporation. To exercise that right, the name of the Shareholder’s appointee should be legibly printed in the blank space provided. In addition, the Shareholder should notify the appointee of the appointment, obtain his or her consent to act as appointee and instruct the appointee on how the Shareholder’s Common Shares are to be voted.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who are not registered shareholders of the Corporation should refer to “</w:t>
      </w:r>
      <w:r>
        <w:rPr>
          <w:rFonts w:ascii="Times New Roman" w:cs="Times New Roman" w:eastAsia="Times New Roman" w:hAnsi="Times New Roman"/>
          <w:sz w:val="18"/>
          <w:szCs w:val="18"/>
          <w:i w:val="1"/>
          <w:iCs w:val="1"/>
          <w:color w:val="auto"/>
        </w:rPr>
        <w:t>Notice to Beneficial Holders of Common Shares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Shareholder who has submitted a form of proxy as directed hereunder may revoke it at any time prior to the exercise thereof. If a person who has given a proxy personally attends the Meeting at which that proxy is to be voted, that person may revoke the proxy and vote in person. In addition to the revocation in any other manner permitted by law, a proxy may be revoked by instrument in writing executed by the Shareholder or his attorney or authorized agent and deposited with TSX Trust Company at any time up to 5:00 p.m. (Toronto time) on </w:t>
      </w:r>
      <w:r>
        <w:rPr>
          <w:rFonts w:ascii="Times New Roman" w:cs="Times New Roman" w:eastAsia="Times New Roman" w:hAnsi="Times New Roman"/>
          <w:sz w:val="18"/>
          <w:szCs w:val="18"/>
          <w:b w:val="1"/>
          <w:bCs w:val="1"/>
          <w:color w:val="auto"/>
        </w:rPr>
        <w:t>June 17</w:t>
      </w:r>
      <w:r>
        <w:rPr>
          <w:rFonts w:ascii="Times New Roman" w:cs="Times New Roman" w:eastAsia="Times New Roman" w:hAnsi="Times New Roman"/>
          <w:sz w:val="18"/>
          <w:szCs w:val="18"/>
          <w:color w:val="auto"/>
        </w:rPr>
        <w:t>, 2022: (i) by mail delivery to Suite 301 – 100 Adelaide Street West, Toronto, Ontario M5H 1S3; or, (ii) by facsimile to (416) 595-9593, or deposited with the Secretary of the Corporation before the commencement of the Meeting, or any adjournment thereof, and upon either of those deposits, the proxy will be revoked.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Beneficial Holders of Common Shares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Only registered Shareholders or proxyholders duly appointed by registered Shareholders are permitted to vote at the Meeting. Most Shareholders of the Corporation are “non-registered” shareholders because the Common Shares they own are not registered in their names but are instead registered in the name of a brokerage firm, bank or other intermediary or in the name of a clearing agency. Shareholders who do not hold their Common Shares in their own name (referred to herein as “Beneficial Shareholders”) should note that only registered Shareholders are entitled to vote at the Meeting. </w:t>
      </w:r>
      <w:r>
        <w:rPr>
          <w:rFonts w:ascii="Times New Roman" w:cs="Times New Roman" w:eastAsia="Times New Roman" w:hAnsi="Times New Roman"/>
          <w:sz w:val="18"/>
          <w:szCs w:val="18"/>
          <w:color w:val="auto"/>
        </w:rPr>
        <w:t>If Common Shares are listed in an account statement provided to a Shareholder by a broker, then in almost all cases those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will not be registered in such Shareholder’s name on the records of the Corporation. Such Common Shares will more likely be registered under the name of the Shareholder’s broker or an agent of that broker. In Canada, the vast majority of such Common Shares are registered under the name of CDS &amp; Co. (the registration name for CDS Clearing and Depositary Services Inc., which company acts as nominee for many Canadian brokerage firms). Common Shares held by brokers (or their agents or nominees) on behalf of a broker’s client can only be voted (for or against resolutions) at the direction of the Beneficial Shareholder. Without specific instructions, brokers and their agents and nominees are prohibited from voting Common Shares for the brokers’ clients. Therefore, each Beneficial Shareholder should ensure that voting instructions are communicated to the appropriate person well in advance of the Meeting.</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Regulatory policy requires brokers and other intermediaries to seek voting instructions from Beneficial Shareholders in advance of Shareholders’ meetings. The various brokers and other intermediaries have their own mailing procedures and provide their own return instructions to clients, which should be carefully followed by Beneficial Shareholders in order to ensure that their Common Shares are voted at the Meeting. Often the form of proxy supplied to a Beneficial Shareholder by its broker is identical to the form of proxy provided by the Corporation to the registered Shareholders. However, its purpose is limited to instructing the registered Shareholder (i.e. the broker or agent of the broker) how to vote on behalf of the Beneficial Shareholder. The majority of brokers now delegate the responsibility for obtaining instructions from clients to Broadridge Financial Solutions Inc.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xml:space="preserve">”). Broadridge typically prepares a machine-readable voting instruction form, mails those forms to the Beneficial Shareholders and asks Beneficial Shareholders to return the forms to Broadridge, or otherwise communicate voting instructions to Broadridge (by way of the internet or telephone, for example). Broadridge then tabulates the results of all instructions received and provides appropriate instructions respecting the voting of Common Shares to be represented at the Meeting. </w:t>
      </w:r>
      <w:r>
        <w:rPr>
          <w:rFonts w:ascii="Times New Roman" w:cs="Times New Roman" w:eastAsia="Times New Roman" w:hAnsi="Times New Roman"/>
          <w:sz w:val="18"/>
          <w:szCs w:val="18"/>
          <w:b w:val="1"/>
          <w:bCs w:val="1"/>
          <w:color w:val="auto"/>
        </w:rPr>
        <w:t>A</w:t>
      </w:r>
    </w:p>
    <w:p>
      <w:pPr>
        <w:spacing w:after="0" w:line="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Beneficial Shareholder who receives a Broadridge voting instruction form cannot use that form to vote Common Shares directly at the Meeting. The voting instruction form must be returned to Broadridge (or instructions respecting the voting of Common Shares must be communicated to Broadridge well in advance of the Meeting) in order to have the Common Shares voted.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notice-and-Access Notification is being sent to both registered Shareholders and indirectly to Beneficial Shareholders. Beneficial Shareholders fall into two categories – those who object to their identity being known to the issuers of securities which they own (“</w:t>
      </w:r>
      <w:r>
        <w:rPr>
          <w:rFonts w:ascii="Times New Roman" w:cs="Times New Roman" w:eastAsia="Times New Roman" w:hAnsi="Times New Roman"/>
          <w:sz w:val="18"/>
          <w:szCs w:val="18"/>
          <w:b w:val="1"/>
          <w:bCs w:val="1"/>
          <w:color w:val="auto"/>
        </w:rPr>
        <w:t>Objecting Beneficial Owners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OBOs</w:t>
      </w:r>
      <w:r>
        <w:rPr>
          <w:rFonts w:ascii="Times New Roman" w:cs="Times New Roman" w:eastAsia="Times New Roman" w:hAnsi="Times New Roman"/>
          <w:sz w:val="18"/>
          <w:szCs w:val="18"/>
          <w:color w:val="auto"/>
        </w:rPr>
        <w:t>”) and those who do not object to their identity being made known to the issuers of the securities they own (“</w:t>
      </w:r>
      <w:r>
        <w:rPr>
          <w:rFonts w:ascii="Times New Roman" w:cs="Times New Roman" w:eastAsia="Times New Roman" w:hAnsi="Times New Roman"/>
          <w:sz w:val="18"/>
          <w:szCs w:val="18"/>
          <w:b w:val="1"/>
          <w:bCs w:val="1"/>
          <w:color w:val="auto"/>
        </w:rPr>
        <w:t>Non-Objecting Beneficial Owners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NOBOs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Beneficial Shareholders may not be recognized directly at the Meeting for the purposes of voting Common Shares registered in the name of their broker, a Beneficial Shareholder may attend the Meeting as proxyholder for the registered Shareholder and vote the Common Shares in that capacity.</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Beneficial Shareholders who wish to attend the Meeting and indirectly vote their Common Shares as proxyholder for the registered Shareholder should enter their own names in the blank space on the proxy or voting instruction card provided to them and return the same to their broker (or the broker’s agent) in accordance with the instructions provided by such broker.</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to Shareholders in this Circular, instrument of proxy and Notice of Meeting are to registered shareholders of the Corporation unless specifically stated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Common Shares represented by any properly executed proxy in the accompanying form will be voted for or against, or withheld from voting, as the case may be, on any ballot that may be called for in accordance with the instructions given by the Shareholder. </w:t>
      </w:r>
      <w:r>
        <w:rPr>
          <w:rFonts w:ascii="Times New Roman" w:cs="Times New Roman" w:eastAsia="Times New Roman" w:hAnsi="Times New Roman"/>
          <w:sz w:val="18"/>
          <w:szCs w:val="18"/>
          <w:b w:val="1"/>
          <w:bCs w:val="1"/>
          <w:color w:val="auto"/>
        </w:rPr>
        <w:t>In the absence of such direction,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Shares will be voted in favour of the matters set out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form of proxy confers discretionary authority on the persons named in it with respect to amendments or variations to matters identified in the Notice of Meeting or other matters that may properly come before the Meeting. As of the date hereof, management of the Corporation is not aware of any such amendments, variations or other matters which may come before the Meeting. In the event that other matters come before the Meeting, then the management designees intend to vote in accordance with the judgment of management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person who has been a director or an executive officer of the Corporation at any time since the beginning of its last completed financial year, no proposed nominee for election as a director of the Corporation nor any associate of any such director, director nominee or officer has any material interest, direct or indirect, by way of beneficial ownership of securities or otherwise, in any matter to be acted upon at the Meeting, except as disclosed in this Circular.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SHARES AND PRINCIPAL HOLDERS THEREOF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authorized share capital of the Corporation consists of an unlimited number of Common Shares without par value and an unlimited number of Class A Preferred Shares without par value. The Corporation’s Common Shares are listed on the TSX under the symbol “BITF” and on the Nasdaq Stock Market under the symbol “BITF”.</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at April 28, 2022, there are 202,347,402 Common Shares issued and outstanding and nil Class A Preferred Shares outstanding. Each Common Share entitles the holder thereof to one vote on all matters to be acted upon at the Meeting.</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Corporation has fixed the close of business on April 28, 2022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as the record date. Shareholders whose names have been entered in the register of Shareholders at the close of business on the Record Date will be entitled to receive notice of, and to vote, at the Meeting or any adjournments or postponements thereof. Persons registered on the books of the Corporation at the close of business on the Record Date and persons who are transferees of any Common Shares acquired after such Record Date and who have produced properly endorsed certificates evidencing such Common Shares or who otherwise establish ownership thereof and demand, not later than ten (10) days before the Meeting, that their names be included in the list of Shareholders, are entitled to vote at the Meeting.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the directors and officers of the Corporation, as at the date of this Circular, no person or corporation beneficially owns, directly or indirectly, or exercises control or direction over, 10% or more of the Common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PARTICULARS OF MATTERS TO BE ACTED UPON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To the knowledge of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only matters to be brought before the Meeting are those matters set forth in the accompanying Notice of Meeting.</w:t>
      </w:r>
    </w:p>
    <w:p>
      <w:pPr>
        <w:spacing w:after="0" w:line="15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of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Corporation for the fiscal years ended December 31, 2021 and December 31, 2020 and the report of the auditors thereon, will be submitted to the Meeting. Receipt at the Meeting of the auditor’s report and the Corporation’s audited financial statements for the fiscal years ended December 31, 2021 and December 31, 2020 will not constitute approval or disapproval of any matters referred to therein.</w:t>
      </w:r>
    </w:p>
    <w:p>
      <w:pPr>
        <w:spacing w:after="0" w:line="17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articles provide that the Board will consist of a minimum of one (1) and a maximum of ten (10) directors. The Board currently consists of five (5) directors. At the Meeting, Shareholders will be asked to consider, and, if thought fit, approve with or without variation a resolution electing the five (5) persons named below. Emiliano Grodzki, Nicolas Bonta, Pierre Seccareccia, Brian Howlett and Andres Finkielsztain are incumbent directors and will be proposed for re-election as directors of the Corporation.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It is intended that each of the directors will hold office until the next annual meeting of Shareholders or until his or her successor is elected or appointed, unless such office is earlier vacated in accordance with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Shareholders have the option to (i) vote for all of the directors of the Corporation listed in the table below; (ii) vote for some of the directors and withhold for others; or (iii) withhold for all of the directors. </w:t>
      </w:r>
      <w:r>
        <w:rPr>
          <w:rFonts w:ascii="Times New Roman" w:cs="Times New Roman" w:eastAsia="Times New Roman" w:hAnsi="Times New Roman"/>
          <w:sz w:val="18"/>
          <w:szCs w:val="18"/>
          <w:b w:val="1"/>
          <w:bCs w:val="1"/>
          <w:color w:val="auto"/>
        </w:rPr>
        <w:t>Unless otherwise instructed, proxies and voting instructions given pursuant to this solicitation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management of the Corporation will be voted FOR the election of each of the proposed nominees set forth in the table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no reason to believe that any of the nominees will be unable to serve as a director. However, if any proposed nominee is unable to serve as a director, the individuals named in the enclosed form of proxy will be voted in favour of the remaining nominees, and may be voted in favour of a substitute nominee unless the Shareholder has specified in the proxy that the Common Shares represented thereby are to be withheld from voting in respect of the election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states the name of each person nominated by management for election as directors, such person’s principal occupation or employment, period of service as a director of the Corporation, and the approximate number of voting securities of the Corporation that such person beneficially owns, or over which such person exercises direction or control:</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8"/>
          <w:szCs w:val="18"/>
          <w:b w:val="1"/>
          <w:bCs w:val="1"/>
          <w:color w:val="auto"/>
        </w:rPr>
        <w:t>Name, and Province and Country of Residence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i w:val="1"/>
          <w:iCs w:val="1"/>
          <w:color w:val="auto"/>
        </w:rPr>
        <w:t xml:space="preserve">Buenos Aires, Argentina </w:t>
      </w:r>
      <w:r>
        <w:rPr>
          <w:rFonts w:ascii="Times New Roman" w:cs="Times New Roman" w:eastAsia="Times New Roman" w:hAnsi="Times New Roman"/>
          <w:sz w:val="17"/>
          <w:szCs w:val="17"/>
          <w:color w:val="auto"/>
        </w:rPr>
        <w:t>Brian Howlett, CPA, CMA</w:t>
      </w:r>
      <w:r>
        <w:rPr>
          <w:rFonts w:ascii="Times New Roman" w:cs="Times New Roman" w:eastAsia="Times New Roman" w:hAnsi="Times New Roman"/>
          <w:sz w:val="28"/>
          <w:szCs w:val="28"/>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Ontario, Canada</w:t>
      </w:r>
    </w:p>
    <w:p>
      <w:pPr>
        <w:spacing w:after="0" w:line="200" w:lineRule="exact"/>
        <w:rPr>
          <w:sz w:val="20"/>
          <w:szCs w:val="20"/>
          <w:color w:val="auto"/>
        </w:rPr>
      </w:pPr>
    </w:p>
    <w:p>
      <w:pPr>
        <w:spacing w:after="0" w:line="243"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Pierre Seccareccia, FCPA, FCA</w:t>
      </w:r>
      <w:r>
        <w:rPr>
          <w:rFonts w:ascii="Times New Roman" w:cs="Times New Roman" w:eastAsia="Times New Roman" w:hAnsi="Times New Roman"/>
          <w:sz w:val="29"/>
          <w:szCs w:val="29"/>
          <w:color w:val="auto"/>
          <w:vertAlign w:val="superscript"/>
        </w:rPr>
        <w:t>(2)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Québec, Canada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5"/>
        </w:trPr>
        <w:tc>
          <w:tcPr>
            <w:tcW w:w="618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Principal Occupation During the Last Five Years</w:t>
            </w:r>
            <w:r>
              <w:rPr>
                <w:rFonts w:ascii="Times New Roman" w:cs="Times New Roman" w:eastAsia="Times New Roman" w:hAnsi="Times New Roman"/>
                <w:sz w:val="29"/>
                <w:szCs w:val="29"/>
                <w:b w:val="1"/>
                <w:bCs w:val="1"/>
                <w:color w:val="auto"/>
                <w:vertAlign w:val="superscript"/>
              </w:rPr>
              <w:t>(1)</w:t>
            </w:r>
          </w:p>
        </w:tc>
        <w:tc>
          <w:tcPr>
            <w:tcW w:w="120" w:type="dxa"/>
            <w:vAlign w:val="bottom"/>
            <w:vMerge w:val="restart"/>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0" w:type="dxa"/>
            <w:vAlign w:val="bottom"/>
          </w:tcPr>
          <w:p>
            <w:pPr>
              <w:spacing w:after="0"/>
              <w:rPr>
                <w:sz w:val="1"/>
                <w:szCs w:val="1"/>
                <w:color w:val="auto"/>
              </w:rPr>
            </w:pPr>
          </w:p>
        </w:tc>
      </w:tr>
      <w:tr>
        <w:trPr>
          <w:trHeight w:val="277"/>
        </w:trPr>
        <w:tc>
          <w:tcPr>
            <w:tcW w:w="6180" w:type="dxa"/>
            <w:vAlign w:val="bottom"/>
            <w:tcBorders>
              <w:bottom w:val="single" w:sz="8" w:color="auto"/>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Controlled</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25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Founder and Director of the Corporation (2018 – present); Consultant in the</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sector; Founder and Director of cripto247 (2018 – present); Founder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Commercial Director of My Urban Foods (2012 –2015).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9,869,772</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 and Founder of the Corporation; Founder and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of Own Hotels (2006 – Present).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8,862,118</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Director of the Corporation (2020 – present); President and CEO of Hemlo</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Explorers Inc. (2020 – present); President and CEO of Voyageur Mineral Explorers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 (2020 – 2021); Director of Nighthawk Gold Corp. (2016 – present); President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CEO of Dundee Sustainable Technologies Inc. (2015 – 2020); President and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of Stone Gold Inc. (2014 – 2020).</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April 17,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Corporation (2019 – present); Full-time independent director for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several public companies (2003 – present) namely WSP Global Inc, Boralex Inc.,</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MedicaGo Inc, Ovico Inc, New Millanium Iron Corp., and Director of Ivanhoe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Cambridge Inc., the real estate subsidiary of la Caisse de dépôt et placement du</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Québec (2010 – 2022).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12, 2019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-1403985</wp:posOffset>
            </wp:positionV>
            <wp:extent cx="7132320" cy="702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70294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-2175510</wp:posOffset>
            </wp:positionV>
            <wp:extent cx="7132320"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40" w:space="240"/>
            <w:col w:w="88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5"/>
                <w:szCs w:val="15"/>
                <w:color w:val="auto"/>
              </w:rPr>
              <w:t>Andres Finkielsztain</w:t>
            </w:r>
            <w:r>
              <w:rPr>
                <w:rFonts w:ascii="Times New Roman" w:cs="Times New Roman" w:eastAsia="Times New Roman" w:hAnsi="Times New Roman"/>
                <w:sz w:val="23"/>
                <w:szCs w:val="23"/>
                <w:color w:val="auto"/>
                <w:vertAlign w:val="superscript"/>
              </w:rPr>
              <w:t>(2)(3)</w:t>
            </w:r>
          </w:p>
        </w:tc>
        <w:tc>
          <w:tcPr>
            <w:tcW w:w="6520" w:type="dxa"/>
            <w:vAlign w:val="bottom"/>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Director of the Corporation (2020 – present); Founding managing partner of</w:t>
            </w:r>
          </w:p>
        </w:tc>
        <w:tc>
          <w:tcPr>
            <w:tcW w:w="1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tc>
        <w:tc>
          <w:tcPr>
            <w:tcW w:w="6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FinkWald LLC (2011 – present); Director of Goldmoney Inc. (TSX: XAU) (2018 –</w:t>
            </w:r>
          </w:p>
        </w:tc>
        <w:tc>
          <w:tcPr>
            <w:tcW w:w="1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2120" w:type="dxa"/>
            <w:vAlign w:val="bottom"/>
            <w:shd w:val="clear" w:color="auto" w:fill="CCEEFF"/>
          </w:tcPr>
          <w:p>
            <w:pPr>
              <w:spacing w:after="0"/>
              <w:rPr>
                <w:sz w:val="22"/>
                <w:szCs w:val="22"/>
                <w:color w:val="auto"/>
              </w:rPr>
            </w:pPr>
          </w:p>
        </w:tc>
        <w:tc>
          <w:tcPr>
            <w:tcW w:w="6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present).</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August 31, 2020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60" w:right="100" w:hanging="455"/>
        <w:spacing w:after="0" w:line="261"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and warrants.</w:t>
      </w:r>
    </w:p>
    <w:p>
      <w:pPr>
        <w:spacing w:after="0" w:line="179" w:lineRule="exact"/>
        <w:rPr>
          <w:rFonts w:ascii="Times New Roman" w:cs="Times New Roman" w:eastAsia="Times New Roman" w:hAnsi="Times New Roman"/>
          <w:sz w:val="18"/>
          <w:szCs w:val="18"/>
          <w:color w:val="auto"/>
        </w:rPr>
      </w:pPr>
    </w:p>
    <w:p>
      <w:pPr>
        <w:ind w:left="560" w:hanging="455"/>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Pierre Seccareccia serves as Chair.</w:t>
      </w:r>
    </w:p>
    <w:p>
      <w:pPr>
        <w:spacing w:after="0" w:line="225" w:lineRule="exact"/>
        <w:rPr>
          <w:rFonts w:ascii="Times New Roman" w:cs="Times New Roman" w:eastAsia="Times New Roman" w:hAnsi="Times New Roman"/>
          <w:sz w:val="18"/>
          <w:szCs w:val="18"/>
          <w:color w:val="auto"/>
        </w:rPr>
      </w:pPr>
    </w:p>
    <w:p>
      <w:pPr>
        <w:ind w:left="560" w:hanging="455"/>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Governance, Nomination and Compensation Committee. Andres Finkielsztain serves as Chair.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Emiliano Joel Grodzki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Emiliano Joel Grodzki serves as the Chief Executive Officer and a Director of the Corporation. Mr. Grodzki is an Argentinian entrepreneur, businessman and a founder of the Corporation. He has been a business builder and innovator since his early teens, founding, incubating and exiting interdisciplinary ventures in the design, food and construction industries. In 2016, he discovered the world of cryptocurrencies and began to invest in and mine cryptocurrencies from Argentina. Mr. Grodzki has an architect degree from ORT in Buenos Aires.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Nicolas Bonta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Nicolas Bonta serves as the Executive Chairman of the Board. Mr. Bonta is an Argentinian hotelier, real estate investor and a founder of the Corporation.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Brian Howlett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Brian Howlett serves as the Lead Director of the Corporation. Mr. Howlett is a seasoned professional with over thirty years of senior management experience. Mr. Howlett is currently the President, Chief Executive Officer and Director of Hemlo Explorers Inc. Mr. Howlett also serves on the board of Nighthawk Gold Corp. He formerly served as the President and Chief Executive Officer and Director of Dundee Sustainable Technologies Inc., and as the President and Chief Financial Officer of Superior Copper Corporation. Prior to that, Mr. Howlett spent twelve years with ELI Eco Logic Inc., including six years as Chief Financial Officer. Mr. Howlett graduated in 1982 with a B. Comm. in Finance from Concordia University and received his CMA/CPA designation in 1989.</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Pierre Seccareccia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Seccareccia serves as a Director of the Corporation. He has extensive experience in financial consulting and management. A Partner of the Coopers</w:t>
      </w:r>
    </w:p>
    <w:p>
      <w:pPr>
        <w:spacing w:after="0" w:line="27" w:lineRule="exact"/>
        <w:rPr>
          <w:sz w:val="20"/>
          <w:szCs w:val="20"/>
          <w:color w:val="auto"/>
        </w:rPr>
      </w:pPr>
    </w:p>
    <w:p>
      <w:pPr>
        <w:jc w:val="both"/>
        <w:ind w:firstLine="8"/>
        <w:spacing w:after="0" w:line="271" w:lineRule="auto"/>
        <w:tabs>
          <w:tab w:leader="none" w:pos="18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Lybrand accounting firm from 1976 to 1998, he acted as Managing Partner for its Montreal south shore office from 1987 to 1989, for its Montreal central office from 1992 to 1996, and for its offices in the Province of Quebec from 1996 to 1998. Following the merger in 1998 of Coopers &amp; Lybrand with Price Waterhouse, he acted as the Managing Partner for the Montreal office of PricewaterhouseCoopers LLP from 1998 to 2001. Since 2003, Mr. Seccareccia has acted as a full-time independent corporate director for various public and private entities. He is a Fellow CPA, and a lifetime member of the Ordre des comptables professionnels agréés du Québec. He graduated from the École des hautes études commerciales de Montréal with a degree in Accounting.</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Andres Finkielsztain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Andres Finkielsztain serves as a Director of the Corporation. Mr. Finkielsztain is the Founding Managing Partner of FinkWald LLC, a private investment office specializing in private equity, real estate, media and technology. He is also the co-head of the Special Situations division at Banco Industrial in Argentina, where he analyses and provides financing solutions to Argentine-based companies and institutions. Mr. Finkielsztain previously served as a financial advisor for Soros Brothers Investments,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Meeting Attendance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Board holds regularly scheduled meetings and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meetings as required from time to time. In connection with these Board meetings, the committees of the Board may meet independently, or hold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Independent directors do not hold regularly scheduled meetings at which non-independent directors and members of management are not in attendance. However, as part of their regularly scheduled meetings, the Board and the Audit Committee typically hold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 without management present in order to facilitate open and candid discussion.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2021, the Board held 31 meetings, and the Audit Committee held four (4) meetings. At each Audit Committee meeting, the independent directors were entitled to hold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 at which the non-independent directors and invited officers were not present. During the year ended December 31, 2021, the Governance, Nomination and Compensation Committee held 3 meetings.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Board and Committee Meeting Attendance</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Governance,</w:t>
            </w:r>
          </w:p>
        </w:tc>
        <w:tc>
          <w:tcPr>
            <w:tcW w:w="10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Nomination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Board (31)</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Audit (4)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Borders>
              <w:bottom w:val="single" w:sz="8" w:color="CCEEFF"/>
            </w:tcBorders>
          </w:tcPr>
          <w:p>
            <w:pPr>
              <w:spacing w:after="0"/>
              <w:rPr>
                <w:sz w:val="21"/>
                <w:szCs w:val="21"/>
                <w:color w:val="auto"/>
              </w:rPr>
            </w:pPr>
          </w:p>
        </w:tc>
      </w:tr>
      <w:tr>
        <w:trPr>
          <w:trHeight w:val="283"/>
        </w:trPr>
        <w:tc>
          <w:tcPr>
            <w:tcW w:w="72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3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73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Pierre Seccareccia</w:t>
            </w:r>
            <w:r>
              <w:rPr>
                <w:rFonts w:ascii="Times New Roman" w:cs="Times New Roman" w:eastAsia="Times New Roman" w:hAnsi="Times New Roman"/>
                <w:sz w:val="29"/>
                <w:szCs w:val="29"/>
                <w:color w:val="auto"/>
                <w:vertAlign w:val="superscript"/>
              </w:rPr>
              <w:t>(3)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3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Andres Finkielsztain</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Grodzki joined the Board on October 11, 2018.</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Howlett joined the Board on April 17, 2020.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Seccareccia joined the Board on June 12, 2019.</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Finkielsztain joined the Board on August 31,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Cease Trade Orders, Bankruptcies, Penalties or Sanctions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knowledge of the Corporation, no proposed director of the Corporation is, as at the date of this Circular, or within the ten (10) years prior to the date of this Circular has been, a director, chief executive officer or chief financial officer, of any company (including the Corporation) that:</w:t>
      </w:r>
    </w:p>
    <w:p>
      <w:pPr>
        <w:spacing w:after="0" w:line="162"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that person was acting in that capacity was subject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cease trade order (including any management cease trade order which applied to directors or executive officers of a company, whether or not the person is named in the order),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similar to a cease trade order,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that denied the relevant company access to any exemption under securities legislation,</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that was in effect for a period of more than thirty (30) consecutive days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or</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knowledge of the Corporation, no proposed director of the Corporation (or any personal holding company of any such individual) is, or within the ten (10) years prior to the date of this Circular has:</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a director or executive officer of any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manager or trustee appointed to hold its assets;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1300" w:right="2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such individual.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knowledge of the Corporation, no proposed director of the Corporation (or any personal holding company of any such individual) has been subject to any penalties or sanctions imposed by a court relating to securities legislation or by a securities regulatory authority or has entered into a settlement agreement with a securities regulatory authority; or any other penalties or sanctions imposed by a court or regulatory body that would likely be considered important to a reasonable investor in making an investment decision.</w:t>
      </w:r>
    </w:p>
    <w:p>
      <w:pPr>
        <w:spacing w:after="0" w:line="17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Auditors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are the independent registered certified auditors of the Corporation. PwC was first appointed as auditor of the Corporation on June 18, 2020. Management of the Corporation intends to nominate PwC for re-appointment as auditors of the Corporation.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Meeting, Shareholders will be asked to consider and, if thought advisable, to pass an ordinary resolution to re-appoint PwC to serve as auditors of the Corporation until the next annual meeting of Shareholders and to authorize the directors of the Corporation to fix their remuneration as such. To be adopted, this resolution is required to be passed by the affirmative vote of a majority of the votes cast at the Meeting.</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Unless the Shareholder has specifically instructed that his or her Common Shares are to be withheld from voting in connection with the appointment of PwC, the persons named in the accompanying proxy intend to vote FOR the re-appointment of PwC as the auditors of the Corporation to hold office until the next annual meeting of Shareholders or until a successor is appointed, and to authorize the Board to fix their remuneration.</w:t>
      </w:r>
    </w:p>
    <w:p>
      <w:pPr>
        <w:spacing w:after="0" w:line="17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Corporation knows of no amendment, variation or other matter to come before the Meeting other than the matters referred to in the notice of meeting accompanying this Circular. However, if any other matter properly comes before the Meeting, valid forms of proxy will be voted on such matter in accordance with the best judgment of the persons voting the proxy.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describes the significant elements of our executive compensation program, with particular emphasis on the process for determining compensation payable to the Corporation’s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chief financial officer (“CFO”), and, other than the CEO and CFO, each of the Corporation’s three most highly compensated executive officers, or the three most highly compensated individuals acting in a similar capacity whose total compensation was, individually, more than $150,000 (collectively, the “</w:t>
      </w:r>
      <w:r>
        <w:rPr>
          <w:rFonts w:ascii="Times New Roman" w:cs="Times New Roman" w:eastAsia="Times New Roman" w:hAnsi="Times New Roman"/>
          <w:sz w:val="18"/>
          <w:szCs w:val="18"/>
          <w:b w:val="1"/>
          <w:b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the year ended December 31, 2021. As of December 31, 2021, the NEOs were:</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Emiliano Joel Grodzki, CEO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Lucas, CFO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Geoffrey Morphy, President and COO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Bonta, Executive Chairman of the Corporation;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Gagnon, Chief Mining Officer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description of Director and NEO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plays an important role in achieving short and long-term business objectives that ultimately drive business success. The Corporation’s compensation philosophy is to foster entrepreneurship at all levels of the organization through, among other things, the granting of stock options, which will be a significant component of executive compensation. This approach is based on the assumption that the performance of the Common Share price over the long term is an important indicator of long-term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compensation philosophy is based on the following fundamental principles:</w:t>
      </w:r>
    </w:p>
    <w:p>
      <w:pPr>
        <w:spacing w:after="0" w:line="223" w:lineRule="exact"/>
        <w:rPr>
          <w:sz w:val="20"/>
          <w:szCs w:val="20"/>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programs align with Shareholder interests </w:t>
      </w:r>
      <w:r>
        <w:rPr>
          <w:rFonts w:ascii="Times New Roman" w:cs="Times New Roman" w:eastAsia="Times New Roman" w:hAnsi="Times New Roman"/>
          <w:sz w:val="18"/>
          <w:szCs w:val="18"/>
          <w:color w:val="auto"/>
        </w:rPr>
        <w:t>– the Corporation aligns the goals of executives with maximizing long-term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sensitive </w:t>
      </w:r>
      <w:r>
        <w:rPr>
          <w:rFonts w:ascii="Times New Roman" w:cs="Times New Roman" w:eastAsia="Times New Roman" w:hAnsi="Times New Roman"/>
          <w:sz w:val="18"/>
          <w:szCs w:val="18"/>
          <w:color w:val="auto"/>
        </w:rPr>
        <w:t>– compensation for executive officers should be linked to operating and market performance of the Corporation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with the performance; and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market competitive compensation to attract and retain talent </w:t>
      </w:r>
      <w:r>
        <w:rPr>
          <w:rFonts w:ascii="Times New Roman" w:cs="Times New Roman" w:eastAsia="Times New Roman" w:hAnsi="Times New Roman"/>
          <w:sz w:val="18"/>
          <w:szCs w:val="18"/>
          <w:color w:val="auto"/>
        </w:rPr>
        <w:t>– the compensation program should provide market competitive pay in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structure in order to retain existing employees who are performing according to their objectives and to attract new individuals of the highest calibre.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objectives of the compensation program in compensating all NEOs will be developed based on the above-mentioned compensation philosophy and will be as follows: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executive officers with Shareholders’ interests and with the execution of the Corporation’s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executive performance on the basis of key measurements that correlate to long-term Shareholder value;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tie compensation directly to those measurements and reward based on achieving and exceeding predetermined objectives.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believes that transparent, objective and easily verified corporate goals, combined with individual performance goals, play an important role in creating and maintaining an effective compensation strategy for the NEOs. The Corporation’s objective is to establish benchmarks and targets for its NEOs that will enhance Shareholder value if achieved.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Aggregate compensation for each NEO is designed to be competitive. The governance, nomination and compensation committee of the Board (the “</w:t>
      </w:r>
      <w:r>
        <w:rPr>
          <w:rFonts w:ascii="Times New Roman" w:cs="Times New Roman" w:eastAsia="Times New Roman" w:hAnsi="Times New Roman"/>
          <w:sz w:val="18"/>
          <w:szCs w:val="18"/>
          <w:b w:val="1"/>
          <w:bCs w:val="1"/>
          <w:color w:val="auto"/>
        </w:rPr>
        <w:t>Governance, Nomination and Compensation Committee</w:t>
      </w:r>
      <w:r>
        <w:rPr>
          <w:rFonts w:ascii="Times New Roman" w:cs="Times New Roman" w:eastAsia="Times New Roman" w:hAnsi="Times New Roman"/>
          <w:sz w:val="18"/>
          <w:szCs w:val="18"/>
          <w:color w:val="auto"/>
        </w:rPr>
        <w:t>”) will review from time to time the compensation practices of similarly situated companies when considering the Corporation’s executive compensation practices. The Governance, Nomination and Compensation Committee reviews each element of compensation for market competitiveness, and although it may weigh a particular element more heavily based on the NEO’s role within the Corporation, it is primarily focused on remaining competitive in the market with respect to total compensation.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on an ad hoc basis, the Governance, Nomination and Compensation Committee will review data related to compensation levels and programs of various companies that are similar in size to the Corporation and operate within technology industries or other emerging sectors. The Governance, Nomination and Compensation Committee also relies on the experience of its members as officers and/or directors at other companies in similar lines of business as the Corporation in assessing compensation levels. These other companies are identified in this Circular under the heading “</w:t>
      </w:r>
      <w:r>
        <w:rPr>
          <w:rFonts w:ascii="Times New Roman" w:cs="Times New Roman" w:eastAsia="Times New Roman" w:hAnsi="Times New Roman"/>
          <w:sz w:val="18"/>
          <w:szCs w:val="18"/>
          <w:i w:val="1"/>
          <w:iCs w:val="1"/>
          <w:color w:val="auto"/>
        </w:rPr>
        <w:t>Corporate Governance – Directorships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Nomination and Compensation Committee is responsible for ensuring that the Corporation has in place an appropriate plan for executive compensation and for making recommendations to the Board with respect to the compensation of the Corporation’s executive officers. The Governance, Nomination and Compensation Committee will ensure that total compensation paid to all NEOs is fair, reasonable, and consistent with the Corporation’s compensation philosophy.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Governance, Nomination and Compensation Committee will make, and the Board reviews and may approve, recommendations regarding compensation to executive officers and directors. A combination of fixed and variable compensation is used to motivate executive officers to achieve overall corporate goals. The two basic components of the Corporation’s executive officer compensation program are:</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 payments;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 salaries are paid in cash, and constitute the fixed portion of the total compensation paid to executive officers. Annual incentives comprise the remainder, and represent compensation that is “at risk” and thus may or may not be paid to the respective executive officer depending on: (i) whether the executive officer is able to meet or exceed his or her applicable performance targets; and, (ii) market performance of the Common Shares. To date, no specific formula has been developed to assign a specific weighting to each of these components. Instead, the Board will consider each performance target and the Corporation’s performance and assigns compensation based on this assessment and the recommendations of the Governance, Nomination and Compensation Committee.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Governance, Nomination and Compensation Committee and the Board will approve the salary ranges for the NEOs. The base salary review for each NEO is based on assessment of factors such as current competitive market conditions, compensation levels and practices of similarly situated companies and particular skills, such as leadership ability and management effectiveness, experience, responsibility and proven or expected performance of the particular individual. The Corporation may consider comparative data for the Corporation’s peer group, which are accumulated from a number of external sources including independent consultants. The Corporation’s policy for determining salary for executive officers will be consistent with the administration of salaries for all other employees.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(Cash Bonus)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annual incentive awards are based on various personal and company-wide achievements. Performance goals for annual incentive payments are subjective and include achieving individual and corporate targets and objectives, as well as general performance in day-to-day corporate activities.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approves target annual incentive amounts for each NEO at the beginning of each financial year. The Governance, Nomination and Compensation Committee determines target amounts based on a number of factors, including comparable compensation of similar companies. Funding of the annual incentive awards is capped at the Corporation level and the distribution of funds to the executive officers will be at the discretion of the Governance, Nomination and Compensation Committee. Each NEO may receive partial or full payment of the target annual incentive amount set by the Governance, Nomination and Compensation Committee at the beginning of each financial year, depending on the number of the predetermined targets met, and the assessment of such NEO’s overall performance by the Governance, Nomination and Compensation Committee and the Board.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develop a recommendation to the Board regarding annual incentive payments, the Governance, Nomination and Compensation Committee assesses NEO performance subjectively, considering each NEO’s respective success in achieving his or her individual objectives, contributions to the achievement of the Corporation’s goals, and contributions to meeting the needs of the Corporation that arise on a day-to-day basis. If the Governance, Nomination and Compensation Committee cannot unanimously agree on a recommendation in respect of an NEO’s annual incentive payment, the matter is referred to the full Board for decision.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Board relies heavily on the recommendations of the Governance, Nomination and Compensation Committee in granting annual incentives. However, the Board reserves ultimate discretion in determining whether each NEO has met his or her targets, and has the right make positive or negative adjustments to any annual incentive payment recommended by the Governance, Nomination and Compensation Committee that it deems appropriate.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Grants of long-term equity incentives are an integral component of the Corporation’s NEO compensation structure. Equity-based awards are a variable element of compensation that allows the Corporation to reward executive officers for their sustained contributions to the Corporation. Long-term equity incentive awards reward performance and continued employment, and help the Corporation attract and retain NEOs.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financial year ended December 2021, the Corporation’s long-term equity incentive plans consisted of an option plan (the “</w:t>
      </w:r>
      <w:r>
        <w:rPr>
          <w:rFonts w:ascii="Times New Roman" w:cs="Times New Roman" w:eastAsia="Times New Roman" w:hAnsi="Times New Roman"/>
          <w:sz w:val="18"/>
          <w:szCs w:val="18"/>
          <w:b w:val="1"/>
          <w:bCs w:val="1"/>
          <w:color w:val="auto"/>
        </w:rPr>
        <w:t>Old Plan</w:t>
      </w:r>
      <w:r>
        <w:rPr>
          <w:rFonts w:ascii="Times New Roman" w:cs="Times New Roman" w:eastAsia="Times New Roman" w:hAnsi="Times New Roman"/>
          <w:sz w:val="18"/>
          <w:szCs w:val="18"/>
          <w:color w:val="auto"/>
        </w:rPr>
        <w:t>”), and the LTIP which replaced and subsumed the entitlements under the Old Plan at the meeting of shareholders held on June 25, 2021. Under the Old Plan, Options were awarded to directors and employees, including NEOs, at the Board’s discretion, on the recommendation of the Governance, Nomination and Compensation Committee. Decisions with respect to options granted are based upon the individual’s level of responsibility and their contribution towards the Corporation’s goals and objectives, and additionally may be awarded in recognition of the achievement of a particular goal or extraordinary service. Under the Old Plan, the Governance, Nomination and Compensation Committee considered outstanding options granted under the incentive stock option plan and held by management in determining any new grants of options, and the quantum or terms of any options grant.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LTIP, Options and RSUs are granted by, and at the discretion of, the Board upon recommendation from the Governance, Nomination and Compensation Committee. In monitoring and adjusting the Option and RSU allotments, the Board takes into account its own observations on individual performance and its assessment of individual contribution to shareholder value, previous option grants and the objectives set for the NEOs. The scale of Options and RSUs is generally commensurate to the appropriate level of base compensation for each level of responsibility. The Board will consider the overall number of Options and RSUs that are outstanding relative to the number of outstanding Common Shares in determining whether to make any new grants of Options or RSUs and the size of such grants.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time the Corporation adopted the LTIP to replace the Old Plan, Options to purchase a total of 10,867,100 Common Shares have been issued to directors, officers, employees and consultants of the Corporation, which were subsumed under the LTIP. As of the date of this Circular, a total of 12,516,733 Options and 200,000 RSUs are outstanding under the LTIP.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LTIP is a rolling incentive plan, under which 10% of the outstanding Common Shares at any given time are available for issuance thereunder. The purpose of the LTIP is to advance the interests of the Corporation by (i) providing certain employees, officers, directors, or consultants of the Corporation (collectively, the “</w:t>
      </w:r>
      <w:r>
        <w:rPr>
          <w:rFonts w:ascii="Times New Roman" w:cs="Times New Roman" w:eastAsia="Times New Roman" w:hAnsi="Times New Roman"/>
          <w:sz w:val="18"/>
          <w:szCs w:val="18"/>
          <w:b w:val="1"/>
          <w:bCs w:val="1"/>
          <w:color w:val="auto"/>
        </w:rPr>
        <w:t>Award Holders</w:t>
      </w:r>
      <w:r>
        <w:rPr>
          <w:rFonts w:ascii="Times New Roman" w:cs="Times New Roman" w:eastAsia="Times New Roman" w:hAnsi="Times New Roman"/>
          <w:sz w:val="18"/>
          <w:szCs w:val="18"/>
          <w:color w:val="auto"/>
        </w:rPr>
        <w:t>”) with additional performance incentive; (ii) encouraging Common Share ownership by the Award Holders; (iii) increasing the proprietary interest of the Award Holders in the success of the Corporation; (iv) encouraging the Award Holders to remain with the Corporation; and (v) attracting new employees, officers, directors and consultants to the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intended to be a brief description and summary of the material features of the LTIP:</w:t>
      </w:r>
    </w:p>
    <w:p>
      <w:pPr>
        <w:spacing w:after="0" w:line="225" w:lineRule="exact"/>
        <w:rPr>
          <w:sz w:val="20"/>
          <w:szCs w:val="20"/>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maximum number of Common Shares available for issuance from treasury under the LTIP and all of the Corporation’s other security-based compensation arrangements at any given time is 10% of the outstanding Common Shares as at the date of grant of an option under the LTIP, subject to adjustment or increase of such number pursuant to the terms of the LTIP. Any Common Shares subject to an award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options or RSUs which has been granted under the LTIP and which has been cancelled, repurchased, expired or terminated in accordance with the terms of the LTIP without having been exercised will again be available under the LTIP.</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entitles the holder to receive one Common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 option shall be determined by the Board at the time each option is granted, provided that such price shall not be less than</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8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listed on the Exchange (as such term is defined in the LTIP), the last closing price of the Common Shares on the Exchange; or (ii) if the Common Shares are not listed on the Exchange, in accordance with the rules of the stock exchange on which the Common Shares are listed at the time of the grant; or (iii) if the Common Shares are not listed on any stock exchange, the minimum exercise price as determined by the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Common Shares reserved for issuance pursuant to awards granted to insiders of the Corporation at any given time, or within a 12-month period, shall not exceed 10% of the total number of Common Shares then outstanding, unless disinterested shareholder approval is obtained. The aggregate number of Common Shares reserved for issuance pursuant to awards granted to any one person or entity within any twelve-month period shall not exceed 5% of the total number of Common Shares then outstanding unless disinterested shareholder approval is obtained.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officers, consultants and employees of the Corporation or its subsidiaries, and employees of a person or company which provides management services to the Corporation or its subsidiaries are eligible to participate in the LTIP. Subject to compliance with requirements of the applicable regulators, Awards Holders may elect to hold Awards granted to them in an incorporated entity wholly owned by them and such entity is bound by the LTIP in the same manner as if the Awards were held by the Award Holder.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and all rights thereunder shall expire on the date set out in the Award agreement, provided that in no circumstances shall the duration of an Award exceed the maximum term permitted by the applicable regulators.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Awards expire during a period when trading of the Corporation’s securities by certain persons as designated by the Corporation is prohibited or within 10 business days after the end of such a period, the term of those Awards will be extended to 10 business days after the end of the prohibited trading period, unless such extension is prohibited by any applicable law or the policies of the applicable regulators.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when any Award will become exercisable and may determine that the Award will be exercisable immediately upon the date of grant, or in instalments or pursuant to a vesting schedule. However, unless the Board determines otherwise, Awards issued pursuant to the LTIP are generally subject to a vesting schedule as follows: (i) 1/3 upon the date of grant; (ii) 1/3 upon the first anniversary of the date of grant; and (iii) 1/3 upon the second anniversary of the date of grant.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Award Holder ceases to be eligible for the grant of Awards under the LTIP, Awards previously granted to such person will cease to be exercisable within a period of 90 days after the date such person ceases to be eligible under the LTIP, or such longer or shorter period as determined by the Board, provided that no Award shall remain outstanding for any period which exceeds the earlier of: (i) the expiry date of such Award; and (ii) 12 months following the date such person ceases to be eligible under the LTIP.</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Holder ceases to be a director, officer, consultant or employee of the Corporation, or its subsidiaries, or ceases to be a management company employee, for any reason (other than death), such Award Holder may exercise their Award to the extent that the Award Holder was entitled to exercise it at the date of such cessation, provided that such exercise must occur within 90 days after the Award Holder ceases to be a director, officer, consultant or employee, or a management company employee.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death of an Award Holder, the Award previously granted shall be exercisable only within 12 months after such death and only if and to the extent that such Award Holder was entitled to exercise the Award at the date of death.</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LTIP has been adopted by the Board subject to the approval of the applicable regulators and, if so approved, subject to the discretion of the Board, the LTIP will become effective upon approval at the next general meeting of the shareholders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Change of Control (as defined in the LTIP), all Awards outstanding shall be immediately exercisable.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TSX policies relating to security-based compensation arrangements require that every three years after the institution of a security based compensation arrangement, all unallocated Awards under a security based compensation arrangement without a fixed maximum aggregate of securities issuable must be approved by a majority of the Corporation’s directors and the Corporation’s shareholders. As the LTIP was last approved on June 25, 2021, Shareholders will next be asked to approve the unallocated Awards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LTIP is attached hereto as Schedule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Burn Rate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section 613 of the TSX Company Manual the following table sets out the burn rate of the awards granted under the Corporation’s security-based compensation arrangements as of the end of the financial years ended December 31, 2021 and December 31, 2020. As at the time of this Circular, the only security-based compensation arrangement is the LTIP. The table below sets out the burn rate for the Options and RSUs granted under the LTIP and the Old Plan for the years ended December 31, 2021 and December 31, 2020, The burn rate is calculated by dividing the number of Options or RSUs granted under the respective plans during the relevant fiscal year by the weighted average number of securities outstanding for the applicable fiscal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Borders>
              <w:bottom w:val="single" w:sz="8" w:color="CCEEFF"/>
            </w:tcBorders>
          </w:tcPr>
          <w:p>
            <w:pPr>
              <w:spacing w:after="0"/>
              <w:rPr>
                <w:sz w:val="21"/>
                <w:szCs w:val="2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under the LTIP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10,755,000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5,224,600</w:t>
            </w:r>
          </w:p>
        </w:tc>
        <w:tc>
          <w:tcPr>
            <w:tcW w:w="160" w:type="dxa"/>
            <w:vAlign w:val="bottom"/>
            <w:shd w:val="clear" w:color="auto" w:fill="CCEEFF"/>
          </w:tcPr>
          <w:p>
            <w:pPr>
              <w:spacing w:after="0"/>
              <w:rPr>
                <w:sz w:val="19"/>
                <w:szCs w:val="19"/>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Number of RSUs granted under the LTIP</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r>
        <w:trPr>
          <w:trHeight w:val="24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securities outstanding for the applicable year</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157,651,571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84,915,250</w:t>
            </w: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Annual burn rate of Options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burn rate of RSUs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Corporation’s Securities Trading Policy, the Corporation’s officers and directors are prohibited from purchasing financial instruments, such as prepaid variable forward contracts, equity swaps, collars or units of exchange funds securities that are designed to hedge or offset a decrease in market value of equity securities granted as compensation or held, directly or indirectly, by the officer or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NEOs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a summary of the compensation earned by the NEOs for services rendered in all capacities during the fiscal year ended December 31, 2021. Some of such officers received compensation from Backbone Hosting Solutions Inc. (“</w:t>
      </w:r>
      <w:r>
        <w:rPr>
          <w:rFonts w:ascii="Times New Roman" w:cs="Times New Roman" w:eastAsia="Times New Roman" w:hAnsi="Times New Roman"/>
          <w:sz w:val="18"/>
          <w:szCs w:val="18"/>
          <w:b w:val="1"/>
          <w:bCs w:val="1"/>
          <w:color w:val="auto"/>
        </w:rPr>
        <w:t>Backbone</w:t>
      </w:r>
      <w:r>
        <w:rPr>
          <w:rFonts w:ascii="Times New Roman" w:cs="Times New Roman" w:eastAsia="Times New Roman" w:hAnsi="Times New Roman"/>
          <w:sz w:val="18"/>
          <w:szCs w:val="18"/>
          <w:color w:val="auto"/>
        </w:rPr>
        <w:t>”) and Bitfarms Ltd., a company incorporated under the laws of the State of Israel (“</w:t>
      </w:r>
      <w:r>
        <w:rPr>
          <w:rFonts w:ascii="Times New Roman" w:cs="Times New Roman" w:eastAsia="Times New Roman" w:hAnsi="Times New Roman"/>
          <w:sz w:val="18"/>
          <w:szCs w:val="18"/>
          <w:b w:val="1"/>
          <w:bCs w:val="1"/>
          <w:color w:val="auto"/>
        </w:rPr>
        <w:t>Bitfarms Israel</w:t>
      </w:r>
      <w:r>
        <w:rPr>
          <w:rFonts w:ascii="Times New Roman" w:cs="Times New Roman" w:eastAsia="Times New Roman" w:hAnsi="Times New Roman"/>
          <w:sz w:val="18"/>
          <w:szCs w:val="18"/>
          <w:color w:val="auto"/>
        </w:rPr>
        <w:t>”), subsidiaries of the Corporation, for acting in such capacities for the financial years ended December 31, 2021, and 2020.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Salary,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940" w:type="dxa"/>
            <w:vAlign w:val="bottom"/>
            <w:vMerge w:val="restart"/>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consulting</w:t>
            </w:r>
          </w:p>
        </w:tc>
        <w:tc>
          <w:tcPr>
            <w:tcW w:w="1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 or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94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retainer</w:t>
            </w:r>
          </w:p>
        </w:tc>
        <w:tc>
          <w:tcPr>
            <w:tcW w:w="1140" w:type="dxa"/>
            <w:vAlign w:val="bottom"/>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9"/>
              </w:rPr>
              <w:t>awards</w:t>
            </w:r>
            <w:r>
              <w:rPr>
                <w:rFonts w:ascii="Times New Roman" w:cs="Times New Roman" w:eastAsia="Times New Roman" w:hAnsi="Times New Roman"/>
                <w:sz w:val="28"/>
                <w:szCs w:val="28"/>
                <w:b w:val="1"/>
                <w:bCs w:val="1"/>
                <w:color w:val="auto"/>
                <w:w w:val="99"/>
                <w:vertAlign w:val="superscript"/>
              </w:rPr>
              <w:t>(1)</w:t>
            </w:r>
          </w:p>
        </w:tc>
        <w:tc>
          <w:tcPr>
            <w:tcW w:w="940" w:type="dxa"/>
            <w:vAlign w:val="bottom"/>
          </w:tcPr>
          <w:p>
            <w:pPr>
              <w:jc w:val="center"/>
              <w:ind w:left="111"/>
              <w:spacing w:after="0" w:line="247" w:lineRule="exact"/>
              <w:rPr>
                <w:sz w:val="20"/>
                <w:szCs w:val="20"/>
                <w:color w:val="auto"/>
              </w:rPr>
            </w:pPr>
            <w:r>
              <w:rPr>
                <w:rFonts w:ascii="Times New Roman" w:cs="Times New Roman" w:eastAsia="Times New Roman" w:hAnsi="Times New Roman"/>
                <w:sz w:val="17"/>
                <w:szCs w:val="17"/>
                <w:b w:val="1"/>
                <w:bCs w:val="1"/>
                <w:color w:val="auto"/>
                <w:w w:val="99"/>
              </w:rPr>
              <w:t>awards</w:t>
            </w:r>
            <w:r>
              <w:rPr>
                <w:rFonts w:ascii="Times New Roman" w:cs="Times New Roman" w:eastAsia="Times New Roman" w:hAnsi="Times New Roman"/>
                <w:sz w:val="28"/>
                <w:szCs w:val="28"/>
                <w:b w:val="1"/>
                <w:bCs w:val="1"/>
                <w:color w:val="auto"/>
                <w:w w:val="99"/>
                <w:vertAlign w:val="superscript"/>
              </w:rPr>
              <w:t>(1)</w:t>
            </w:r>
          </w:p>
        </w:tc>
        <w:tc>
          <w:tcPr>
            <w:tcW w:w="0" w:type="dxa"/>
            <w:vAlign w:val="bottom"/>
          </w:tcPr>
          <w:p>
            <w:pPr>
              <w:spacing w:after="0"/>
              <w:rPr>
                <w:sz w:val="1"/>
                <w:szCs w:val="1"/>
                <w:color w:val="auto"/>
              </w:rPr>
            </w:pPr>
          </w:p>
        </w:tc>
      </w:tr>
      <w:tr>
        <w:trPr>
          <w:trHeight w:val="265"/>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3600"/>
        <w:spacing w:after="0"/>
        <w:rPr>
          <w:sz w:val="20"/>
          <w:szCs w:val="20"/>
          <w:color w:val="auto"/>
        </w:rPr>
      </w:pPr>
      <w:r>
        <w:rPr>
          <w:rFonts w:ascii="Times New Roman" w:cs="Times New Roman" w:eastAsia="Times New Roman" w:hAnsi="Times New Roman"/>
          <w:sz w:val="17"/>
          <w:szCs w:val="17"/>
          <w:b w:val="1"/>
          <w:bCs w:val="1"/>
          <w:color w:val="auto"/>
        </w:rPr>
        <w:t>Non-equity incentive</w:t>
      </w:r>
    </w:p>
    <w:p>
      <w:pPr>
        <w:spacing w:after="0" w:line="43"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18"/>
          <w:szCs w:val="18"/>
          <w:b w:val="1"/>
          <w:bCs w:val="1"/>
          <w:color w:val="auto"/>
        </w:rPr>
        <w:t>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5715</wp:posOffset>
            </wp:positionV>
            <wp:extent cx="11055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5535" cy="17145"/>
                    </a:xfrm>
                    <a:prstGeom prst="rect">
                      <a:avLst/>
                    </a:prstGeom>
                    <a:noFill/>
                  </pic:spPr>
                </pic:pic>
              </a:graphicData>
            </a:graphic>
          </wp:anchor>
        </w:drawing>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Long-</w:t>
            </w:r>
          </w:p>
        </w:tc>
        <w:tc>
          <w:tcPr>
            <w:tcW w:w="76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 w:type="dxa"/>
            <w:vAlign w:val="bottom"/>
            <w:vMerge w:val="continue"/>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300" w:type="dxa"/>
            <w:vAlign w:val="bottom"/>
            <w:vMerge w:val="continue"/>
          </w:tcPr>
          <w:p>
            <w:pPr>
              <w:spacing w:after="0"/>
              <w:rPr>
                <w:sz w:val="19"/>
                <w:szCs w:val="19"/>
                <w:color w:val="auto"/>
              </w:rPr>
            </w:pPr>
          </w:p>
        </w:tc>
        <w:tc>
          <w:tcPr>
            <w:tcW w:w="12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4"/>
        </w:trPr>
        <w:tc>
          <w:tcPr>
            <w:tcW w:w="800" w:type="dxa"/>
            <w:vAlign w:val="bottom"/>
          </w:tcPr>
          <w:p>
            <w:pPr>
              <w:jc w:val="center"/>
              <w:ind w:right="30"/>
              <w:spacing w:after="0" w:line="204" w:lineRule="exact"/>
              <w:rPr>
                <w:sz w:val="20"/>
                <w:szCs w:val="20"/>
                <w:color w:val="auto"/>
              </w:rPr>
            </w:pPr>
            <w:r>
              <w:rPr>
                <w:rFonts w:ascii="Times New Roman" w:cs="Times New Roman" w:eastAsia="Times New Roman" w:hAnsi="Times New Roman"/>
                <w:sz w:val="18"/>
                <w:szCs w:val="18"/>
                <w:b w:val="1"/>
                <w:bCs w:val="1"/>
                <w:color w:val="auto"/>
                <w:w w:val="98"/>
              </w:rPr>
              <w:t>incentive</w:t>
            </w:r>
          </w:p>
        </w:tc>
        <w:tc>
          <w:tcPr>
            <w:tcW w:w="8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rPr>
              <w:t>incentive</w:t>
            </w:r>
          </w:p>
        </w:tc>
        <w:tc>
          <w:tcPr>
            <w:tcW w:w="7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3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40" w:type="dxa"/>
            <w:vAlign w:val="bottom"/>
          </w:tcPr>
          <w:p>
            <w:pPr>
              <w:jc w:val="center"/>
              <w:ind w:left="90"/>
              <w:spacing w:after="0" w:line="20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82"/>
        </w:trPr>
        <w:tc>
          <w:tcPr>
            <w:tcW w:w="800" w:type="dxa"/>
            <w:vAlign w:val="bottom"/>
          </w:tcPr>
          <w:p>
            <w:pPr>
              <w:jc w:val="center"/>
              <w:ind w:right="10"/>
              <w:spacing w:after="0" w:line="283" w:lineRule="exact"/>
              <w:rPr>
                <w:sz w:val="20"/>
                <w:szCs w:val="20"/>
                <w:color w:val="auto"/>
              </w:rPr>
            </w:pPr>
            <w:r>
              <w:rPr>
                <w:rFonts w:ascii="Times New Roman" w:cs="Times New Roman" w:eastAsia="Times New Roman" w:hAnsi="Times New Roman"/>
                <w:sz w:val="18"/>
                <w:szCs w:val="18"/>
                <w:b w:val="1"/>
                <w:bCs w:val="1"/>
                <w:color w:val="auto"/>
                <w:w w:val="90"/>
              </w:rPr>
              <w:t>plans</w:t>
            </w:r>
            <w:r>
              <w:rPr>
                <w:rFonts w:ascii="Times New Roman" w:cs="Times New Roman" w:eastAsia="Times New Roman" w:hAnsi="Times New Roman"/>
                <w:sz w:val="29"/>
                <w:szCs w:val="29"/>
                <w:b w:val="1"/>
                <w:bCs w:val="1"/>
                <w:color w:val="auto"/>
                <w:w w:val="90"/>
                <w:vertAlign w:val="superscript"/>
              </w:rPr>
              <w:t>(10)</w:t>
            </w:r>
          </w:p>
        </w:tc>
        <w:tc>
          <w:tcPr>
            <w:tcW w:w="840" w:type="dxa"/>
            <w:vAlign w:val="bottom"/>
          </w:tcPr>
          <w:p>
            <w:pPr>
              <w:jc w:val="center"/>
              <w:spacing w:after="0" w:line="283" w:lineRule="exact"/>
              <w:rPr>
                <w:sz w:val="20"/>
                <w:szCs w:val="20"/>
                <w:color w:val="auto"/>
              </w:rPr>
            </w:pPr>
            <w:r>
              <w:rPr>
                <w:rFonts w:ascii="Times New Roman" w:cs="Times New Roman" w:eastAsia="Times New Roman" w:hAnsi="Times New Roman"/>
                <w:sz w:val="18"/>
                <w:szCs w:val="18"/>
                <w:b w:val="1"/>
                <w:bCs w:val="1"/>
                <w:color w:val="auto"/>
                <w:w w:val="91"/>
              </w:rPr>
              <w:t>plans</w:t>
            </w:r>
            <w:r>
              <w:rPr>
                <w:rFonts w:ascii="Times New Roman" w:cs="Times New Roman" w:eastAsia="Times New Roman" w:hAnsi="Times New Roman"/>
                <w:sz w:val="29"/>
                <w:szCs w:val="29"/>
                <w:b w:val="1"/>
                <w:bCs w:val="1"/>
                <w:color w:val="auto"/>
                <w:w w:val="91"/>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00" w:type="dxa"/>
            <w:vAlign w:val="bottom"/>
          </w:tcPr>
          <w:p>
            <w:pPr>
              <w:jc w:val="center"/>
              <w:spacing w:after="0" w:line="283"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(5)</w:t>
            </w:r>
          </w:p>
        </w:tc>
        <w:tc>
          <w:tcPr>
            <w:tcW w:w="12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760" w:space="300"/>
            <w:col w:w="518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1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43"/>
        </w:trPr>
        <w:tc>
          <w:tcPr>
            <w:tcW w:w="18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Emiliano Joel Grodzki</w:t>
            </w:r>
            <w:r>
              <w:rPr>
                <w:rFonts w:ascii="Times New Roman" w:cs="Times New Roman" w:eastAsia="Times New Roman" w:hAnsi="Times New Roman"/>
                <w:sz w:val="28"/>
                <w:szCs w:val="28"/>
                <w:color w:val="auto"/>
                <w:vertAlign w:val="superscript"/>
              </w:rPr>
              <w:t>(4)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312,498</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US$ 202,500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5,764,000 US$ 480,000</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6,758,998</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CEO, Director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189,500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161,096</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350,596</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170,000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4,800</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174,800</w:t>
            </w:r>
          </w:p>
        </w:tc>
      </w:tr>
      <w:tr>
        <w:trPr>
          <w:trHeight w:val="216"/>
        </w:trPr>
        <w:tc>
          <w:tcPr>
            <w:tcW w:w="18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1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Jeffrey Lucas</w:t>
            </w:r>
            <w:r>
              <w:rPr>
                <w:rFonts w:ascii="Times New Roman" w:cs="Times New Roman" w:eastAsia="Times New Roman" w:hAnsi="Times New Roman"/>
                <w:sz w:val="29"/>
                <w:szCs w:val="29"/>
                <w:color w:val="auto"/>
                <w:vertAlign w:val="superscript"/>
              </w:rPr>
              <w:t>(6)</w:t>
            </w: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194,727</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US$ 202,500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5,865,934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6,068,434</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CFO</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18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1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Geoffrey Morphy,</w:t>
            </w:r>
            <w:r>
              <w:rPr>
                <w:rFonts w:ascii="Times New Roman" w:cs="Times New Roman" w:eastAsia="Times New Roman" w:hAnsi="Times New Roman"/>
                <w:sz w:val="29"/>
                <w:szCs w:val="29"/>
                <w:color w:val="auto"/>
                <w:vertAlign w:val="superscript"/>
              </w:rPr>
              <w:t>(7)</w:t>
            </w: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380,742</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US$ 202,500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5,764,000 US$ 470,000</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6,740,243</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62,393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307,421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4,759</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369,814</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18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1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(8)</w:t>
            </w: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312,498</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US$ 202,500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5,764,000 US$ 480,000</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6,758,998</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189,500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161,096</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350,596</w:t>
            </w: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170,000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4,800</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174,800</w:t>
            </w:r>
          </w:p>
        </w:tc>
      </w:tr>
      <w:tr>
        <w:trPr>
          <w:trHeight w:val="216"/>
        </w:trPr>
        <w:tc>
          <w:tcPr>
            <w:tcW w:w="18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1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29"/>
                <w:szCs w:val="29"/>
                <w:color w:val="auto"/>
                <w:vertAlign w:val="superscript"/>
              </w:rPr>
              <w:t>(9)</w:t>
            </w:r>
          </w:p>
        </w:tc>
        <w:tc>
          <w:tcPr>
            <w:tcW w:w="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158,032</w:t>
            </w: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2,196,250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2,354,282</w:t>
            </w: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Mining Officer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129,366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117,600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Nil</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25" w:lineRule="exact"/>
        <w:rPr>
          <w:sz w:val="20"/>
          <w:szCs w:val="20"/>
          <w:color w:val="auto"/>
        </w:rPr>
      </w:pPr>
    </w:p>
    <w:p>
      <w:pPr>
        <w:jc w:val="both"/>
        <w:ind w:left="340" w:hanging="332"/>
        <w:spacing w:after="0" w:line="255"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calculations are based on the Black-Scholes Option Pricing Model and weighted average assumptions. Option-pricing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plan” means any plan that provides compensation intended to motivate performance to occur within one fiscal year, but does not include option or share-based awards.</w:t>
      </w:r>
    </w:p>
    <w:p>
      <w:pPr>
        <w:ind w:left="340" w:hanging="332"/>
        <w:spacing w:after="0" w:line="26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incentive plan” means any plan that provides compensation intended to motivate performance to occur over a period greater than one fiscal year, but does not include option or share-based awards.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 w:name="page20"/>
    <w:bookmarkEnd w:id="19"/>
    <w:p>
      <w:pPr>
        <w:jc w:val="both"/>
        <w:ind w:left="680" w:right="100" w:hanging="575"/>
        <w:spacing w:after="0" w:line="254"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Emiliano Joel Grodzki became a Director of Backbone on June 13, 2017 and on April 12, 2018 became a Director of Bitfarms Israel and Chief Strategy Officer of Backbone. On October 11, 2018, he became a Director and Chief Strategy Officer of the Corporation. On March 13, 2020, Mr. Grodzki became the interim CEO of the Corporation. On December 29, 2020, Mr. Grodzki became the Chief Executive Officer of the Corporation on a permanent basis. He received an annual salary of US$312,498, grants of Options and RSUs, and an annual incentive bonus in his capacity as CEO and no compensation in his capacity as director.</w:t>
      </w:r>
    </w:p>
    <w:p>
      <w:pPr>
        <w:spacing w:after="0" w:line="3"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reflect a monthly car allowance of US$400 per month that was paid in 2019.</w:t>
      </w:r>
    </w:p>
    <w:p>
      <w:pPr>
        <w:spacing w:after="0" w:line="9"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Lucas become Chief Financial Officer of the Corporation on June 14, 2021.</w:t>
      </w:r>
    </w:p>
    <w:p>
      <w:pPr>
        <w:spacing w:after="0" w:line="9" w:lineRule="exact"/>
        <w:rPr>
          <w:rFonts w:ascii="Times New Roman" w:cs="Times New Roman" w:eastAsia="Times New Roman" w:hAnsi="Times New Roman"/>
          <w:sz w:val="18"/>
          <w:szCs w:val="18"/>
          <w:color w:val="auto"/>
        </w:rPr>
      </w:pPr>
    </w:p>
    <w:p>
      <w:pPr>
        <w:jc w:val="both"/>
        <w:ind w:left="680" w:right="100" w:hanging="575"/>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Geoffrey Morphy became a director of the Corporation on May 19, 2020. On August 31, 2020, Mr. Morphy resigned as a Director of the Corporation and became Executive Vice-President – Finance, Administration &amp; Corporate Development of the Corporation. On December 29, 2020, Mr. Morphy became the President of the Corporation and on December 8, 2021 he assumed the position of Chief Operating Officer</w:t>
      </w:r>
    </w:p>
    <w:p>
      <w:pPr>
        <w:spacing w:after="0" w:line="1" w:lineRule="exact"/>
        <w:rPr>
          <w:rFonts w:ascii="Times New Roman" w:cs="Times New Roman" w:eastAsia="Times New Roman" w:hAnsi="Times New Roman"/>
          <w:sz w:val="18"/>
          <w:szCs w:val="18"/>
          <w:color w:val="auto"/>
        </w:rPr>
      </w:pPr>
    </w:p>
    <w:p>
      <w:pPr>
        <w:jc w:val="both"/>
        <w:ind w:left="680" w:right="100" w:hanging="575"/>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Bonta became Chairman of the Corporation on October 11, 2018 and became Executive Chairman on December 29, 2020. He received an annual salary of US$312,498, Option and RSU grants, and an annual incentive bonus in his capacity as Executive Chairman and no compensation in his capacity as a director.</w:t>
      </w:r>
    </w:p>
    <w:p>
      <w:pPr>
        <w:spacing w:after="0" w:line="1" w:lineRule="exact"/>
        <w:rPr>
          <w:rFonts w:ascii="Times New Roman" w:cs="Times New Roman" w:eastAsia="Times New Roman" w:hAnsi="Times New Roman"/>
          <w:sz w:val="18"/>
          <w:szCs w:val="18"/>
          <w:color w:val="auto"/>
        </w:rPr>
      </w:pPr>
    </w:p>
    <w:p>
      <w:pPr>
        <w:ind w:left="680" w:hanging="575"/>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Gagnon was appointed as Chief Mining Officer on June 3, 2021.</w:t>
      </w:r>
    </w:p>
    <w:p>
      <w:pPr>
        <w:spacing w:after="0" w:line="9" w:lineRule="exact"/>
        <w:rPr>
          <w:rFonts w:ascii="Times New Roman" w:cs="Times New Roman" w:eastAsia="Times New Roman" w:hAnsi="Times New Roman"/>
          <w:sz w:val="18"/>
          <w:szCs w:val="18"/>
          <w:color w:val="auto"/>
        </w:rPr>
      </w:pPr>
    </w:p>
    <w:p>
      <w:pPr>
        <w:jc w:val="both"/>
        <w:ind w:left="680" w:right="100" w:hanging="575"/>
        <w:spacing w:after="0" w:line="255"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paid as annual incentives were made pursuant to an incentive plan under which certain directors and members of senior management were awarded with a total of 50 Bitcoins, payable in December 2021, contingent on the Corporation completing a listing on the Nasdaq Stock Market and on their continued employment with the Corporation.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Plan Awards to NEOs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share-based awards and option-based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outstanding option-based awards for each NEO and executive officer of the Corporation as at December 31, 2021;</w:t>
      </w:r>
    </w:p>
    <w:p>
      <w:pPr>
        <w:sectPr>
          <w:pgSz w:w="11900" w:h="16838" w:orient="portrait"/>
          <w:cols w:equalWidth="0" w:num="1">
            <w:col w:w="11240"/>
          </w:cols>
          <w:pgMar w:left="320" w:top="904" w:right="339" w:bottom="825" w:gutter="0" w:footer="0" w:header="0"/>
        </w:sectPr>
      </w:pP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Option-Based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19685</wp:posOffset>
            </wp:positionV>
            <wp:extent cx="2802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3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2380" w:type="dxa"/>
            <w:vAlign w:val="bottom"/>
          </w:tcPr>
          <w:p>
            <w:pPr>
              <w:jc w:val="center"/>
              <w:ind w:left="1050"/>
              <w:spacing w:after="0" w:line="18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3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3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23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money</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0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options </w:t>
            </w: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29"/>
                <w:szCs w:val="29"/>
                <w:b w:val="1"/>
                <w:bCs w:val="1"/>
                <w:color w:val="auto"/>
                <w:w w:val="96"/>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Share-Based Awards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rPr>
              <w:t>Market or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payout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value</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16"/>
        </w:trPr>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not paid</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out or</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vested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w:t>
            </w: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distributed</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vested </w:t>
            </w: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29"/>
                <w:szCs w:val="29"/>
                <w:b w:val="1"/>
                <w:bCs w:val="1"/>
                <w:color w:val="auto"/>
                <w:w w:val="93"/>
                <w:vertAlign w:val="superscript"/>
              </w:rPr>
              <w:t>(2)</w:t>
            </w: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700" w:space="220"/>
            <w:col w:w="3320"/>
          </w:cols>
          <w:pgMar w:left="320" w:top="904" w:right="339" w:bottom="825"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83"/>
        </w:trPr>
        <w:tc>
          <w:tcPr>
            <w:tcW w:w="3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Emiliano Grodzki</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116,175</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1.76</w:t>
            </w: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12/22/2025</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536,728</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8"/>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CEO, Director and Chief Strategy Officer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1"/>
        </w:trPr>
        <w:tc>
          <w:tcPr>
            <w:tcW w:w="3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12/06/2026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319,000</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6"/>
              </w:rPr>
              <w:t>Nil</w:t>
            </w:r>
          </w:p>
        </w:tc>
      </w:tr>
      <w:tr>
        <w:trPr>
          <w:trHeight w:val="243"/>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96"/>
        </w:trPr>
        <w:tc>
          <w:tcPr>
            <w:tcW w:w="34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Jeffrey Lucas</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417,975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5.01</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06/29/2026</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572,626</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1"/>
        </w:trPr>
        <w:tc>
          <w:tcPr>
            <w:tcW w:w="3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182,025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319,000</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6"/>
              </w:rPr>
              <w:t>Nil</w:t>
            </w:r>
          </w:p>
        </w:tc>
      </w:tr>
      <w:tr>
        <w:trPr>
          <w:trHeight w:val="243"/>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96"/>
        </w:trPr>
        <w:tc>
          <w:tcPr>
            <w:tcW w:w="34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Geoffrey Morphy</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330,000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0.43</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08/31/2025</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1,963,500</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12/22/2025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536,728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1"/>
        </w:trPr>
        <w:tc>
          <w:tcPr>
            <w:tcW w:w="3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12/06/2026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319,000</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6"/>
              </w:rPr>
              <w:t>Nil</w:t>
            </w:r>
          </w:p>
        </w:tc>
      </w:tr>
      <w:tr>
        <w:trPr>
          <w:trHeight w:val="243"/>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96"/>
        </w:trPr>
        <w:tc>
          <w:tcPr>
            <w:tcW w:w="34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Nicolas Bonta</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116,175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1.76</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12/22/2025</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536,728</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1"/>
        </w:trPr>
        <w:tc>
          <w:tcPr>
            <w:tcW w:w="3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12/06/2026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319,000</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6"/>
              </w:rPr>
              <w:t>Nil</w:t>
            </w:r>
          </w:p>
        </w:tc>
      </w:tr>
      <w:tr>
        <w:trPr>
          <w:trHeight w:val="243"/>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96"/>
        </w:trPr>
        <w:tc>
          <w:tcPr>
            <w:tcW w:w="34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Benjamin Gagnon</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0.35</w:t>
            </w:r>
          </w:p>
        </w:tc>
        <w:tc>
          <w:tcPr>
            <w:tcW w:w="9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09/22/2025</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1,809,000</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Mining Officer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12/22/2025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342,500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61"/>
        </w:trPr>
        <w:tc>
          <w:tcPr>
            <w:tcW w:w="3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31,250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12/06/2026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Nil</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6"/>
              </w:rPr>
              <w:t>Nil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unexercised in-the-money options is calculated based on the difference between the strike price of the option and the closing price of the Common Shares as of December 31, 2021, which was $6.38</w:t>
      </w: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RSUs is calculated by using the closing price of the Common Shares as of December 31, 2021, which was $6.38.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2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Incentive Plan Awards – Value Vested or Earned During the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value vested or earned on incentive plan awards for each NEO and executive officer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during the financial year ended December 31, 2021:</w:t>
      </w:r>
    </w:p>
    <w:p>
      <w:pPr>
        <w:sectPr>
          <w:pgSz w:w="11900" w:h="16838" w:orient="portrait"/>
          <w:cols w:equalWidth="0" w:num="1">
            <w:col w:w="11240"/>
          </w:cols>
          <w:pgMar w:left="320" w:top="902" w:right="3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4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based</w:t>
            </w:r>
          </w:p>
        </w:tc>
      </w:tr>
      <w:tr>
        <w:trPr>
          <w:trHeight w:val="216"/>
        </w:trPr>
        <w:tc>
          <w:tcPr>
            <w:tcW w:w="4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w:t>
            </w:r>
          </w:p>
        </w:tc>
      </w:tr>
      <w:tr>
        <w:trPr>
          <w:trHeight w:val="216"/>
        </w:trPr>
        <w:tc>
          <w:tcPr>
            <w:tcW w:w="4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16"/>
        </w:trPr>
        <w:tc>
          <w:tcPr>
            <w:tcW w:w="4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during</w:t>
            </w:r>
          </w:p>
        </w:tc>
      </w:tr>
      <w:tr>
        <w:trPr>
          <w:trHeight w:val="220"/>
        </w:trPr>
        <w:tc>
          <w:tcPr>
            <w:tcW w:w="4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53"/>
        </w:trPr>
        <w:tc>
          <w:tcPr>
            <w:tcW w:w="4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center"/>
              <w:ind w:right="60"/>
              <w:spacing w:after="0" w:line="252" w:lineRule="exact"/>
              <w:rPr>
                <w:sz w:val="20"/>
                <w:szCs w:val="20"/>
                <w:color w:val="auto"/>
              </w:rPr>
            </w:pPr>
            <w:r>
              <w:rPr>
                <w:rFonts w:ascii="Times New Roman" w:cs="Times New Roman" w:eastAsia="Times New Roman" w:hAnsi="Times New Roman"/>
                <w:sz w:val="18"/>
                <w:szCs w:val="18"/>
                <w:b w:val="1"/>
                <w:bCs w:val="1"/>
                <w:color w:val="auto"/>
                <w:w w:val="91"/>
              </w:rPr>
              <w:t>year</w:t>
            </w:r>
            <w:r>
              <w:rPr>
                <w:rFonts w:ascii="Times New Roman" w:cs="Times New Roman" w:eastAsia="Times New Roman" w:hAnsi="Times New Roman"/>
                <w:sz w:val="29"/>
                <w:szCs w:val="29"/>
                <w:b w:val="1"/>
                <w:bCs w:val="1"/>
                <w:color w:val="auto"/>
                <w:w w:val="91"/>
                <w:vertAlign w:val="superscript"/>
              </w:rPr>
              <w:t>(1)</w:t>
            </w:r>
          </w:p>
        </w:tc>
      </w:tr>
      <w:tr>
        <w:trPr>
          <w:trHeight w:val="245"/>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21"/>
                <w:szCs w:val="21"/>
                <w:color w:val="auto"/>
              </w:rPr>
            </w:pPr>
          </w:p>
        </w:tc>
      </w:tr>
      <w:tr>
        <w:trPr>
          <w:trHeight w:val="198"/>
        </w:trPr>
        <w:tc>
          <w:tcPr>
            <w:tcW w:w="776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Emiliano Grodzki</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984,307</w:t>
            </w:r>
          </w:p>
        </w:tc>
        <w:tc>
          <w:tcPr>
            <w:tcW w:w="20" w:type="dxa"/>
            <w:vAlign w:val="bottom"/>
          </w:tcPr>
          <w:p>
            <w:pPr>
              <w:spacing w:after="0"/>
              <w:rPr>
                <w:sz w:val="17"/>
                <w:szCs w:val="17"/>
                <w:color w:val="auto"/>
              </w:rPr>
            </w:pP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656,871</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Morphy</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3.083,057</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984,307</w:t>
            </w:r>
          </w:p>
        </w:tc>
      </w:tr>
      <w:tr>
        <w:trPr>
          <w:trHeight w:val="234"/>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1,536,950</w:t>
            </w:r>
          </w:p>
        </w:tc>
      </w:tr>
      <w:tr>
        <w:trPr>
          <w:trHeight w:val="391"/>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r>
      <w:tr>
        <w:trPr>
          <w:trHeight w:val="225"/>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19"/>
                <w:szCs w:val="19"/>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plan</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0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 Value</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00" w:type="dxa"/>
            <w:vAlign w:val="bottom"/>
          </w:tcPr>
          <w:p>
            <w:pPr>
              <w:spacing w:after="0"/>
              <w:rPr>
                <w:sz w:val="18"/>
                <w:szCs w:val="18"/>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year</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center"/>
              <w:ind w:right="380"/>
              <w:spacing w:after="0" w:line="247" w:lineRule="exact"/>
              <w:rPr>
                <w:sz w:val="20"/>
                <w:szCs w:val="20"/>
                <w:color w:val="auto"/>
              </w:rPr>
            </w:pPr>
            <w:r>
              <w:rPr>
                <w:rFonts w:ascii="Times New Roman" w:cs="Times New Roman" w:eastAsia="Times New Roman" w:hAnsi="Times New Roman"/>
                <w:sz w:val="17"/>
                <w:szCs w:val="17"/>
                <w:b w:val="1"/>
                <w:bCs w:val="1"/>
                <w:color w:val="auto"/>
                <w:w w:val="96"/>
              </w:rPr>
              <w:t>year</w:t>
            </w:r>
            <w:r>
              <w:rPr>
                <w:rFonts w:ascii="Times New Roman" w:cs="Times New Roman" w:eastAsia="Times New Roman" w:hAnsi="Times New Roman"/>
                <w:sz w:val="28"/>
                <w:szCs w:val="28"/>
                <w:b w:val="1"/>
                <w:bCs w:val="1"/>
                <w:color w:val="auto"/>
                <w:w w:val="96"/>
                <w:vertAlign w:val="superscript"/>
              </w:rPr>
              <w:t>(2)</w:t>
            </w:r>
          </w:p>
        </w:tc>
      </w:tr>
      <w:tr>
        <w:trPr>
          <w:trHeight w:val="245"/>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21"/>
                <w:szCs w:val="21"/>
                <w:color w:val="auto"/>
              </w:rPr>
            </w:pPr>
          </w:p>
        </w:tc>
      </w:tr>
      <w:tr>
        <w:trPr>
          <w:trHeight w:val="198"/>
        </w:trPr>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7"/>
                <w:szCs w:val="17"/>
                <w:color w:val="auto"/>
              </w:rPr>
            </w:pPr>
          </w:p>
        </w:tc>
        <w:tc>
          <w:tcPr>
            <w:tcW w:w="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3"/>
              </w:rPr>
              <w:t>US$</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480,000</w:t>
            </w:r>
          </w:p>
        </w:tc>
        <w:tc>
          <w:tcPr>
            <w:tcW w:w="20" w:type="dxa"/>
            <w:vAlign w:val="bottom"/>
          </w:tcPr>
          <w:p>
            <w:pPr>
              <w:spacing w:after="0"/>
              <w:rPr>
                <w:sz w:val="17"/>
                <w:szCs w:val="17"/>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3"/>
              </w:rPr>
              <w:t>US$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3"/>
              </w:rPr>
              <w:t>US$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480,000</w:t>
            </w: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605" w:lineRule="exact"/>
        <w:rPr>
          <w:sz w:val="20"/>
          <w:szCs w:val="20"/>
          <w:color w:val="auto"/>
        </w:rPr>
      </w:pPr>
    </w:p>
    <w:p>
      <w:pPr>
        <w:sectPr>
          <w:pgSz w:w="11900" w:h="16838" w:orient="portrait"/>
          <w:cols w:equalWidth="0" w:num="2">
            <w:col w:w="8700" w:space="220"/>
            <w:col w:w="2320"/>
          </w:cols>
          <w:pgMar w:left="320" w:top="902" w:right="339" w:bottom="1440" w:gutter="0" w:footer="0" w:header="0"/>
          <w:type w:val="continuous"/>
        </w:sectPr>
      </w:pPr>
    </w:p>
    <w:p>
      <w:pPr>
        <w:spacing w:after="0" w:line="25" w:lineRule="exact"/>
        <w:rPr>
          <w:sz w:val="20"/>
          <w:szCs w:val="20"/>
          <w:color w:val="auto"/>
        </w:rPr>
      </w:pPr>
    </w:p>
    <w:p>
      <w:pPr>
        <w:ind w:left="580" w:hanging="572"/>
        <w:spacing w:after="0" w:line="261"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ind w:left="580" w:hanging="572"/>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pursuant to the Corporation’s annual bonus program.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Employment and Consulting Agreements and Termination and Change of Control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NEOs has entered into an employment or consulting agreement with the Corporation. Those employment agreements include provisions regarding base salary, annual bonuses, confidentiality and ownership of intellectual property, among other things. Other than as may be provided pursuant to the employment or consulting agreements with Mr. Grodzki, Mr. Bonta, Mr. Morphy, and Mr. Lucas, each as described herein, the Corporation is not party to any compensation plan or arrangement with NEOs that provides for payment resulting from the resignation, retirement or the termination of employment of any person.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Emiliano Joel Grodzki</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12, 2018 and as amended on March 15, 2019, May 24, 2018, June 10, 2019 and May 26, 2020, Backbone entered into a consulting services agreement with Emiliano Grodzki, pursuant to which Mr. Grodzki is retained as Chief Strategy Officer of Backbone and of the Corporation, in consideration of annual consulting fee of US$220,000. Mr. Grodzki’s duties and responsibilities include the overall vision and mission of Bitfarms and participation as a member of the executive management team. He focuses on effective growth, oversee implementation of the strategic plan in close coordination with Bitfarms’ board of directors, build new partnerships to grow and sustain the organization and, manage special pilot projects. Mr. Grodzki shall devote 75% of his time to this position. Backbone may terminate Mr. Grodzki’s consulting services agreement without cause, in which case Mr. Grodzki will be owed an amount equivalent to 12-months of consulting fees following his termination. This same amount will be payable upon the termination of the consulting services agreement within twelve months of a Change of Control. Mr. Grodzki has entered into a non-competition and non-disclosure agreement with Backbone and the Corporation.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Nicolas Bonta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12, 2018 and as amended on May 24, 2018, June 10, 2019 and May 26, 2020, Backbone entered into a consulting services agreement with Nicolas Bonta, pursuant to which Mr. Bonta is retained as a consultant, in consideration of annual consulting fee of US$220,000. Mr. Bonta’s duties and responsibilities include: acting as Chairman of the Board of Backbone and of the Corporation, undertaking investor relations initiatives and programs to broaden investor awareness and, developing recommendations to refine Bitfarms’s corporate development strategy. It is expected that Mr. Bonta shall devote 75% of his time to this position. Backbone may terminate Mr. Bonta’s consulting services agreement without cause, in which case Mr. Bonta will be owed an amount equivalent to 12-months of consulting fees following his termination. This same amount will be payable upon the termination of the consulting services agreement within twelve months of a Change of Control. Mr. Bonta has entered into a non-competition and non-disclosure agreement with Backbone and the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 Geoffrey Morphy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26, 2020, the Corporation entered into an employment agreement with Geoffrey Morphy, pursuant to which Mr. Morphy was employed as Executive Vice-President – Finance, Administration &amp; Corporate Development in consideration of an annual base salary of US$220,000 on a full-time basis. On December 29, 2020, Mr. Morphy became the President of the Corporation. On December 8, 2021 he assumed the position of Chief Operating Officer, in addition as his role as President, and his relationship with the Corporation continues to be governed by the employment agreement. Mr. Morphy’s duties and responsibilities include developing and refining the Corporation’s shareholder relations, capital market strategy and corporate development strategy to create accretive growth and maximize shareholder value, as well as having oversight of the Corporation’s finance and administrative groups. The Corporation may terminate the employment without cause at any time, provided that the Corporation pay Mr. Morphy fourteen</w:t>
      </w:r>
    </w:p>
    <w:p>
      <w:pPr>
        <w:spacing w:after="0" w:line="3" w:lineRule="exact"/>
        <w:rPr>
          <w:sz w:val="20"/>
          <w:szCs w:val="20"/>
          <w:color w:val="auto"/>
        </w:rPr>
      </w:pPr>
    </w:p>
    <w:p>
      <w:pPr>
        <w:jc w:val="both"/>
        <w:ind w:firstLine="8"/>
        <w:spacing w:after="0" w:line="253" w:lineRule="auto"/>
        <w:tabs>
          <w:tab w:leader="none" w:pos="3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payment in lieu of notice of termination for the first year of service and, thereafter, one (1) month of notice plus one (1) month of payment in lieu of notice per six-months of service up to a maximum payment in lieu of notice period of twenty-four (24) months. Double (i.e. two times) such amount will be payable upon the termination of the employment agreement within twelve months of a Change of Control. Mr. Morphy has entered into a non-competition and non-disclosure agreement with the Corporation.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Jeffrey Lucas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June 14, 2021, the Corporation entered into an employment agreement with Jeffrey Lucas, pursuant to which Mr. Lucas was employed as Chief Financial Officer of an annual base salary of US$220,000 on a full-time basis. The Corporation may terminate the employment without cause at any time, provided that the Corporation continue to pay Mr. Lucas on a continue basis for a period of twelve (12) months following the termination, with the first payment being made after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termination.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no pension or retirement plan. The Corporation has not provided compensation, monetary or otherwise to any person who now acts as a NEO of the Corporation, in connection with or related to the retirement, termination or resignation of such person and the Corporation has provided no compensation to such persons as a result of a change of control of the Corporation, its subsidiaries or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financial year ended December 31, 2021, directors were compensated with respect to general directors’ duties, meeting attendance or for additional service on Board committees. Directors may also receive equity-based compensation pursuant to the Corporation’s LTIP. Options and RSUs are granted at the discretion of the Board upon the recommendation of the Governance, Nomination and Compensation Committee. Directors may also be reimbursed for out-of-pocket expenses incurred in carrying out their duties as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Officers of the Corporation who also act as directors do not receive additional compensation for services rendered in such capacity, other than as paid by the Corporation pursuant to their capacity as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compensation paid to the non-NEO directors of the Corporation:</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center"/>
              <w:ind w:right="6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plan</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All other</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29"/>
                <w:szCs w:val="29"/>
                <w:b w:val="1"/>
                <w:bCs w:val="1"/>
                <w:color w:val="auto"/>
                <w:vertAlign w:val="superscript"/>
              </w:rPr>
              <w:t>(1)</w:t>
            </w:r>
          </w:p>
        </w:tc>
        <w:tc>
          <w:tcPr>
            <w:tcW w:w="3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22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Option-based</w:t>
            </w:r>
          </w:p>
        </w:tc>
        <w:tc>
          <w:tcPr>
            <w:tcW w:w="100" w:type="dxa"/>
            <w:vAlign w:val="bottom"/>
          </w:tcPr>
          <w:p>
            <w:pPr>
              <w:spacing w:after="0"/>
              <w:rPr>
                <w:sz w:val="18"/>
                <w:szCs w:val="18"/>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420" w:type="dxa"/>
            <w:vAlign w:val="bottom"/>
          </w:tcPr>
          <w:p>
            <w:pPr>
              <w:spacing w:after="0"/>
              <w:rPr>
                <w:sz w:val="18"/>
                <w:szCs w:val="18"/>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 ($)</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277"/>
        </w:trPr>
        <w:tc>
          <w:tcPr>
            <w:tcW w:w="10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410"/>
              <w:spacing w:after="0" w:line="270" w:lineRule="exact"/>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29"/>
                <w:szCs w:val="29"/>
                <w:b w:val="1"/>
                <w:bCs w:val="1"/>
                <w:color w:val="auto"/>
                <w:w w:val="96"/>
                <w:vertAlign w:val="superscript"/>
              </w:rPr>
              <w:t>(3)</w:t>
            </w: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22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value ($)</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Brian</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Howlett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1,283,000</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3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Nil</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1,434,000</w:t>
            </w: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Pierre</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Seccareccia</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1,283,000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Nil</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1,434,000</w:t>
            </w:r>
          </w:p>
        </w:tc>
        <w:tc>
          <w:tcPr>
            <w:tcW w:w="0" w:type="dxa"/>
            <w:vAlign w:val="bottom"/>
          </w:tcPr>
          <w:p>
            <w:pPr>
              <w:spacing w:after="0"/>
              <w:rPr>
                <w:sz w:val="1"/>
                <w:szCs w:val="1"/>
                <w:color w:val="auto"/>
              </w:rPr>
            </w:pPr>
          </w:p>
        </w:tc>
      </w:tr>
      <w:tr>
        <w:trPr>
          <w:trHeight w:val="198"/>
        </w:trPr>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Andres</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Finkielsztain</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1,283,000</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13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Nil</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575"/>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any amount paid as reimbursement for expenses.</w:t>
      </w:r>
    </w:p>
    <w:p>
      <w:pPr>
        <w:spacing w:after="0" w:line="27" w:lineRule="exact"/>
        <w:rPr>
          <w:rFonts w:ascii="Times New Roman" w:cs="Times New Roman" w:eastAsia="Times New Roman" w:hAnsi="Times New Roman"/>
          <w:sz w:val="18"/>
          <w:szCs w:val="18"/>
          <w:color w:val="auto"/>
        </w:rPr>
      </w:pPr>
    </w:p>
    <w:p>
      <w:pPr>
        <w:ind w:left="680" w:right="100" w:hanging="575"/>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during the year ended December 31, 2021 to a director of the Corporation who was also an NEO will be reflected in the Summary Compensation Table for NEOs.</w:t>
      </w:r>
    </w:p>
    <w:p>
      <w:pPr>
        <w:jc w:val="both"/>
        <w:ind w:left="680" w:right="100" w:hanging="575"/>
        <w:spacing w:after="0" w:line="255"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received an annual cash stipend of US$30,000, with an additional US$10,000 for serving as a chair of a board committee and an extra $5,000 for serving as a non-chair member of a board committee during 2020. Effective August 1, 2021, Independent directors were to receive an annual cash stipend of US$60,000 and an additional US$10,000 for the Lead Director (Brian Howlett).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to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Option and Share-Based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outstanding option-based awards for each non-NEO director as at December 31, 2021:</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in-the-money</w:t>
            </w:r>
          </w:p>
        </w:tc>
        <w:tc>
          <w:tcPr>
            <w:tcW w:w="0" w:type="dxa"/>
            <w:vAlign w:val="bottom"/>
          </w:tcPr>
          <w:p>
            <w:pPr>
              <w:spacing w:after="0"/>
              <w:rPr>
                <w:sz w:val="1"/>
                <w:szCs w:val="1"/>
                <w:color w:val="auto"/>
              </w:rPr>
            </w:pPr>
          </w:p>
        </w:tc>
      </w:tr>
      <w:tr>
        <w:trPr>
          <w:trHeight w:val="277"/>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2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2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options </w:t>
            </w: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29"/>
                <w:szCs w:val="29"/>
                <w:b w:val="1"/>
                <w:bCs w:val="1"/>
                <w:color w:val="auto"/>
                <w:w w:val="96"/>
                <w:vertAlign w:val="superscript"/>
              </w:rPr>
              <w:t>(1)</w:t>
            </w:r>
          </w:p>
        </w:tc>
        <w:tc>
          <w:tcPr>
            <w:tcW w:w="0" w:type="dxa"/>
            <w:vAlign w:val="bottom"/>
          </w:tcPr>
          <w:p>
            <w:pPr>
              <w:spacing w:after="0"/>
              <w:rPr>
                <w:sz w:val="1"/>
                <w:szCs w:val="1"/>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Howlett</w:t>
            </w:r>
          </w:p>
        </w:tc>
        <w:tc>
          <w:tcPr>
            <w:tcW w:w="1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92,500</w:t>
            </w:r>
          </w:p>
        </w:tc>
        <w:tc>
          <w:tcPr>
            <w:tcW w:w="260" w:type="dxa"/>
            <w:vAlign w:val="bottom"/>
          </w:tcPr>
          <w:p>
            <w:pPr>
              <w:spacing w:after="0"/>
              <w:rPr>
                <w:sz w:val="17"/>
                <w:szCs w:val="17"/>
                <w:color w:val="auto"/>
              </w:rPr>
            </w:pPr>
          </w:p>
        </w:tc>
        <w:tc>
          <w:tcPr>
            <w:tcW w:w="13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0.36</w:t>
            </w:r>
          </w:p>
        </w:tc>
        <w:tc>
          <w:tcPr>
            <w:tcW w:w="13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06/28/2025</w:t>
            </w: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556,850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12/22/2025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06/29/2026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171,250</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8.13</w:t>
            </w: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12/06/2026</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Seccareccia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0.36</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06/28/2025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06/29/2026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128,437</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8.13</w:t>
            </w: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12/06/2026</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-1000760</wp:posOffset>
            </wp:positionV>
            <wp:extent cx="7132320" cy="574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Share-Based Awards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Market or</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216"/>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payout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value of</w:t>
            </w:r>
          </w:p>
        </w:tc>
      </w:tr>
      <w:tr>
        <w:trPr>
          <w:trHeight w:val="216"/>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 share-based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share-</w:t>
            </w:r>
          </w:p>
        </w:tc>
      </w:tr>
      <w:tr>
        <w:trPr>
          <w:trHeight w:val="216"/>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 awards</w:t>
            </w:r>
          </w:p>
        </w:tc>
      </w:tr>
      <w:tr>
        <w:trPr>
          <w:trHeight w:val="216"/>
        </w:trPr>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 paid out or</w:t>
            </w:r>
          </w:p>
        </w:tc>
      </w:tr>
      <w:tr>
        <w:trPr>
          <w:trHeight w:val="238"/>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distributed ($)</w:t>
            </w:r>
          </w:p>
        </w:tc>
      </w:tr>
      <w:tr>
        <w:trPr>
          <w:trHeight w:val="34"/>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864"/>
        </w:trPr>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Nil</w:t>
            </w:r>
          </w:p>
        </w:tc>
        <w:tc>
          <w:tcPr>
            <w:tcW w:w="12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6"/>
              </w:rPr>
              <w:t>Nil</w:t>
            </w:r>
          </w:p>
        </w:tc>
      </w:tr>
      <w:tr>
        <w:trPr>
          <w:trHeight w:val="675"/>
        </w:trPr>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Nil</w:t>
            </w:r>
          </w:p>
        </w:tc>
        <w:tc>
          <w:tcPr>
            <w:tcW w:w="12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6"/>
              </w:rPr>
              <w:t>Nil</w:t>
            </w:r>
          </w:p>
        </w:tc>
      </w:tr>
    </w:tbl>
    <w:p>
      <w:pPr>
        <w:spacing w:after="0" w:line="25" w:lineRule="exact"/>
        <w:rPr>
          <w:sz w:val="20"/>
          <w:szCs w:val="20"/>
          <w:color w:val="auto"/>
        </w:rPr>
      </w:pPr>
    </w:p>
    <w:p>
      <w:pPr>
        <w:sectPr>
          <w:pgSz w:w="11900" w:h="16838" w:orient="portrait"/>
          <w:cols w:equalWidth="0" w:num="2">
            <w:col w:w="7120" w:space="220"/>
            <w:col w:w="39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13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Andres</w:t>
            </w:r>
          </w:p>
        </w:tc>
        <w:tc>
          <w:tcPr>
            <w:tcW w:w="1780" w:type="dxa"/>
            <w:vAlign w:val="bottom"/>
            <w:shd w:val="clear" w:color="auto" w:fill="CCEEFF"/>
          </w:tcPr>
          <w:p>
            <w:pPr>
              <w:jc w:val="right"/>
              <w:ind w:right="650"/>
              <w:spacing w:after="0" w:line="200" w:lineRule="exact"/>
              <w:rPr>
                <w:sz w:val="20"/>
                <w:szCs w:val="20"/>
                <w:color w:val="auto"/>
              </w:rPr>
            </w:pPr>
            <w:r>
              <w:rPr>
                <w:rFonts w:ascii="Times New Roman" w:cs="Times New Roman" w:eastAsia="Times New Roman" w:hAnsi="Times New Roman"/>
                <w:sz w:val="18"/>
                <w:szCs w:val="18"/>
                <w:color w:val="auto"/>
              </w:rPr>
              <w:t>125,000</w:t>
            </w:r>
          </w:p>
        </w:tc>
        <w:tc>
          <w:tcPr>
            <w:tcW w:w="1280" w:type="dxa"/>
            <w:vAlign w:val="bottom"/>
            <w:shd w:val="clear" w:color="auto" w:fill="CCEEFF"/>
          </w:tcPr>
          <w:p>
            <w:pPr>
              <w:jc w:val="right"/>
              <w:ind w:right="150"/>
              <w:spacing w:after="0" w:line="200" w:lineRule="exact"/>
              <w:rPr>
                <w:sz w:val="20"/>
                <w:szCs w:val="20"/>
                <w:color w:val="auto"/>
              </w:rPr>
            </w:pPr>
            <w:r>
              <w:rPr>
                <w:rFonts w:ascii="Times New Roman" w:cs="Times New Roman" w:eastAsia="Times New Roman" w:hAnsi="Times New Roman"/>
                <w:sz w:val="18"/>
                <w:szCs w:val="18"/>
                <w:color w:val="auto"/>
              </w:rPr>
              <w:t>5.01</w:t>
            </w:r>
          </w:p>
        </w:tc>
        <w:tc>
          <w:tcPr>
            <w:tcW w:w="1600" w:type="dxa"/>
            <w:vAlign w:val="bottom"/>
            <w:shd w:val="clear" w:color="auto" w:fill="CCEEFF"/>
          </w:tcPr>
          <w:p>
            <w:pPr>
              <w:jc w:val="right"/>
              <w:ind w:right="450"/>
              <w:spacing w:after="0" w:line="200" w:lineRule="exact"/>
              <w:rPr>
                <w:sz w:val="20"/>
                <w:szCs w:val="20"/>
                <w:color w:val="auto"/>
              </w:rPr>
            </w:pPr>
            <w:r>
              <w:rPr>
                <w:rFonts w:ascii="Times New Roman" w:cs="Times New Roman" w:eastAsia="Times New Roman" w:hAnsi="Times New Roman"/>
                <w:sz w:val="18"/>
                <w:szCs w:val="18"/>
                <w:color w:val="auto"/>
              </w:rPr>
              <w:t>06/29/2026</w:t>
            </w:r>
          </w:p>
        </w:tc>
        <w:tc>
          <w:tcPr>
            <w:tcW w:w="1700" w:type="dxa"/>
            <w:vAlign w:val="bottom"/>
            <w:shd w:val="clear" w:color="auto" w:fill="CCEEFF"/>
          </w:tcPr>
          <w:p>
            <w:pPr>
              <w:jc w:val="right"/>
              <w:ind w:right="530"/>
              <w:spacing w:after="0" w:line="200" w:lineRule="exact"/>
              <w:rPr>
                <w:sz w:val="20"/>
                <w:szCs w:val="20"/>
                <w:color w:val="auto"/>
              </w:rPr>
            </w:pPr>
            <w:r>
              <w:rPr>
                <w:rFonts w:ascii="Times New Roman" w:cs="Times New Roman" w:eastAsia="Times New Roman" w:hAnsi="Times New Roman"/>
                <w:sz w:val="18"/>
                <w:szCs w:val="18"/>
                <w:color w:val="auto"/>
              </w:rPr>
              <w:t>171,250</w:t>
            </w:r>
          </w:p>
        </w:tc>
        <w:tc>
          <w:tcPr>
            <w:tcW w:w="1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61"/>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Finkielsztain</w:t>
            </w:r>
          </w:p>
        </w:tc>
        <w:tc>
          <w:tcPr>
            <w:tcW w:w="17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25,000</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8.13</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12/06/2026</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Nil</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6"/>
              </w:rPr>
              <w:t>Nil</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0" w:hanging="572"/>
        <w:spacing w:after="0" w:line="250"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unexercised in-the-money options is calculated based on the difference between the strike price of the option and the closing price of the Common Shares as of December 31, 2021, which was $6.38.</w:t>
      </w: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RSUs is calculated by using the closing price of the Common Shares as of December 31, 2021, which was $6.38.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Value Vested or Earned During the Year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value vested or earned on incentive plan awards for each non-NEO director during the fiscal year ended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Option-based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 paln</w:t>
            </w: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compensation –</w:t>
            </w: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vested</w:t>
            </w: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during the</w:t>
            </w:r>
          </w:p>
        </w:tc>
      </w:tr>
      <w:tr>
        <w:trPr>
          <w:trHeight w:val="248"/>
        </w:trPr>
        <w:tc>
          <w:tcPr>
            <w:tcW w:w="7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60"/>
              <w:spacing w:after="0" w:line="247" w:lineRule="exact"/>
              <w:rPr>
                <w:sz w:val="20"/>
                <w:szCs w:val="20"/>
                <w:color w:val="auto"/>
              </w:rPr>
            </w:pPr>
            <w:r>
              <w:rPr>
                <w:rFonts w:ascii="Times New Roman" w:cs="Times New Roman" w:eastAsia="Times New Roman" w:hAnsi="Times New Roman"/>
                <w:sz w:val="17"/>
                <w:szCs w:val="17"/>
                <w:b w:val="1"/>
                <w:bCs w:val="1"/>
                <w:color w:val="auto"/>
                <w:w w:val="96"/>
              </w:rPr>
              <w:t>year</w:t>
            </w:r>
            <w:r>
              <w:rPr>
                <w:rFonts w:ascii="Times New Roman" w:cs="Times New Roman" w:eastAsia="Times New Roman" w:hAnsi="Times New Roman"/>
                <w:sz w:val="28"/>
                <w:szCs w:val="28"/>
                <w:b w:val="1"/>
                <w:bCs w:val="1"/>
                <w:color w:val="auto"/>
                <w:w w:val="96"/>
                <w:vertAlign w:val="superscript"/>
              </w:rPr>
              <w:t>(1)</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360" w:type="dxa"/>
            <w:vAlign w:val="bottom"/>
          </w:tcPr>
          <w:p>
            <w:pPr>
              <w:spacing w:after="0"/>
              <w:rPr>
                <w:sz w:val="21"/>
                <w:szCs w:val="21"/>
                <w:color w:val="auto"/>
              </w:rPr>
            </w:pPr>
          </w:p>
        </w:tc>
        <w:tc>
          <w:tcPr>
            <w:tcW w:w="10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7"/>
                <w:szCs w:val="17"/>
                <w:b w:val="1"/>
                <w:bCs w:val="1"/>
                <w:color w:val="auto"/>
              </w:rPr>
              <w:t>year</w:t>
            </w:r>
            <w:r>
              <w:rPr>
                <w:rFonts w:ascii="Times New Roman" w:cs="Times New Roman" w:eastAsia="Times New Roman" w:hAnsi="Times New Roman"/>
                <w:sz w:val="28"/>
                <w:szCs w:val="28"/>
                <w:b w:val="1"/>
                <w:bCs w:val="1"/>
                <w:color w:val="auto"/>
                <w:vertAlign w:val="superscript"/>
              </w:rPr>
              <w:t>(2)</w:t>
            </w:r>
          </w:p>
        </w:tc>
      </w:tr>
      <w:tr>
        <w:trPr>
          <w:trHeight w:val="245"/>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805,875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Seccareccia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886,313</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Nil</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96,000</w:t>
            </w: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733,500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Nil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80" w:hanging="572"/>
        <w:spacing w:after="0" w:line="261"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pursuant to the Corporation’s annual bonus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16, 2019, the Common Shares began trading on the TSX-V. On April 8, 2022 2022, the Common Shares were listed on the TSX and were voluntarily delisted from the TSX-V.</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performance graph shows the cumulative return for Common Shares compared to both the S&amp;P/TSX Composite Index, and the S&amp;P/TSX Venture Composite Index over the approximately 30-month period preceding December 31, 2021, for which the Corporation has been a reporting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114300</wp:posOffset>
            </wp:positionV>
            <wp:extent cx="5314950" cy="2322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495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16,</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100.00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S&amp;P/TSX Composite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S&amp;P/TSXV Composite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161.88</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2021, the value of $100 invested in the Common Shares on July 16, 2019 had increased by approximately 319%, compared to increases of 28.6% for a similar investment in the S&amp;P/TSX Composite Index, and 61.8% for a similar investment in the S&amp;P/TSXV Composite Index over the same period. The Company’s Common Shares also commenced trading on the Nasdaq Stock Exchange on June 21, 2021. On June 21, 2021 the closing price of the Common Shares listed on the Nasdaq Stock Exchange was US$3.96, compared to US$5.05 at closing on December 31, 2021, representing an increase of 27.53%.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direct correlation between the performance of the Common Shares and executive compensation. The Common Share price may be affected by a number of factors beyond the control of the Corporation, including general and industry-specific economic and market conditions. The Governance, Nomination and Compensation Committee evaluates performance by reference to the overall direction and success of the Corporation rather than by any short-term fluctuations in the trading price of the Common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55"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in respect of the Corporation’s equity compensation plans under which equity securities of the Corporation are authorized for issuance, aggregated in accordance with all equity plans previously approved by the Shareholders and all equity plans not approved by Shareholders as at December 31, 2021:</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 w:lineRule="exact"/>
        <w:rPr>
          <w:sz w:val="20"/>
          <w:szCs w:val="20"/>
          <w:color w:val="auto"/>
        </w:rPr>
      </w:pPr>
    </w:p>
    <w:p>
      <w:pPr>
        <w:ind w:right="1720"/>
        <w:spacing w:after="0" w:line="246" w:lineRule="auto"/>
        <w:rPr>
          <w:sz w:val="20"/>
          <w:szCs w:val="20"/>
          <w:color w:val="auto"/>
        </w:rPr>
      </w:pPr>
      <w:r>
        <w:rPr>
          <w:rFonts w:ascii="Times New Roman" w:cs="Times New Roman" w:eastAsia="Times New Roman" w:hAnsi="Times New Roman"/>
          <w:sz w:val="18"/>
          <w:szCs w:val="18"/>
          <w:b w:val="1"/>
          <w:bCs w:val="1"/>
          <w:color w:val="auto"/>
        </w:rPr>
        <w:t>Equity compensation plans approved by securityholders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Equity compensation plans not approved by securityholders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 Issued</w:t>
            </w: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Future</w:t>
            </w:r>
          </w:p>
        </w:tc>
      </w:tr>
      <w:tr>
        <w:trPr>
          <w:trHeight w:val="216"/>
        </w:trPr>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4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45"/>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83"/>
        </w:trPr>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12,716,733(3)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5.08(2)</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8"/>
              </w:rPr>
              <w:t>7,518,007(2)</w:t>
            </w:r>
          </w:p>
        </w:tc>
      </w:tr>
      <w:tr>
        <w:trPr>
          <w:trHeight w:val="225"/>
        </w:trPr>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19"/>
                <w:szCs w:val="19"/>
                <w:color w:val="auto"/>
              </w:rPr>
            </w:pP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Nil</w:t>
            </w:r>
          </w:p>
        </w:tc>
      </w:tr>
      <w:tr>
        <w:trPr>
          <w:trHeight w:val="261"/>
        </w:trPr>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12,716,733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5.08(2)</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7,518,007</w:t>
            </w:r>
          </w:p>
        </w:tc>
      </w:tr>
    </w:tbl>
    <w:p>
      <w:pPr>
        <w:spacing w:after="0" w:line="604" w:lineRule="exact"/>
        <w:rPr>
          <w:sz w:val="20"/>
          <w:szCs w:val="20"/>
          <w:color w:val="auto"/>
        </w:rPr>
      </w:pPr>
    </w:p>
    <w:p>
      <w:pPr>
        <w:sectPr>
          <w:pgSz w:w="11900" w:h="16838" w:orient="portrait"/>
          <w:cols w:equalWidth="0" w:num="2">
            <w:col w:w="6340" w:space="720"/>
            <w:col w:w="4180"/>
          </w:cols>
          <w:pgMar w:left="320" w:top="900" w:right="339" w:bottom="1440" w:gutter="0" w:footer="0" w:header="0"/>
          <w:type w:val="continuous"/>
        </w:sectPr>
      </w:pPr>
    </w:p>
    <w:p>
      <w:pPr>
        <w:spacing w:after="0" w:line="25" w:lineRule="exact"/>
        <w:rPr>
          <w:sz w:val="20"/>
          <w:szCs w:val="20"/>
          <w:color w:val="auto"/>
        </w:rPr>
      </w:pPr>
    </w:p>
    <w:p>
      <w:pPr>
        <w:jc w:val="both"/>
        <w:ind w:left="460" w:hanging="452"/>
        <w:spacing w:after="0" w:line="257"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under the Corporation’s LTIP , last approved by the Shareholders at a meeting held on June 25, 2021, pursuant to which a maximum of 10% of the Common Shares issued and outstanding at the time of grant may be reserved for issuance. For a summary of the LTIP, see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Long Term Incentive Plan”.</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202,347,402 Common Shares issued and outstanding on April 28,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200,000 RSUs and 12,516,733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Governance, Nomination and Compensation Committee is responsible for considering, establishing and reviewing executive compensation programs, and whether the programs encourage unnecessary or excessive risk taking. The Corporation anticipates the programs will be balanced and will not motivate unnecessary or excessive risk taking.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salaries are fixed in amount and do not encourage risk taking. While annual incentive awards will focus on the achievement of short-term or annual goals and short-term goals may encourage the taking of short-term risks at the expense of long-term results, the Corporation’s annual incentive award program will represent a small percentage of employees’ compensation opportunities.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 awards are important to further align employees’ interests with those of the Shareholders. The ultimate value of the awards is tied to the price of the Common Shares and since awards are expected to be staggered and subject to long-term vesting schedules, they will help ensure that NEOs have significant value tied in long-term stock price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its Articles, the Corporation may have a minimum of one (1) and a maximum of ten (10) directors. At the date of the Circular, the Corporation has five directors.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regularly reviews the competitiveness of non-employee director compensation levels against the competitive marketplace. While the results of that review have generally demonstrated that non-employee director compensation levels at the Corporation were competitive with the market, adjustments to annual fees have been made throughout the Corporation’s growth cycle in recent years to further strengthen the Corporation’s competitiveness while also reflecting the greater time and commitment required of the roles. In particular, and most recently, an adjustment was made effective January 1, 2019 to the annual fees for non-employee directors. A summary of the changes in compensation provided to the Corporation’s non-employee directors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0" w:type="dxa"/>
            <w:vAlign w:val="bottom"/>
          </w:tcPr>
          <w:p>
            <w:pPr>
              <w:spacing w:after="0"/>
              <w:rPr>
                <w:sz w:val="1"/>
                <w:szCs w:val="1"/>
                <w:color w:val="auto"/>
              </w:rPr>
            </w:pPr>
          </w:p>
        </w:tc>
      </w:tr>
      <w:tr>
        <w:trPr>
          <w:trHeight w:val="216"/>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Augusts 5,</w:t>
            </w:r>
          </w:p>
        </w:tc>
        <w:tc>
          <w:tcPr>
            <w:tcW w:w="0" w:type="dxa"/>
            <w:vAlign w:val="bottom"/>
          </w:tcPr>
          <w:p>
            <w:pPr>
              <w:spacing w:after="0"/>
              <w:rPr>
                <w:sz w:val="1"/>
                <w:szCs w:val="1"/>
                <w:color w:val="auto"/>
              </w:rPr>
            </w:pPr>
          </w:p>
        </w:tc>
      </w:tr>
      <w:tr>
        <w:trPr>
          <w:trHeight w:val="245"/>
        </w:trPr>
        <w:tc>
          <w:tcPr>
            <w:tcW w:w="4440" w:type="dxa"/>
            <w:vAlign w:val="bottom"/>
            <w:tcBorders>
              <w:bottom w:val="single" w:sz="8" w:color="auto"/>
            </w:tcBorders>
            <w:vMerge w:val="continue"/>
          </w:tcPr>
          <w:p>
            <w:pPr>
              <w:spacing w:after="0"/>
              <w:rPr>
                <w:sz w:val="21"/>
                <w:szCs w:val="21"/>
                <w:color w:val="auto"/>
              </w:rPr>
            </w:pPr>
          </w:p>
        </w:tc>
        <w:tc>
          <w:tcPr>
            <w:tcW w:w="5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 Annual Cash Stipend</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Board Committee Chair and Lead Director Fee</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Committee Non-Chair Fee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INDEBTEDNESS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None of the current or proposed directors or officers of the Corporation, nor any affiliate or associate of the current or proposed directors or officers of the Corporation, is or was indebted to the Corporation (or to another entity which is the subject of a guarantee support agreement, letter of credit, or other similar arrangement or undertaking provided by the Corporation) entered into in connection with a purchase of securities or otherwise per item 10.1 of National Instrument 51-102F5 – </w:t>
      </w:r>
      <w:r>
        <w:rPr>
          <w:rFonts w:ascii="Times New Roman" w:cs="Times New Roman" w:eastAsia="Times New Roman" w:hAnsi="Times New Roman"/>
          <w:sz w:val="18"/>
          <w:szCs w:val="18"/>
          <w:i w:val="1"/>
          <w:iCs w:val="1"/>
          <w:color w:val="auto"/>
        </w:rPr>
        <w:t>Information Circular</w:t>
      </w:r>
      <w:r>
        <w:rPr>
          <w:rFonts w:ascii="Times New Roman" w:cs="Times New Roman" w:eastAsia="Times New Roman" w:hAnsi="Times New Roman"/>
          <w:sz w:val="18"/>
          <w:szCs w:val="18"/>
          <w:color w:val="auto"/>
        </w:rPr>
        <w:t>, at any time since its 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monitoring the Corporation’s accounting and financial reporting practices and procedures, the adequacy of internal accounting controls and procedures, the quality and integrity of financial statements and for directing the auditors’ examination of specific areas.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current members of the Audit Committee are Pierre Seccareccia, Brian Howlett and Andres Finkielsztain. No member of the Audit Committee is an executive officer, employee, or control person of the Corporation or any of its affiliates and all are considered “independent” directors as defined in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The full text of the charter of the Audit Committee (the “</w:t>
      </w:r>
      <w:r>
        <w:rPr>
          <w:rFonts w:ascii="Times New Roman" w:cs="Times New Roman" w:eastAsia="Times New Roman" w:hAnsi="Times New Roman"/>
          <w:sz w:val="18"/>
          <w:szCs w:val="18"/>
          <w:b w:val="1"/>
          <w:bCs w:val="1"/>
          <w:color w:val="auto"/>
        </w:rPr>
        <w:t>Audit Committee Charter</w:t>
      </w:r>
      <w:r>
        <w:rPr>
          <w:rFonts w:ascii="Times New Roman" w:cs="Times New Roman" w:eastAsia="Times New Roman" w:hAnsi="Times New Roman"/>
          <w:sz w:val="18"/>
          <w:szCs w:val="18"/>
          <w:color w:val="auto"/>
        </w:rPr>
        <w:t>”) is attached as Schedule “A”. A copy of the Audit Committee Charter is also available on the Corporation’s website at www.bitfarms.com and under the Corporation’s SEDAR profile at www.sedar.com.</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Corporation has filed an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for the fiscal year ended December 31, 2021, on SEDAR at www.sedar.com, which contains, among other things, all of the financial disclosure (including copies of the Financial Statements and Management’s Discussion and Analysis) required under NI 51-110. In particular, the information that is required to be disclosed in Form 51-110F1 of NI 51-110 may be found under the heading “Audit Committee” in the AIF.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Education and Experience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education and experience of each of the members of the Audit Committee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7"/>
        </w:trPr>
        <w:tc>
          <w:tcPr>
            <w:tcW w:w="1380" w:type="dxa"/>
            <w:vAlign w:val="bottom"/>
            <w:tcBorders>
              <w:top w:val="single" w:sz="8" w:color="auto"/>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240" w:type="dxa"/>
            <w:vAlign w:val="bottom"/>
            <w:tcBorders>
              <w:top w:val="single" w:sz="8" w:color="auto"/>
              <w:righ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spacing w:after="0"/>
              <w:rPr>
                <w:sz w:val="24"/>
                <w:szCs w:val="24"/>
                <w:color w:val="auto"/>
              </w:rPr>
            </w:pPr>
          </w:p>
        </w:tc>
      </w:tr>
      <w:tr>
        <w:trPr>
          <w:trHeight w:val="245"/>
        </w:trPr>
        <w:tc>
          <w:tcPr>
            <w:tcW w:w="13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224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7620" w:type="dxa"/>
            <w:vAlign w:val="bottom"/>
            <w:tcBorders>
              <w:bottom w:val="single" w:sz="8" w:color="auto"/>
              <w:right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252"/>
        </w:trPr>
        <w:tc>
          <w:tcPr>
            <w:tcW w:w="1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Pierre</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Accounting degree from</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Mr. Seccareccia has extensive experience in financial consulting and management. A Partner of the</w:t>
            </w:r>
          </w:p>
        </w:tc>
      </w:tr>
      <w:tr>
        <w:trPr>
          <w:trHeight w:val="216"/>
        </w:trPr>
        <w:tc>
          <w:tcPr>
            <w:tcW w:w="1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Seccareccia,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École des hautes études</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Coopers &amp; Lybrand accounting firm from 1976 to 1998, he acted as Managing Partner for its Montreal</w:t>
            </w:r>
          </w:p>
        </w:tc>
      </w:tr>
      <w:tr>
        <w:trPr>
          <w:trHeight w:val="221"/>
        </w:trPr>
        <w:tc>
          <w:tcPr>
            <w:tcW w:w="1380" w:type="dxa"/>
            <w:vAlign w:val="bottom"/>
            <w:tcBorders>
              <w:left w:val="single" w:sz="8" w:color="auto"/>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16"/>
                <w:szCs w:val="16"/>
                <w:color w:val="auto"/>
              </w:rPr>
              <w:t>FCPA, FCA</w:t>
            </w:r>
            <w:r>
              <w:rPr>
                <w:rFonts w:ascii="Times New Roman" w:cs="Times New Roman" w:eastAsia="Times New Roman" w:hAnsi="Times New Roman"/>
                <w:sz w:val="25"/>
                <w:szCs w:val="25"/>
                <w:color w:val="auto"/>
                <w:vertAlign w:val="superscript"/>
              </w:rPr>
              <w:t>(1)</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commerciales de Montréal</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south shore office from 1987 to 1989, for its Montreal central office from 1992 to 1996, and for its</w:t>
            </w:r>
          </w:p>
        </w:tc>
      </w:tr>
      <w:tr>
        <w:trPr>
          <w:trHeight w:val="211"/>
        </w:trPr>
        <w:tc>
          <w:tcPr>
            <w:tcW w:w="13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(1969).</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offices in the Province of Quebec from 1996 to 1998. Following the merger in 1998 of Coopers &amp;</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Member of the Ordre des</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Lybrand  with  Price  Waterhouse,  he  acted  as  Managing  Partner  for  the  Montreal  office  of</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comptables agréés du Québec</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PricewaterhouseCoopers LLP from 1998 to 2001. Since 2003, Mr. Seccareccia has acted as a full-time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(1970)</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independent corporate director for various public and private entities.</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Fellow of the Order of</w:t>
            </w:r>
          </w:p>
        </w:tc>
        <w:tc>
          <w:tcPr>
            <w:tcW w:w="762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Certified Public Accounting</w:t>
            </w:r>
          </w:p>
        </w:tc>
        <w:tc>
          <w:tcPr>
            <w:tcW w:w="762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(1996).</w:t>
            </w:r>
          </w:p>
        </w:tc>
        <w:tc>
          <w:tcPr>
            <w:tcW w:w="7620" w:type="dxa"/>
            <w:vAlign w:val="bottom"/>
            <w:tcBorders>
              <w:right w:val="single" w:sz="8" w:color="auto"/>
            </w:tcBorders>
          </w:tcPr>
          <w:p>
            <w:pPr>
              <w:spacing w:after="0"/>
              <w:rPr>
                <w:sz w:val="20"/>
                <w:szCs w:val="20"/>
                <w:color w:val="auto"/>
              </w:rPr>
            </w:pPr>
          </w:p>
        </w:tc>
      </w:tr>
      <w:tr>
        <w:trPr>
          <w:trHeight w:val="61"/>
        </w:trPr>
        <w:tc>
          <w:tcPr>
            <w:tcW w:w="138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7620" w:type="dxa"/>
            <w:vAlign w:val="bottom"/>
            <w:tcBorders>
              <w:bottom w:val="single" w:sz="8" w:color="auto"/>
              <w:right w:val="single" w:sz="8" w:color="auto"/>
            </w:tcBorders>
          </w:tcPr>
          <w:p>
            <w:pPr>
              <w:spacing w:after="0"/>
              <w:rPr>
                <w:sz w:val="5"/>
                <w:szCs w:val="5"/>
                <w:color w:val="auto"/>
              </w:rPr>
            </w:pPr>
          </w:p>
        </w:tc>
      </w:tr>
      <w:tr>
        <w:trPr>
          <w:trHeight w:val="682"/>
        </w:trPr>
        <w:tc>
          <w:tcPr>
            <w:tcW w:w="1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900" w:right="3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7"/>
        </w:trPr>
        <w:tc>
          <w:tcPr>
            <w:tcW w:w="1380" w:type="dxa"/>
            <w:vAlign w:val="bottom"/>
            <w:tcBorders>
              <w:top w:val="single" w:sz="8" w:color="auto"/>
              <w:left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240" w:type="dxa"/>
            <w:vAlign w:val="bottom"/>
            <w:tcBorders>
              <w:top w:val="single" w:sz="8" w:color="auto"/>
              <w:righ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spacing w:after="0"/>
              <w:rPr>
                <w:sz w:val="24"/>
                <w:szCs w:val="24"/>
                <w:color w:val="auto"/>
              </w:rPr>
            </w:pPr>
          </w:p>
        </w:tc>
      </w:tr>
      <w:tr>
        <w:trPr>
          <w:trHeight w:val="245"/>
        </w:trPr>
        <w:tc>
          <w:tcPr>
            <w:tcW w:w="138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224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7620" w:type="dxa"/>
            <w:vAlign w:val="bottom"/>
            <w:tcBorders>
              <w:bottom w:val="single" w:sz="8" w:color="auto"/>
              <w:right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252"/>
        </w:trPr>
        <w:tc>
          <w:tcPr>
            <w:tcW w:w="13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Brian Howlett,</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Bachelor of Commerce from</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Brian Howlett serves as the Lead Director of the Corporation. Mr. Howlett is a seasoned professional</w:t>
            </w:r>
          </w:p>
        </w:tc>
      </w:tr>
      <w:tr>
        <w:trPr>
          <w:trHeight w:val="216"/>
        </w:trPr>
        <w:tc>
          <w:tcPr>
            <w:tcW w:w="13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CPA, CMA</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Concordia University (1982).</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 over thirty years of senior management experience. Mr. Howlett is currently the President, Chief</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CMA designation (1989).</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Executive Officer and Director of Hemlo Explorers Inc. Mr. Howlett also serves on the board of</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Nighthawk Gold Corp. Mr. Howlett recently served as the President, Chief Executive Officer and a</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of Dundee Sustainable Technologies Inc. He also formerly served as the President and Chief</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Financial Officer of Superior Copper Corporation. Prior to that, Mr. Howlett spent twelve years with</w:t>
            </w:r>
          </w:p>
        </w:tc>
      </w:tr>
      <w:tr>
        <w:trPr>
          <w:trHeight w:val="234"/>
        </w:trPr>
        <w:tc>
          <w:tcPr>
            <w:tcW w:w="420" w:type="dxa"/>
            <w:vAlign w:val="bottom"/>
            <w:tcBorders>
              <w:lef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ELI Eco Logic Inc., including six years as Chief Financial Officer</w:t>
            </w:r>
          </w:p>
        </w:tc>
      </w:tr>
      <w:tr>
        <w:trPr>
          <w:trHeight w:val="61"/>
        </w:trPr>
        <w:tc>
          <w:tcPr>
            <w:tcW w:w="420" w:type="dxa"/>
            <w:vAlign w:val="bottom"/>
            <w:tcBorders>
              <w:left w:val="single" w:sz="8" w:color="auto"/>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7620" w:type="dxa"/>
            <w:vAlign w:val="bottom"/>
            <w:tcBorders>
              <w:bottom w:val="single" w:sz="8" w:color="auto"/>
              <w:right w:val="single" w:sz="8" w:color="auto"/>
            </w:tcBorders>
          </w:tcPr>
          <w:p>
            <w:pPr>
              <w:spacing w:after="0"/>
              <w:rPr>
                <w:sz w:val="5"/>
                <w:szCs w:val="5"/>
                <w:color w:val="auto"/>
              </w:rPr>
            </w:pPr>
          </w:p>
        </w:tc>
      </w:tr>
      <w:tr>
        <w:trPr>
          <w:trHeight w:val="252"/>
        </w:trPr>
        <w:tc>
          <w:tcPr>
            <w:tcW w:w="13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Andres</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 in Economics from Bard</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Andres Finkielsztain serves as a Director of the Corporation. Mr. Finkielsztain is the Founding</w:t>
            </w:r>
          </w:p>
        </w:tc>
      </w:tr>
      <w:tr>
        <w:trPr>
          <w:trHeight w:val="216"/>
        </w:trPr>
        <w:tc>
          <w:tcPr>
            <w:tcW w:w="13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Finkielsztain</w:t>
            </w: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College (1999).</w:t>
            </w: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Managing Partner of FinkWald LLC, a private investment office specializing in private equity, real</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estate, media and technology. He is also the co-head of the Special Situations division at Banco</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Industrial in Argentina, where he analyzes and provides financing solutions to Argentine-based</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companies and institutions. Mr. Finkielsztain previously served as a financial advisor for Soros Brothers</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Investments, a private investment office founded in 2011 by Alexander and Gregory Soros, and as an</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analyst for Emerging Markets at Soros Fund Management LLC. Mr. Finkielsztain also worked at J.P.</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Morgan for over 10 years in various capacities within Asset Management, including the role of Global</w:t>
            </w:r>
          </w:p>
        </w:tc>
      </w:tr>
      <w:tr>
        <w:trPr>
          <w:trHeight w:val="216"/>
        </w:trPr>
        <w:tc>
          <w:tcPr>
            <w:tcW w:w="420" w:type="dxa"/>
            <w:vAlign w:val="bottom"/>
            <w:tcBorders>
              <w:lef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Investment Opportunity and Emerging Markets Specialist. Mr. Finkielsztain graduated with a BA in</w:t>
            </w:r>
          </w:p>
        </w:tc>
      </w:tr>
      <w:tr>
        <w:trPr>
          <w:trHeight w:val="234"/>
        </w:trPr>
        <w:tc>
          <w:tcPr>
            <w:tcW w:w="420" w:type="dxa"/>
            <w:vAlign w:val="bottom"/>
            <w:tcBorders>
              <w:lef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7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Economics from Bard College where he served as the President of a Latin American organization.</w:t>
            </w:r>
          </w:p>
        </w:tc>
      </w:tr>
      <w:tr>
        <w:trPr>
          <w:trHeight w:val="61"/>
        </w:trPr>
        <w:tc>
          <w:tcPr>
            <w:tcW w:w="420" w:type="dxa"/>
            <w:vAlign w:val="bottom"/>
            <w:tcBorders>
              <w:left w:val="single" w:sz="8" w:color="auto"/>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7620" w:type="dxa"/>
            <w:vAlign w:val="bottom"/>
            <w:tcBorders>
              <w:bottom w:val="single" w:sz="8" w:color="auto"/>
              <w:right w:val="single" w:sz="8" w:color="auto"/>
            </w:tcBorders>
          </w:tcPr>
          <w:p>
            <w:pPr>
              <w:spacing w:after="0"/>
              <w:rPr>
                <w:sz w:val="5"/>
                <w:szCs w:val="5"/>
                <w:color w:val="auto"/>
              </w:rPr>
            </w:pPr>
          </w:p>
        </w:tc>
      </w:tr>
      <w:tr>
        <w:trPr>
          <w:trHeight w:val="39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22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Chair of the Audit Committee.</w:t>
            </w:r>
          </w:p>
        </w:tc>
        <w:tc>
          <w:tcPr>
            <w:tcW w:w="7620" w:type="dxa"/>
            <w:vAlign w:val="bottom"/>
          </w:tcPr>
          <w:p>
            <w:pPr>
              <w:spacing w:after="0"/>
              <w:rPr>
                <w:sz w:val="20"/>
                <w:szCs w:val="20"/>
                <w:color w:val="auto"/>
              </w:rPr>
            </w:pPr>
          </w:p>
        </w:tc>
      </w:tr>
      <w:tr>
        <w:trPr>
          <w:trHeight w:val="655"/>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9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Audit Committee Oversight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is required to pre-approve all audit and non-audit services not prohibited by law to be provided by the independent auditors of the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Auditor Service Fees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in respect of audit, audit related, tax and other fees billed by the Corporation’s external auditor during the fiscal years ended December 31, 2021 and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83"/>
        </w:trPr>
        <w:tc>
          <w:tcPr>
            <w:tcW w:w="8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83"/>
        </w:trPr>
        <w:tc>
          <w:tcPr>
            <w:tcW w:w="8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84"/>
        </w:trPr>
        <w:tc>
          <w:tcPr>
            <w:tcW w:w="8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Nil</w:t>
            </w: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745,000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325,000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80" w:hanging="575"/>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for the audit of the Corporation’s annual financial statements.</w:t>
      </w:r>
    </w:p>
    <w:p>
      <w:pPr>
        <w:spacing w:after="0" w:line="9" w:lineRule="exact"/>
        <w:rPr>
          <w:rFonts w:ascii="Times New Roman" w:cs="Times New Roman" w:eastAsia="Times New Roman" w:hAnsi="Times New Roman"/>
          <w:sz w:val="18"/>
          <w:szCs w:val="18"/>
          <w:color w:val="auto"/>
        </w:rPr>
      </w:pPr>
    </w:p>
    <w:p>
      <w:pPr>
        <w:ind w:left="680" w:right="100" w:hanging="575"/>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and consisted primarily of file quality review fees and fees for the review of quarterly financial statements and related documents.</w:t>
      </w:r>
    </w:p>
    <w:p>
      <w:pPr>
        <w:ind w:left="680" w:right="100" w:hanging="575"/>
        <w:spacing w:after="0" w:line="26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tax compliance, tax advice and tax planning professional services. These services included reviewing tax returns and assisting in responses to government tax authorities.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National Policy 58-201 – </w:t>
      </w: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 xml:space="preserve"> of the Canadian Securities Administrators sets out a series of guidelines for effective corporate governance (the “</w:t>
      </w:r>
      <w:r>
        <w:rPr>
          <w:rFonts w:ascii="Times New Roman" w:cs="Times New Roman" w:eastAsia="Times New Roman" w:hAnsi="Times New Roman"/>
          <w:sz w:val="18"/>
          <w:szCs w:val="18"/>
          <w:b w:val="1"/>
          <w:bCs w:val="1"/>
          <w:color w:val="auto"/>
        </w:rPr>
        <w:t>Guidelines</w:t>
      </w:r>
      <w:r>
        <w:rPr>
          <w:rFonts w:ascii="Times New Roman" w:cs="Times New Roman" w:eastAsia="Times New Roman" w:hAnsi="Times New Roman"/>
          <w:sz w:val="18"/>
          <w:szCs w:val="18"/>
          <w:color w:val="auto"/>
        </w:rPr>
        <w:t xml:space="preserve">”). The Guidelines address matters such as the constitution and independence of corporate boards, the functions to be performed by boards and their committees and the effectiveness and education of board members. National Instrument 58-101 – </w:t>
      </w:r>
      <w:r>
        <w:rPr>
          <w:rFonts w:ascii="Times New Roman" w:cs="Times New Roman" w:eastAsia="Times New Roman" w:hAnsi="Times New Roman"/>
          <w:sz w:val="18"/>
          <w:szCs w:val="18"/>
          <w:i w:val="1"/>
          <w:iCs w:val="1"/>
          <w:color w:val="auto"/>
        </w:rPr>
        <w:t>Disclosure of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Practices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58-101</w:t>
      </w:r>
      <w:r>
        <w:rPr>
          <w:rFonts w:ascii="Times New Roman" w:cs="Times New Roman" w:eastAsia="Times New Roman" w:hAnsi="Times New Roman"/>
          <w:sz w:val="18"/>
          <w:szCs w:val="18"/>
          <w:color w:val="auto"/>
        </w:rPr>
        <w:t>”) requires the disclosure by each listed corporation of its approach to corporate governance with reference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as it is recognized that the unique characteristics of individual corporations will result in varying degrees of compliance.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is a description of the Corporation’s approach to corporate governance in relation to the Guidelines.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 58-101 defines an “independent director” as a director who has no direct or indirect material relationship with the Corporation. A “material relationship” is in turn defined as a relationship which could, in the view of the Board, be reasonably expected to interfere with such member’s independent judgment.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is currently comprised of five (5) members, three (3) of whom the Board has determined to be “independent directors” within the meaning of NI 58-101. Pierre Seccareccia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Brian Howlett and Andres Finkielsztain are considered independent directors within the meaning of NI 58-101 since they are each independent of management and free from any material relationship with the Corporation. The basis for this determination is that, since the date of incorporation of the Corporation, none of the independent directors have worked for the Corporation, received remuneration from the Corporation or had material contracts with or material interests in the Corporation which could interfere with their ability to act with a view to the best interests of the Corporation. Each of Emiliano Joel Grodzki and Nicolas Bonta is not considered an independent director because of his relationship as an officer of the Corporation and receives a salary in excess of $150,000.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functions independently of management. When appropriate, the Board and the Audit Committee may meet in the absence of members of management, or the independent directors may hold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sessions at which neither the executive directors nor the officers of the Corporation are in attendance. The Governance, Nomination and Compensation Committee is also composed entirely of independent directors who hold meetings from time to time and makes recommendations to the Board on matters pertaining to their mandate.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Nicolas Bonta serves as Chairman of the Board. The Chairman is responsible for providing leadership to enhance Board effectiveness and be explicitly accountable for ensuring that the Board carries out its responsibilities effectively, overseeing all aspects of its direction and administration, adopting procedures to ensure that the Board can conduct its work effectively and efficiently, responding to conflict of interest situation, managing relations with external stakeholders and facilitating effective communication with independent directors and management. In the event that the Chairman is not an independent director, the Board is required to appoint an independent Lead Director to perform the duties of the Chairman required to be performed by an independent director. The Board has appointed Brian Howlett as its independent Lead Director.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functions independently of management. To enhance its ability to act independent of management, the Board may in the future meet in the absence of members of management or may excuse such persons from all or a portion of any meeting where an actual or potential conflict of interest arises or where the Board otherwise determines is appropriate.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adopted a written mandate, a copy of which is available on the Corporation’s website at www.bitfarms.com and under the Corporation’s SEDAR profile at www.sedar.com. The Board has not adopted written position descriptions for the Chair of the Board or the committee chairs on the basis that the roles are well understood by all of the directors. The Board has also not adopted a written position description for the Chief Executive Officer on the same basis, however, the Board has developed corporate goals and objectives for the Chief Executive Officer by setting out key responsibilities.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directors and proposed directors of the Corporation are also current directors of other reporting issuers (or equivalent) in a jurisdiction or a foreign jurisdiction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21"/>
        </w:trPr>
        <w:tc>
          <w:tcPr>
            <w:tcW w:w="2740" w:type="dxa"/>
            <w:vAlign w:val="bottom"/>
            <w:tcBorders>
              <w:top w:val="single" w:sz="8" w:color="auto"/>
              <w:left w:val="single" w:sz="8" w:color="auto"/>
              <w:right w:val="single" w:sz="8" w:color="auto"/>
            </w:tcBorders>
          </w:tcPr>
          <w:p>
            <w:pPr>
              <w:spacing w:after="0"/>
              <w:rPr>
                <w:sz w:val="19"/>
                <w:szCs w:val="19"/>
                <w:color w:val="auto"/>
              </w:rPr>
            </w:pPr>
          </w:p>
        </w:tc>
        <w:tc>
          <w:tcPr>
            <w:tcW w:w="5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Other reporting issuer</w:t>
            </w:r>
          </w:p>
        </w:tc>
        <w:tc>
          <w:tcPr>
            <w:tcW w:w="2680" w:type="dxa"/>
            <w:vAlign w:val="bottom"/>
            <w:tcBorders>
              <w:top w:val="single" w:sz="8" w:color="auto"/>
              <w:right w:val="single" w:sz="8" w:color="auto"/>
            </w:tcBorders>
          </w:tcPr>
          <w:p>
            <w:pPr>
              <w:spacing w:after="0"/>
              <w:rPr>
                <w:sz w:val="19"/>
                <w:szCs w:val="19"/>
                <w:color w:val="auto"/>
              </w:rPr>
            </w:pPr>
          </w:p>
        </w:tc>
      </w:tr>
      <w:tr>
        <w:trPr>
          <w:trHeight w:val="245"/>
        </w:trPr>
        <w:tc>
          <w:tcPr>
            <w:tcW w:w="274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5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equivalent in a foreign jurisdiction)</w:t>
            </w:r>
          </w:p>
        </w:tc>
        <w:tc>
          <w:tcPr>
            <w:tcW w:w="268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Trading Market</w:t>
            </w:r>
          </w:p>
        </w:tc>
      </w:tr>
      <w:tr>
        <w:trPr>
          <w:trHeight w:val="311"/>
        </w:trPr>
        <w:tc>
          <w:tcPr>
            <w:tcW w:w="2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Emiliano Joel Grodzki</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01"/>
        </w:trPr>
        <w:tc>
          <w:tcPr>
            <w:tcW w:w="274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r>
      <w:tr>
        <w:trPr>
          <w:trHeight w:val="311"/>
        </w:trPr>
        <w:tc>
          <w:tcPr>
            <w:tcW w:w="2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Nicolas Bonta</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01"/>
        </w:trPr>
        <w:tc>
          <w:tcPr>
            <w:tcW w:w="274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r>
      <w:tr>
        <w:trPr>
          <w:trHeight w:val="311"/>
        </w:trPr>
        <w:tc>
          <w:tcPr>
            <w:tcW w:w="274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Hemlo Explorers Inc.</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TSXV: HMLO</w:t>
            </w:r>
          </w:p>
        </w:tc>
      </w:tr>
      <w:tr>
        <w:trPr>
          <w:trHeight w:val="405"/>
        </w:trPr>
        <w:tc>
          <w:tcPr>
            <w:tcW w:w="2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Brian Howlett</w:t>
            </w:r>
          </w:p>
        </w:tc>
        <w:tc>
          <w:tcPr>
            <w:tcW w:w="5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Nighthawk Gold Corp</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TSX: NHK</w:t>
            </w:r>
          </w:p>
        </w:tc>
      </w:tr>
      <w:tr>
        <w:trPr>
          <w:trHeight w:val="507"/>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r>
      <w:tr>
        <w:trPr>
          <w:trHeight w:val="310"/>
        </w:trPr>
        <w:tc>
          <w:tcPr>
            <w:tcW w:w="2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Pierre Seccareccia</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01"/>
        </w:trPr>
        <w:tc>
          <w:tcPr>
            <w:tcW w:w="274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r>
      <w:tr>
        <w:trPr>
          <w:trHeight w:val="292"/>
        </w:trPr>
        <w:tc>
          <w:tcPr>
            <w:tcW w:w="274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Goldmoney Inc.(formerly BitGold Inc.)</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TSX: XAU</w:t>
            </w:r>
          </w:p>
        </w:tc>
      </w:tr>
      <w:tr>
        <w:trPr>
          <w:trHeight w:val="216"/>
        </w:trPr>
        <w:tc>
          <w:tcPr>
            <w:tcW w:w="2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Andres Finkielsztain</w:t>
            </w:r>
          </w:p>
        </w:tc>
        <w:tc>
          <w:tcPr>
            <w:tcW w:w="582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TSXV: MENE and USA (OTC):</w:t>
            </w:r>
          </w:p>
        </w:tc>
      </w:tr>
      <w:tr>
        <w:trPr>
          <w:trHeight w:val="234"/>
        </w:trPr>
        <w:tc>
          <w:tcPr>
            <w:tcW w:w="2740" w:type="dxa"/>
            <w:vAlign w:val="bottom"/>
            <w:tcBorders>
              <w:left w:val="single" w:sz="8" w:color="auto"/>
              <w:right w:val="single" w:sz="8" w:color="auto"/>
            </w:tcBorders>
          </w:tcPr>
          <w:p>
            <w:pPr>
              <w:spacing w:after="0"/>
              <w:rPr>
                <w:sz w:val="20"/>
                <w:szCs w:val="20"/>
                <w:color w:val="auto"/>
              </w:rPr>
            </w:pPr>
          </w:p>
        </w:tc>
        <w:tc>
          <w:tcPr>
            <w:tcW w:w="5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Mene Inc.</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MENEF</w:t>
            </w:r>
          </w:p>
        </w:tc>
      </w:tr>
      <w:tr>
        <w:trPr>
          <w:trHeight w:val="102"/>
        </w:trPr>
        <w:tc>
          <w:tcPr>
            <w:tcW w:w="274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Business of the Meeting – Election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Orientation and Continuing Education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Corporation currently has no formal orientation and education program for new Board members, it is expected that sufficient information (such as recent financial statements, technical reports and various other operating, property and budget reports) will be provided to all new Board members to ensure that new directors are familiarized with the Corporation’s business and the procedures of the Board. In addition, new directors will be encouraged to visit and meet with management on a regular basis and each new director receives a copy of the Corporation’s Corporate Governance policies, to familiarize them with the Corporation’s rules and procedures. The Corporation will also encourage continuing education of its directors and officers where appropriate in order to ensure that they have the necessary skills and knowledge to meet their respective obligations to the Corporation. The Board’s continuing education will also consist of correspondence with the Corporation’s legal counsel to remain up to date with developments in relevant corporate and securities law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Business 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adopted a written Code of Conduct and Business Ethics to encourage and promote a culture of ethical business conduct amongst the directors, officers, employees and consultants of the corporation. Copies of the Code of Conduct and Business Ethics are available upon written request from the Vice President of Corporate Affairs of the Corporation. The Board is responsible for ensuring compliance with the Code of Conduct of Business Ethics. There have been no departures therefrom since its adoption.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Corporation’s Code of Conduct and Business Ethics, the Board also relies on director adherence to the fiduciary duties placed on individual directors by the Corporation’s governing corporate legislation and the common law and the restrictions placed by applicable corporate legislation on an individual director’s participation in decisions of the Board in which the director has an interest will ensure that the Board operates independently of management and in the best interests of the Corporation.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corporate legislation, a director is required to act honestly and in good faith with a view to the best interests of the Corporation and to exercise the care, diligence and skill that a reasonably prudent person would exercise in comparable circumstances. In addition, as some of the directors and proposed directors of the Corporation also serve as directors and officers of other companies engaged in similar business activities, directors must comply with the conflict of interest provisions of the OBCA, as well as the relevant securities regulatory instruments, in order to ensure that directors exercise independent judgment in considering transactions and agreements in respect of which a director or officer has a material interest.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interested director will be required to declare the nature and extent of his or her interest and will not be entitled to vote at meetings of directors at which matters that give rise to such a conflict of interest are considered.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Corporation’s Code of Business Conduct and Ethics is available on the Corporation’s website at https://bitfarms.com/company/corporate-governance, and under the Corporation’s SEDAR profile at www.sedar.com. The Corporation believes that it has adopted corporate governance procedures and policies which encourage ethical behaviour by directors, officers and employees.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two standing committees: the Audit Committee and the Governance, Nomination and Compensation Committee. The members of these committees are in this Circular under the heading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above, and under the heading “</w:t>
      </w:r>
      <w:r>
        <w:rPr>
          <w:rFonts w:ascii="Times New Roman" w:cs="Times New Roman" w:eastAsia="Times New Roman" w:hAnsi="Times New Roman"/>
          <w:sz w:val="18"/>
          <w:szCs w:val="18"/>
          <w:i w:val="1"/>
          <w:iCs w:val="1"/>
          <w:color w:val="auto"/>
        </w:rPr>
        <w:t>Governance, Nomination and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below. The Board has adopted the Audit Committee Charter, which is attached as Schedule “A” to this Circular. A copy of the charter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Nomination and Compensation Committee is available on the Corporation’s website at www.bitfarms.com and under the Corporation’s SEDAR profile at www.sedar.com.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Governance, Nomination and Compensation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Responsibility for identifying new candidates to join the Board belongs to the Board as a whole. The Board encourages all directors to participate in the process of identifying and recruiting new candidates. The Governance, Nomination and Compensation Committee has the responsibility of making recommendations to the Board with respect to the new nominees and for assessing directors on an on-going basis. While there are no specific criteria for Board membership, the Corporation will seek to attract and retain directors with business knowledge and a particular expertise in cryptocurrencies and technology or other areas of specialized knowledge (such as finance) which will assist in guiding the officers of the Corporation. The members of the Governance, Nomination and Compensation Committee are currently Andres Finkielsztain (Chair), Emiliano Grodzki and Pierre Seccareccia. Andres Finkielsztain and Pierre Seccareccia are independent directors within the meaning of NI 58-101.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Governance, Nomination and Compensation Committee is responsible for assisting the Corporation in determining compensation of senior management of the Corporation as well as reviewing the adequacy and form of the directors’ compensation. The Compensation Committee is expected to annually review the goals and objectives of the Corporation’s CEO for the upcoming year and to perform an appraisal of the Corporation’s CFO’s performance for the past year. The Governance, Nomination and Compensation Committee will also administer and make recommendations regarding the operation of the Corporation’s incentive plans.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Governance, Nomination and Compensation Committee reviews, on an annual basis, the adequacy and form of compensation of directors and officers and will ensure that the levels of compensation of the Board reflect the responsibilities, time commitment and risks involved in being an effective director.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has established an Audit Committee comprised of directors who are not executive officers, employees or control persons of the Corporation or any of its affiliates, and who are considered to be financially literate in accordance with applicable securities laws. The Audit Committee Charter is attached as Schedule “A” to this Circular. See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A copy of the Audit Committee Charter is also available on the Corporation’s website at www.bitfarms.com and under the Corporation’s SEDAR profile at www.sedar.com.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no committees other than the Audit Committee and the Governance, Nomination and Compensation Committee. The Board may establish additional committees depending on the needs of the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assesses, on an annual basis, the contributions of the Board as a whole and each of the individual directors, in order to determine whether each is functioning effectively. The Board satisfies itself that the Board, its committees, and its individual directors are performing effectively through ongoing informal assessments made and discussed at the meetings of the Board. The Board has also implemented a formal evaluation procedure whereby each director is required to fill out a Skills and Experience Matrix pertaining to, among other things, the skills and experience of the director, and the performance of the director and the Board as a whole. The Skills and Experience Matrix allows the Board to identify gaps in experience or skills on the Board, and assists the Governance, Nomination and Compensation Committee in making recommendations to the Board. The Board will also from time to time assess its policies, procedures and guidelines to ensure that they remain current and relevant.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Board Renewal &amp; Diversity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recognize the benefits of promoting diversity among our employees, management team and its Board of Directors to enhance organisational strength, problem solving ability and opportunity for innovation.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 is working diligently to put programs in place to improve its representation and retention of women and other underrepresented groups. On February 17, 2022 the Corporation adopted a written corporate diversity policy (the “</w:t>
      </w:r>
      <w:r>
        <w:rPr>
          <w:rFonts w:ascii="Times New Roman" w:cs="Times New Roman" w:eastAsia="Times New Roman" w:hAnsi="Times New Roman"/>
          <w:sz w:val="18"/>
          <w:szCs w:val="18"/>
          <w:b w:val="1"/>
          <w:bCs w:val="1"/>
          <w:color w:val="auto"/>
        </w:rPr>
        <w:t>Diversity Policy</w:t>
      </w:r>
      <w:r>
        <w:rPr>
          <w:rFonts w:ascii="Times New Roman" w:cs="Times New Roman" w:eastAsia="Times New Roman" w:hAnsi="Times New Roman"/>
          <w:sz w:val="18"/>
          <w:szCs w:val="18"/>
          <w:color w:val="auto"/>
        </w:rPr>
        <w:t>”) which sets out the Corporation’s objectives for shaping its workforce and management. In addition, management will periodically review the Corporation’s recruitment and selection practices at all levels to ensure they are appropriately structured so that a diverse range of candidates are considered and that there are no conscious or unconscious biases that might discriminate against certain candidates. Management will lead the Corporate Diversity Policy by regarding it as a key business issue and an essential part of the Corporation’s daily business activities. Furthermore, management will annually report to the Board on the number and proportion, in percentage terms, of women on the Board and in the executive and management teams of the Corporation and its subsidiaries. The Corporation will conduct regular reviews of its workforce diversity and take steps to ensure that the diversity and inclusion objectives set out in the Corporate Diversity Policy are met.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Corporation’s senior management and Board have varying backgrounds and expertise and were selected on the belief that the Corporation and its stakeholders would benefit from such a broad range of talent and cumulative experience. While the Board considers merit as the essential requirement for board and executive appointments, in order to comply with Nasdaq’s Board Diversity Rule dated August 6, 2021, it has set a target of having at least one female director on or before August 7, 2023. The Board has not adopted any specific target number or percentage respecting the representation of women in executive officer roles.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not adopted term limits or other mechanisms of Board renewal as it takes the view that they may result in directors who have accumulated valuable industry experience being forced to leave their position arbitrarily. The Corporation believes that directors should be assessed based on their ability to continue to make a meaningful contribution to the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Circular, none of the Corporation’s five directors (0%) and none of the Corporation’s executive officers (0%) are women.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INDEBTEDNESS OF DIRECTORS AND EXECUTIVE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director, executive officer, or employee of the Corporation or any of its subsidiaries, former director, executive officer, or employee of the Corporation or any of its subsidiaries, or any associate of any of the foregoing, has an any time during the period from incorporation to December 31, 2021, or any time from December 31, 2021 to the date of this Circular, (i) been indebted to the Corporation or any of its subsidiaries, or (ii) had any indebtedness to another entity at any time during its last completed fiscal year which ahs been the subject of a guarantee, support agreement, letter of credit, or other similar arrangement provided by the Corporation or any of its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INFORMED PERSONS IN MATERIAL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knowledge of the Corporation, since the Corporation’s incorporation, no director, executive officer or Shareholder who beneficially owns, or controls or directs, directly or indirectly, more than 10% of the outstanding Common Shares, or any known associates or affiliates or such persons, has or has had any material interest, direct or indirect, in any transaction or in any proposed transaction that has materially affected or is reasonably expected to materially affect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management functions of the Corporation which are to any substantial degree performed by a person or a company other than the directors or executive officers of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will provide to any Shareholder, upon written request to the Chief Financial Officer of the Corporation at 18 King Street East, Suite 902,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1C4, telephone: (514) 691-6228, a copy of:</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the Corporation for its most recently completed financial period, together with the management’s discussion and analysis of such financial results and the auditor’s report thereon, and one copy of any interim financial statements subsequent to the financial statements of the Corporation that have been filed for any period after the end of its most recently completed financial period;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Circular.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the Corporation is available on SEDAR at www.sedar.com. Financial information about the Corporation may be found in the Corporation’s consolidated financial statements and management’s discussion and analysis for its most recently completed financial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this Circular and the sending thereof to the Shareholders have been approved by the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April, 2022.</w:t>
      </w:r>
    </w:p>
    <w:p>
      <w:pPr>
        <w:spacing w:after="0" w:line="1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(Signed) “Nicolas Bonta”</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586105</wp:posOffset>
            </wp:positionV>
            <wp:extent cx="2837180" cy="4972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837180" cy="497205"/>
                    </a:xfrm>
                    <a:prstGeom prst="rect">
                      <a:avLst/>
                    </a:prstGeom>
                    <a:noFill/>
                  </pic:spPr>
                </pic:pic>
              </a:graphicData>
            </a:graphic>
          </wp:anchor>
        </w:drawing>
      </w: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sets forth the purpose, composition, responsibilities and authority of the Audit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Bitfarms Ltd. (“</w:t>
      </w:r>
      <w:r>
        <w:rPr>
          <w:rFonts w:ascii="Times New Roman" w:cs="Times New Roman" w:eastAsia="Times New Roman" w:hAnsi="Times New Roman"/>
          <w:sz w:val="18"/>
          <w:szCs w:val="18"/>
          <w:b w:val="1"/>
          <w:bCs w:val="1"/>
          <w:color w:val="auto"/>
        </w:rPr>
        <w:t>Bitfarms Canada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Mandate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shall:</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its oversight role with respect to the quality and integrity of the financial information;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effectiveness of the Corporation’s risk management and compliance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independent auditor’s performance, qualifications and independence;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the Corporation’s internal audit function;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Corporation’s compliance with legal and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such reports of the Committee required to be included in any Management Information Circular in accordance with applicable laws or the rules of applicable securities regulatory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Composition and Membership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shall be composed of not less than three members, each of whom shall be a director of the Corporation. A majority of the members of the Committee shall not be an officer or employee of the Corporation. All members shall satisfy the applicable independence and experience requirements of the laws governing the Corporation, the applicable stock exchanges on which the Corporation’s securities are listed and applicable securities regulatory authorities.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member of the Committee shall be financially literate as such qualification is interpreted by the Board of Directors in its business judgment.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or ceases to be a Director. The Board of Directors may fill a vacancy that occurs in the Committee at any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6" w:name="page37"/>
    <w:bookmarkEnd w:id="36"/>
    <w:p>
      <w:pPr>
        <w:ind w:right="120"/>
        <w:spacing w:after="0" w:line="282" w:lineRule="auto"/>
        <w:rPr>
          <w:sz w:val="20"/>
          <w:szCs w:val="20"/>
          <w:color w:val="auto"/>
        </w:rPr>
      </w:pPr>
      <w:r>
        <w:rPr>
          <w:rFonts w:ascii="Times New Roman" w:cs="Times New Roman" w:eastAsia="Times New Roman" w:hAnsi="Times New Roman"/>
          <w:sz w:val="18"/>
          <w:szCs w:val="18"/>
          <w:color w:val="auto"/>
        </w:rPr>
        <w:t>The time and place of meetings of the Committee and the procedure at such meetings shall be determined from time to time by the members therefore provided that:</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for meetings shall be at least three members;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meet at least quarterly;</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directors entitled to vote on that resolution at a meeting of the Committee is as valid as if it had been passed at a meeting of the Committee.</w:t>
      </w:r>
    </w:p>
    <w:p>
      <w:pPr>
        <w:spacing w:after="0" w:line="16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Committee shall report to the Board of Directors on its activities after each of its meetings. The Committee shall review and assess the adequacy of this charter annually and, where necessary, will recommend changes to the Board of Directors for its approval. The Committee shall undertake and review with the Board of Directors an annual performance evaluation of the Committee, which shall compare the performance of the Committee with the requirements of this charter and set forth the goals and objectives of the Committee for the upcoming year.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 Duties and Responsibilities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4.1 Oversight of the Independent Auditor</w:t>
      </w:r>
    </w:p>
    <w:p>
      <w:pPr>
        <w:spacing w:after="0" w:line="200" w:lineRule="exact"/>
        <w:rPr>
          <w:sz w:val="20"/>
          <w:szCs w:val="20"/>
          <w:color w:val="auto"/>
        </w:rPr>
      </w:pPr>
    </w:p>
    <w:p>
      <w:pPr>
        <w:spacing w:after="0" w:line="245" w:lineRule="exact"/>
        <w:rPr>
          <w:sz w:val="20"/>
          <w:szCs w:val="20"/>
          <w:color w:val="auto"/>
        </w:rPr>
      </w:pPr>
    </w:p>
    <w:p>
      <w:pPr>
        <w:jc w:val="both"/>
        <w:ind w:left="1300" w:hanging="320"/>
        <w:spacing w:after="0" w:line="261"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appoint or replace the independent auditor (subject to shareholder ratification) and responsibility for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Committee.</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pre-approve all audit services as well as non-audit services (including the fees, terms and conditions for the performance of such services) to be performed by the independent auditor.</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deal with any such issues; and all relationships between the independent auditor and the Corporation.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40" w:right="20" w:hanging="320"/>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prior to the annual audit the scope, planning and staffing of the annual audit.</w:t>
      </w:r>
    </w:p>
    <w:p>
      <w:pPr>
        <w:spacing w:after="0" w:line="161" w:lineRule="exact"/>
        <w:rPr>
          <w:rFonts w:ascii="Times New Roman" w:cs="Times New Roman" w:eastAsia="Times New Roman" w:hAnsi="Times New Roman"/>
          <w:sz w:val="18"/>
          <w:szCs w:val="18"/>
          <w:color w:val="auto"/>
        </w:rPr>
      </w:pPr>
    </w:p>
    <w:p>
      <w:pPr>
        <w:ind w:left="640" w:right="20" w:hanging="320"/>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rotation of the lead (or coordinating) audit partner having primary responsibility for the audit and the audit partner responsible for reviewing the audit as required by law.</w:t>
      </w:r>
    </w:p>
    <w:p>
      <w:pPr>
        <w:spacing w:after="0" w:line="161" w:lineRule="exact"/>
        <w:rPr>
          <w:rFonts w:ascii="Times New Roman" w:cs="Times New Roman" w:eastAsia="Times New Roman" w:hAnsi="Times New Roman"/>
          <w:sz w:val="18"/>
          <w:szCs w:val="18"/>
          <w:color w:val="auto"/>
        </w:rPr>
      </w:pPr>
    </w:p>
    <w:p>
      <w:pPr>
        <w:ind w:left="640" w:right="20" w:hanging="320"/>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as necessary policies for the Corporation’s hiring of partners, employees or former partners and employees of the independent auditor.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 Financial Reporting</w:t>
      </w:r>
    </w:p>
    <w:p>
      <w:pPr>
        <w:spacing w:after="0" w:line="229" w:lineRule="exact"/>
        <w:rPr>
          <w:sz w:val="20"/>
          <w:szCs w:val="20"/>
          <w:color w:val="auto"/>
        </w:rPr>
      </w:pPr>
    </w:p>
    <w:p>
      <w:pPr>
        <w:ind w:left="640" w:right="20" w:hanging="320"/>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the annual audited financial statements prior to the publication of earnings.</w:t>
      </w:r>
    </w:p>
    <w:p>
      <w:pPr>
        <w:spacing w:after="0" w:line="161" w:lineRule="exact"/>
        <w:rPr>
          <w:rFonts w:ascii="Times New Roman" w:cs="Times New Roman" w:eastAsia="Times New Roman" w:hAnsi="Times New Roman"/>
          <w:sz w:val="18"/>
          <w:szCs w:val="18"/>
          <w:color w:val="auto"/>
        </w:rPr>
      </w:pPr>
    </w:p>
    <w:p>
      <w:pPr>
        <w:jc w:val="both"/>
        <w:ind w:left="640" w:right="20" w:hanging="320"/>
        <w:spacing w:after="0" w:line="26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annual and quarterly disclosures made in Management’s Discussion and Analysis. The Committee shall approve any reports for inclusion in the Corporation’s Annual Report, as required by applicable legislation.</w:t>
      </w:r>
    </w:p>
    <w:p>
      <w:pPr>
        <w:spacing w:after="0" w:line="175"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management’s report on its assessment of internal controls over financial reporting and the independent auditor’s attestation report on management’s assessment.</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quarterly financial statements prior to the publication of earnings.</w:t>
      </w:r>
    </w:p>
    <w:p>
      <w:pPr>
        <w:spacing w:after="0" w:line="225" w:lineRule="exact"/>
        <w:rPr>
          <w:rFonts w:ascii="Times New Roman" w:cs="Times New Roman" w:eastAsia="Times New Roman" w:hAnsi="Times New Roman"/>
          <w:sz w:val="18"/>
          <w:szCs w:val="18"/>
          <w:color w:val="auto"/>
        </w:rPr>
      </w:pPr>
    </w:p>
    <w:p>
      <w:pPr>
        <w:jc w:val="both"/>
        <w:ind w:left="640" w:hanging="320"/>
        <w:spacing w:after="0" w:line="261"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p>
      <w:pPr>
        <w:spacing w:after="0" w:line="179" w:lineRule="exact"/>
        <w:rPr>
          <w:rFonts w:ascii="Times New Roman" w:cs="Times New Roman" w:eastAsia="Times New Roman" w:hAnsi="Times New Roman"/>
          <w:sz w:val="18"/>
          <w:szCs w:val="18"/>
          <w:color w:val="auto"/>
        </w:rPr>
      </w:pPr>
    </w:p>
    <w:p>
      <w:pPr>
        <w:jc w:val="both"/>
        <w:ind w:left="640" w:hanging="320"/>
        <w:spacing w:after="0" w:line="25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200" w:lineRule="exact"/>
        <w:rPr>
          <w:sz w:val="20"/>
          <w:szCs w:val="20"/>
          <w:color w:val="auto"/>
        </w:rPr>
      </w:pPr>
    </w:p>
    <w:p>
      <w:pPr>
        <w:spacing w:after="0" w:line="2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904" w:right="439" w:bottom="1440" w:gutter="0" w:footer="0" w:header="0"/>
        </w:sectPr>
      </w:pPr>
    </w:p>
    <w:bookmarkStart w:id="38" w:name="page39"/>
    <w:bookmarkEnd w:id="38"/>
    <w:p>
      <w:pPr>
        <w:ind w:left="640" w:right="100" w:hanging="320"/>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at least annually any “Management” or “internal control” letters issued or proposed to be issued by the independent auditor to the Corporation.</w:t>
      </w:r>
    </w:p>
    <w:p>
      <w:pPr>
        <w:spacing w:after="0" w:line="161" w:lineRule="exact"/>
        <w:rPr>
          <w:rFonts w:ascii="Times New Roman" w:cs="Times New Roman" w:eastAsia="Times New Roman" w:hAnsi="Times New Roman"/>
          <w:sz w:val="18"/>
          <w:szCs w:val="18"/>
          <w:color w:val="auto"/>
        </w:rPr>
      </w:pPr>
    </w:p>
    <w:p>
      <w:pPr>
        <w:ind w:left="640" w:right="100" w:hanging="320"/>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any significant changes to the Corporation’s accounting principles and practices suggested by the independent auditor, internal audit personnel or Management.</w:t>
      </w:r>
    </w:p>
    <w:p>
      <w:pPr>
        <w:spacing w:after="0" w:line="159" w:lineRule="exact"/>
        <w:rPr>
          <w:rFonts w:ascii="Times New Roman" w:cs="Times New Roman" w:eastAsia="Times New Roman" w:hAnsi="Times New Roman"/>
          <w:sz w:val="18"/>
          <w:szCs w:val="18"/>
          <w:color w:val="auto"/>
        </w:rPr>
      </w:pPr>
    </w:p>
    <w:p>
      <w:pPr>
        <w:ind w:left="640" w:right="100" w:hanging="320"/>
        <w:spacing w:after="0" w:line="284"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the Corporation’s earnings press releases, including the use of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or “adjusted” non-GAAP information, as well as financial information and earnings guidance (if any) provided to analysts and rating agencies.</w:t>
      </w:r>
    </w:p>
    <w:p>
      <w:pPr>
        <w:spacing w:after="0" w:line="160" w:lineRule="exact"/>
        <w:rPr>
          <w:rFonts w:ascii="Times New Roman" w:cs="Times New Roman" w:eastAsia="Times New Roman" w:hAnsi="Times New Roman"/>
          <w:sz w:val="18"/>
          <w:szCs w:val="18"/>
          <w:color w:val="auto"/>
        </w:rPr>
      </w:pPr>
    </w:p>
    <w:p>
      <w:pPr>
        <w:ind w:left="640" w:right="100" w:hanging="320"/>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the effect of regulatory and accounting initiatives as well as off-balance sheet structures on the Corporation’s financial statements.</w:t>
      </w:r>
    </w:p>
    <w:p>
      <w:pPr>
        <w:spacing w:after="0" w:line="161" w:lineRule="exact"/>
        <w:rPr>
          <w:rFonts w:ascii="Times New Roman" w:cs="Times New Roman" w:eastAsia="Times New Roman" w:hAnsi="Times New Roman"/>
          <w:sz w:val="18"/>
          <w:szCs w:val="18"/>
          <w:color w:val="auto"/>
        </w:rPr>
      </w:pPr>
    </w:p>
    <w:p>
      <w:pPr>
        <w:jc w:val="both"/>
        <w:ind w:left="640" w:right="120" w:hanging="320"/>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61" w:lineRule="exact"/>
        <w:rPr>
          <w:rFonts w:ascii="Times New Roman" w:cs="Times New Roman" w:eastAsia="Times New Roman" w:hAnsi="Times New Roman"/>
          <w:sz w:val="18"/>
          <w:szCs w:val="18"/>
          <w:color w:val="auto"/>
        </w:rPr>
      </w:pPr>
    </w:p>
    <w:p>
      <w:pPr>
        <w:jc w:val="both"/>
        <w:ind w:left="640" w:right="100" w:hanging="320"/>
        <w:spacing w:after="0" w:line="258"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p>
      <w:pPr>
        <w:spacing w:after="0" w:line="183" w:lineRule="exact"/>
        <w:rPr>
          <w:rFonts w:ascii="Times New Roman" w:cs="Times New Roman" w:eastAsia="Times New Roman" w:hAnsi="Times New Roman"/>
          <w:sz w:val="18"/>
          <w:szCs w:val="18"/>
          <w:color w:val="auto"/>
        </w:rPr>
      </w:pPr>
    </w:p>
    <w:p>
      <w:pPr>
        <w:jc w:val="both"/>
        <w:ind w:left="640" w:right="100" w:hanging="320"/>
        <w:spacing w:after="0" w:line="266"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Corporation’s General Counsel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Oversight of Risk Management</w:t>
      </w:r>
    </w:p>
    <w:p>
      <w:pPr>
        <w:spacing w:after="0" w:line="200" w:lineRule="exact"/>
        <w:rPr>
          <w:sz w:val="20"/>
          <w:szCs w:val="20"/>
          <w:color w:val="auto"/>
        </w:rPr>
      </w:pPr>
    </w:p>
    <w:p>
      <w:pPr>
        <w:spacing w:after="0" w:line="245" w:lineRule="exact"/>
        <w:rPr>
          <w:sz w:val="20"/>
          <w:szCs w:val="20"/>
          <w:color w:val="auto"/>
        </w:rPr>
      </w:pPr>
    </w:p>
    <w:p>
      <w:pPr>
        <w:ind w:left="640" w:hanging="32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periodically Management’s risk philosophy and risk management policies.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at least annually reports demonstrating compliance with risk management policies.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quality and competence of Management appointed to administer risk management policies.</w:t>
      </w:r>
    </w:p>
    <w:p>
      <w:pPr>
        <w:spacing w:after="0" w:line="225"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from the independent auditor at least annually relating to the adequacy of the Corporation’s risk management practices together with Management’s responses.</w:t>
      </w:r>
    </w:p>
    <w:p>
      <w:pPr>
        <w:spacing w:after="0" w:line="161"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at least annually the Corporation’s major financial risk exposures and the steps Management has taken to monitor and control such exposures, including the Corporation’s risk assessment and risk management policies.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4.4 Oversight of Regulatory Compliance</w:t>
      </w:r>
    </w:p>
    <w:p>
      <w:pPr>
        <w:spacing w:after="0" w:line="229" w:lineRule="exact"/>
        <w:rPr>
          <w:sz w:val="20"/>
          <w:szCs w:val="20"/>
          <w:color w:val="auto"/>
        </w:rPr>
      </w:pPr>
    </w:p>
    <w:p>
      <w:pPr>
        <w:jc w:val="both"/>
        <w:ind w:left="1300" w:hanging="320"/>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auditor at least annually any correspondence with regulators or governmental agencies and any published reports which raise material issues regarding the Corporation’s financial statements or accounting.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the Corporation’s regulators, according to applicable law.</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such other powers and perform such other duties and responsibilities as are incidental to the purposes, duties and responsibilities specified herein and as may from time to time be delegated to the Committee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 Funding for the Independent Auditor and Retention of Other Independent Advisors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Canada’s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6.0 Procedures for Receipt of Complaints and Submissions Relating to Accounting Matters</w:t>
      </w:r>
    </w:p>
    <w:p>
      <w:pPr>
        <w:spacing w:after="0" w:line="219" w:lineRule="exact"/>
        <w:rPr>
          <w:sz w:val="20"/>
          <w:szCs w:val="20"/>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inform employees on the Corporation’s intranet, if there is one, or via a newsletter or e-mail that is disseminated to all employees at least annually, of the officer (the “</w:t>
      </w:r>
      <w:r>
        <w:rPr>
          <w:rFonts w:ascii="Times New Roman" w:cs="Times New Roman" w:eastAsia="Times New Roman" w:hAnsi="Times New Roman"/>
          <w:sz w:val="18"/>
          <w:szCs w:val="18"/>
          <w:b w:val="1"/>
          <w:bCs w:val="1"/>
          <w:color w:val="auto"/>
        </w:rPr>
        <w:t>Complaints Officer</w:t>
      </w:r>
      <w:r>
        <w:rPr>
          <w:rFonts w:ascii="Times New Roman" w:cs="Times New Roman" w:eastAsia="Times New Roman" w:hAnsi="Times New Roman"/>
          <w:sz w:val="18"/>
          <w:szCs w:val="18"/>
          <w:color w:val="auto"/>
        </w:rPr>
        <w:t>”) designated from time to time by the Committee to whom complaints and submissions can be made regarding accounting, internal accounting controls or auditing matters or issues of concern regarding questionable accounting or auditing matters.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Complaints Officer shall be informed that any complaints or submissions so received must be kept confidential and that the identity of employees making complaints or submissions shall be kept confidential and shall only be communicated to the Committee or the Chair of the Committee.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Complaints Officer shall be informed that he or she must report to the Committee as frequently as such Complaints Officer deems appropriate, but in any event no less frequently than on a quarterly basis prior to the quarterly meeting of the Committee called to approve interim and annual financial statements of the Corporation.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report from the Complaints Officer, the Committee shall discuss the report and take such steps as the Committee may deem appropriate.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Complaints Officer shall retain a record of a complaint or submission received for a period of six years following resolution of the complaint or submission.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7.0 Procedures for Approval of Non-Audit Services</w:t>
      </w:r>
    </w:p>
    <w:p>
      <w:pPr>
        <w:spacing w:after="0" w:line="21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external auditors shall be prohibited from performing for the Corporation the following categories of non-audit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bookkeeping or other services related to the Corporation’s accounting records or financial statements;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systems design and implementation;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or valuation services, fairness opinion or contributions-in-kind reports;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outsourcing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functions;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 investment adviser or investment banking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services unrelated to the audit;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 that the Canadian Public Accountability Board determines is impermissible.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wishes to retain the services of the Corporation’s external auditors for tax compliance, tax advice or tax 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 of the Corporation shall maintain a record of non-audit services approved by the Chair of the Committee or the Committee for each fiscal year and provide a report to the Committee no less frequently than on a quarterly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8.0 Reporting</w:t>
      </w:r>
    </w:p>
    <w:p>
      <w:pPr>
        <w:spacing w:after="0" w:line="2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Secretary will circulate the minutes of each meeting of the Committee to the members of the Board.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9.0 Access to Information and Authority</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will be granted unrestricted access to all information regarding Bitfarms Canada that is necessary or desirable to fulfill its duties and all directors, officers and employees will be directed to cooperate as requested by Members.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10.0 Review of Charter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will annually review and assess the adequacy of this Charter and recommend any proposed changes to the Board for consideration.</w:t>
      </w:r>
    </w:p>
    <w:p>
      <w:pPr>
        <w:sectPr>
          <w:pgSz w:w="11900" w:h="16838" w:orient="portrait"/>
          <w:cols w:equalWidth="0" w:num="1">
            <w:col w:w="11240"/>
          </w:cols>
          <w:pgMar w:left="320" w:top="89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0" w:lineRule="exact"/>
        <w:rPr>
          <w:sz w:val="20"/>
          <w:szCs w:val="20"/>
          <w:color w:val="auto"/>
        </w:rPr>
      </w:pPr>
    </w:p>
    <w:p>
      <w:pPr>
        <w:sectPr>
          <w:pgSz w:w="11900" w:h="16838" w:orient="portrait"/>
          <w:cols w:equalWidth="0" w:num="2">
            <w:col w:w="1540" w:space="720"/>
            <w:col w:w="8980"/>
          </w:cols>
          <w:pgMar w:left="320" w:top="891"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 DEFINITIONS AND INTERPRETATION</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Choice of Law</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Headings</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 GRANT OF AWARDS</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 of Awards</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Record of Awards Grants</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Plan</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 PURPOSE AND PARTICIPATION</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88"/>
              </w:rPr>
              <w:t>7</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 of Plan</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Participation in Plan</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Limits on Option Grants</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3.4</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Limits on RSU Grants</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3.5</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Notification of Grant</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3.6</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Copy of Plan</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3.7</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on Service</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3.8</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 Obligation to Exercise</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3.9</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3.10</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Notice</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Representation to TSXV</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 NUMBER OF SHARES UNDER PLAN</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4.1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 to Approve Issuance of Shares</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4.2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Number of Shares</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4.3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Fractional Shares</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 TERMS AND CONDITIONS OF OPTIONS</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5.1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Period of Option</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5.2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Number of Shares Under Option</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5.3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Price of Option</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5.4</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Termination of Option</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5.5</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Vesting of Option and Acceleration</w:t>
            </w:r>
          </w:p>
        </w:tc>
        <w:tc>
          <w:tcPr>
            <w:tcW w:w="670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5.6</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Terms</w:t>
            </w:r>
          </w:p>
        </w:tc>
        <w:tc>
          <w:tcPr>
            <w:tcW w:w="6700" w:type="dxa"/>
            <w:vAlign w:val="bottom"/>
            <w:gridSpan w:val="2"/>
            <w:shd w:val="clear" w:color="auto" w:fill="CCEEFF"/>
          </w:tcPr>
          <w:p>
            <w:pPr>
              <w:jc w:val="center"/>
              <w:ind w:left="549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 TRANSFERABILITY OF AWARDS</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6.1</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Non-transferable</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6.2</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Death of Award Holder</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6.3</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Disability of Award Holder</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6.4</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Disability and Death of Award Holder</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6.5</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Vesting</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6.6</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Deemed Non-Interruption of Engagement</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 EXERCISE OF AWARD</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7.1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of Award</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7.2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7.3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Rights as Shareholder</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 RESTRICTED SHARE UNITS</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8.1</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Eligibility and participation</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8.2</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Restrictions.</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8.3</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Vesting.</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8.4</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of control</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8.5</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Death</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8.6</w:t>
            </w:r>
          </w:p>
        </w:tc>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Termination of employment or service</w:t>
            </w:r>
          </w:p>
        </w:tc>
        <w:tc>
          <w:tcPr>
            <w:tcW w:w="6700" w:type="dxa"/>
            <w:vAlign w:val="bottom"/>
            <w:gridSpan w:val="2"/>
            <w:shd w:val="clear" w:color="auto" w:fill="CCEEFF"/>
          </w:tcPr>
          <w:p>
            <w:pPr>
              <w:jc w:val="center"/>
              <w:ind w:left="54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38"/>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8.7</w:t>
            </w:r>
          </w:p>
        </w:tc>
        <w:tc>
          <w:tcPr>
            <w:tcW w:w="3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Disability</w:t>
            </w:r>
          </w:p>
        </w:tc>
        <w:tc>
          <w:tcPr>
            <w:tcW w:w="6700" w:type="dxa"/>
            <w:vAlign w:val="bottom"/>
            <w:gridSpan w:val="2"/>
          </w:tcPr>
          <w:p>
            <w:pPr>
              <w:jc w:val="center"/>
              <w:ind w:left="5470"/>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8.8</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Cessation of directorship.</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8.9</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award.</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 ADMINISTRATION</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9.1</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 or Committee</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9.2</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Appointment of Committee</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9.3</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Quorum and Voting</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9.4</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Powers of Committee</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9.5</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Administration by Committee</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9.6</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Interpretation</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9.7</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Award Recipients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 APPROVALS AND AMENDMENT</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10.1</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Shareholder Approval of Plan</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10.2</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Amendment of Option or RSU or Plan</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CONDITIONS PRECEDENT TO ISSUANCE OF OPTIONS AND SHARES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18</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11.1</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Compliance with Laws</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11.2</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Obligation to Obtain Regulatory Approvals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11.3</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Inability to Obtain Regulatory Approvals</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12 ADJUSTMENTS AND TERMINATION</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18</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12.1</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Termination of Plan</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12.2</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Grant During Suspension of Plan</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12.3</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Alteration in Capital Structure</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12.4</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Triggering Events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12.5</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Notice of Termination by Triggering Event</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12.6</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Determinations to be Made By Committee</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 GENERAL TERMS APPLICABLE TO AWARDS</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13.1</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Forfeiture Events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13.2</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Awards may be granted separately or together</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13.3</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Non-transferability of awards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13.4</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Conditions and restrictions upon securities subject to awards</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13.5</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certificates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13.6</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Conformity to plan</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13.7</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evaluation; adjustment of goals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13.8</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 of performance-based awards</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14 MISCELLANEOUS</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14.1</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 right as shareholder</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14.2</w:t>
            </w:r>
          </w:p>
        </w:tc>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trust or fund created</w:t>
            </w:r>
          </w:p>
        </w:tc>
        <w:tc>
          <w:tcPr>
            <w:tcW w:w="19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14.3</w:t>
            </w:r>
          </w:p>
        </w:tc>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 representations or covenants with respect to tax qualification; Section 409A.</w:t>
            </w:r>
          </w:p>
        </w:tc>
        <w:tc>
          <w:tcPr>
            <w:tcW w:w="19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A UNITED STATES SUBPLAN PLAN PROVISIONS APPLICABLE TO U.S. TAXPAYERS</w:t>
            </w:r>
          </w:p>
        </w:tc>
        <w:tc>
          <w:tcPr>
            <w:tcW w:w="19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A-2</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 B BITFARMS LTD. LONG TERM INCENTIVE PLAN - OPTION CERTIFICATE</w:t>
            </w:r>
          </w:p>
        </w:tc>
        <w:tc>
          <w:tcPr>
            <w:tcW w:w="19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B-2</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used herein, unless there is something in the subject matter or context inconsistent therewith, the following terms shall have the meanings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means such Executive or Employee of the Company as may be designated as Administrator by the Committee from time to time,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means, where used to indicate a relationship with any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relative, including the spouse of that person or a relative of that person’s spouse, where the relative has the same home as the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partner, other than a limited partner, of that person;</w:t>
      </w:r>
    </w:p>
    <w:p>
      <w:pPr>
        <w:spacing w:after="0" w:line="225"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any trust or estate in which such person has a substantial beneficial interest or as to which such person serves as trustee or in a similar capacity; and</w:t>
      </w:r>
    </w:p>
    <w:p>
      <w:pPr>
        <w:spacing w:after="0" w:line="162"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any corporation of which such person beneficially owns or controls, directly or indirectly, voting securities carrying more than 10% of the voting rights attached to all outstanding voting securities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means any award of Restricted Share Units or Options granted under this Plan.</w:t>
      </w:r>
    </w:p>
    <w:p>
      <w:pPr>
        <w:spacing w:after="0" w:line="225" w:lineRule="exact"/>
        <w:rPr>
          <w:sz w:val="20"/>
          <w:szCs w:val="20"/>
          <w:color w:val="auto"/>
        </w:rPr>
      </w:pPr>
    </w:p>
    <w:p>
      <w:pPr>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“Award Agreement” means any written agreement, contract, or other instrument or document, including an electronic communication, as may from time to time be designated by the Company as evidencing any Award granted under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Holder” means Option Holder or RSU Holder, as applicable.</w:t>
      </w:r>
    </w:p>
    <w:p>
      <w:pPr>
        <w:spacing w:after="0" w:line="225" w:lineRule="exact"/>
        <w:rPr>
          <w:sz w:val="20"/>
          <w:szCs w:val="20"/>
          <w:color w:val="auto"/>
        </w:rPr>
      </w:pPr>
    </w:p>
    <w:p>
      <w:pPr>
        <w:ind w:left="660" w:hanging="647"/>
        <w:spacing w:after="0" w:line="282" w:lineRule="auto"/>
        <w:rPr>
          <w:sz w:val="20"/>
          <w:szCs w:val="20"/>
          <w:color w:val="auto"/>
        </w:rPr>
      </w:pPr>
      <w:r>
        <w:rPr>
          <w:rFonts w:ascii="Times New Roman" w:cs="Times New Roman" w:eastAsia="Times New Roman" w:hAnsi="Times New Roman"/>
          <w:sz w:val="18"/>
          <w:szCs w:val="18"/>
          <w:color w:val="auto"/>
        </w:rPr>
        <w:t>“Black-Out” means a restriction imposed by the Company on all or any of its directors, officers, employees, insiders or persons in a special relationship whereby they are to refrain from trading in the Company’s securities until the restriction has been lifted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means an occurrence when either:</w:t>
      </w:r>
    </w:p>
    <w:p>
      <w:pPr>
        <w:spacing w:after="0" w:line="223" w:lineRule="exact"/>
        <w:rPr>
          <w:sz w:val="20"/>
          <w:szCs w:val="20"/>
          <w:color w:val="auto"/>
        </w:rPr>
      </w:pPr>
    </w:p>
    <w:p>
      <w:pPr>
        <w:ind w:left="1300" w:hanging="647"/>
        <w:spacing w:after="0" w:line="284" w:lineRule="auto"/>
        <w:rPr>
          <w:sz w:val="20"/>
          <w:szCs w:val="20"/>
          <w:color w:val="auto"/>
        </w:rPr>
      </w:pPr>
      <w:r>
        <w:rPr>
          <w:rFonts w:ascii="Times New Roman" w:cs="Times New Roman" w:eastAsia="Times New Roman" w:hAnsi="Times New Roman"/>
          <w:sz w:val="18"/>
          <w:szCs w:val="18"/>
          <w:color w:val="auto"/>
        </w:rPr>
        <w:t xml:space="preserve">a Person or Entity, other than the current “control person” of the Company (as that term is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becomes a “control person” of the Company; or</w:t>
      </w:r>
    </w:p>
    <w:p>
      <w:pPr>
        <w:spacing w:after="0" w:line="160"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a majority of the directors elected at any annual or extraordinary general meeting of shareholders of the Company are not individuals nominated by the Company’s then-incumbent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“Committee” means a committee of the Board appointed in accordance with this Plan or if no such committee is appointed, the Board itself.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means Bitfarms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means an individual who:</w:t>
      </w:r>
    </w:p>
    <w:p>
      <w:pPr>
        <w:spacing w:after="0" w:line="223" w:lineRule="exact"/>
        <w:rPr>
          <w:sz w:val="20"/>
          <w:szCs w:val="20"/>
          <w:color w:val="auto"/>
        </w:rPr>
      </w:pPr>
    </w:p>
    <w:p>
      <w:pPr>
        <w:ind w:left="1300" w:right="20" w:hanging="647"/>
        <w:spacing w:after="0" w:line="284" w:lineRule="auto"/>
        <w:rPr>
          <w:sz w:val="20"/>
          <w:szCs w:val="20"/>
          <w:color w:val="auto"/>
        </w:rPr>
      </w:pPr>
      <w:r>
        <w:rPr>
          <w:rFonts w:ascii="Times New Roman" w:cs="Times New Roman" w:eastAsia="Times New Roman" w:hAnsi="Times New Roman"/>
          <w:sz w:val="18"/>
          <w:szCs w:val="18"/>
          <w:color w:val="auto"/>
        </w:rPr>
        <w:t xml:space="preserve">is engaged to provide, on an ongoing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basis, consulting, technical, management or other services to the Company or any Subsidiary other than services provided in relation to a “distribution” (as that term is described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provides the services under a written contract between the Company or any Subsidiary and the individual;</w:t>
      </w:r>
    </w:p>
    <w:p>
      <w:pPr>
        <w:spacing w:after="0" w:line="225"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in the reasonable opinion of the Company, spends or will spend a significant amount of time and attention on the affairs and business of the Company or any Subsidiary; and</w:t>
      </w:r>
    </w:p>
    <w:p>
      <w:pPr>
        <w:spacing w:after="0" w:line="162"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has a relationship with the Company or any Subsidiary that enables the individual to be knowledgeable about the business and affairs of the Company or is otherwise permitted by applicable Regulatory Rules to be granted Options as a Consultant or as an equivalent thereof.</w:t>
      </w:r>
    </w:p>
    <w:p>
      <w:pPr>
        <w:spacing w:after="0" w:line="162"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“Disability” means a medically determinable physical or mental impairment expected to result in death or to last for a continuous period of not less than 12 months, and which causes an individual to be unable to engage in any substantial gainful activity, or any other condition of impairment that the Committee, acting reasonably, determines constitutes a disability.</w:t>
      </w:r>
    </w:p>
    <w:p>
      <w:pPr>
        <w:spacing w:after="0" w:line="176"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“Disinterested Shareholder Approval” means the approval of a majority of shareholders of the Company voting at a duly called and held meeting of such shareholders, excluding votes of Insiders to whom Options may be granted under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means:</w:t>
      </w:r>
    </w:p>
    <w:p>
      <w:pPr>
        <w:spacing w:after="0" w:line="225"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an individual who works full-time or part-time for the Company or any Subsidiary and such other individual as may, from time to time, be permitted by applicable Regulatory Rules to be granted Options or RSUs as an employee or as an equivalent thereto; or</w:t>
      </w:r>
    </w:p>
    <w:p>
      <w:pPr>
        <w:spacing w:after="0" w:line="162" w:lineRule="exact"/>
        <w:rPr>
          <w:sz w:val="20"/>
          <w:szCs w:val="20"/>
          <w:color w:val="auto"/>
        </w:rPr>
      </w:pPr>
    </w:p>
    <w:p>
      <w:pPr>
        <w:jc w:val="both"/>
        <w:ind w:left="1300" w:right="20" w:hanging="647"/>
        <w:spacing w:after="0" w:line="261" w:lineRule="auto"/>
        <w:rPr>
          <w:sz w:val="20"/>
          <w:szCs w:val="20"/>
          <w:color w:val="auto"/>
        </w:rPr>
      </w:pPr>
      <w:r>
        <w:rPr>
          <w:rFonts w:ascii="Times New Roman" w:cs="Times New Roman" w:eastAsia="Times New Roman" w:hAnsi="Times New Roman"/>
          <w:sz w:val="18"/>
          <w:szCs w:val="18"/>
          <w:color w:val="auto"/>
        </w:rPr>
        <w:t>an individual who works for the Company or any Subsidiary either full-time or on a continuing and regular basis for a minimum amount of time per week providing services normally provided by an employee and who is subject to the same control and direction by the Company or any Subsidiary over the details and methods of work as an employee of the Company or any Subsidiary, but for whom income tax deductions are not made at source and who receives at least fifty percent (50%) of their income in a calendar year from the Company.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“Exchange” means the TSXV or Toronto Stock Exchange, being the stock exchange on which the Shares may be listed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United States Securities Exchange Act of 1934.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means an individual who is a director or officer of the Company.</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“Exercise Notice” means the written notice of the exercise of an Option, in the form set out as Schedule “B” of Appendix B hereto with respect to Options granted to Employees, Executives and Consultants in Canada, duly executed by the Option Holder.</w:t>
      </w:r>
    </w:p>
    <w:p>
      <w:pPr>
        <w:spacing w:after="0" w:line="162" w:lineRule="exact"/>
        <w:rPr>
          <w:sz w:val="20"/>
          <w:szCs w:val="20"/>
          <w:color w:val="auto"/>
        </w:rPr>
      </w:pPr>
    </w:p>
    <w:p>
      <w:pPr>
        <w:jc w:val="both"/>
        <w:ind w:left="660" w:right="20" w:hanging="647"/>
        <w:spacing w:after="0" w:line="266" w:lineRule="auto"/>
        <w:rPr>
          <w:sz w:val="20"/>
          <w:szCs w:val="20"/>
          <w:color w:val="auto"/>
        </w:rPr>
      </w:pPr>
      <w:r>
        <w:rPr>
          <w:rFonts w:ascii="Times New Roman" w:cs="Times New Roman" w:eastAsia="Times New Roman" w:hAnsi="Times New Roman"/>
          <w:sz w:val="18"/>
          <w:szCs w:val="18"/>
          <w:color w:val="auto"/>
        </w:rPr>
        <w:t>“Exercise Period” means the period during which a particular Option may be exercised and is the period from and including the Grant Date through to and including the Expiry Time on the Expiry Date provided, however, that no Option can be exercised unless and until all necessary Regulatory Approvals have been obtained.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means the price at which an Option is exercisable as determined in accordance with Section 5.3.</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“Expiry Date” means the date the Option or RSU, as applicable, expires as set out in the Option Certificate or Award Agreement or as otherwise determined in accordance with Sections 5.4, 6.2, 6.3, 6.4 or 12.4.</w:t>
      </w:r>
    </w:p>
    <w:p>
      <w:pPr>
        <w:spacing w:after="0" w:line="162"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“Expiry Time” means the time the Option or RSU, as applicable, expires on the Expiry Date, which is 5:00 p.m. local time in Toronto, Ontario on the Expiry Date.</w:t>
      </w:r>
    </w:p>
    <w:p>
      <w:pPr>
        <w:spacing w:after="0" w:line="162"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“Grant Date” means the date on which the Committee grants a particular Option or RSU, which is the date the Option or RSU comes into effect provided however that no Option or RSU can be exercised unless and until all necessary Regulatory Approvals have been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“Insider” means an insider as that term is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means the market value of the Shares as determined in accordance with Section 5.3.</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“Option” means an incentive share purchase option granted pursuant to this Plan entitling the Option Holder to purchase Shares of the Company and any options to purchase Shares of the Company granted under any subplan.</w:t>
      </w:r>
    </w:p>
    <w:p>
      <w:pPr>
        <w:spacing w:after="0" w:line="162"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“Option Certificate” means the certificate, in substantially the form set out as Schedule “A” of Exhibit B hereto, evidencing the Option with respect to Options granted to Employees, Executives and Consultants located in 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Holder” means a Participant who holds an unexercised and unexpired Option or, where applicable, the Personal Representative of such Participant.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“Outstanding Issue” means the number of Shares that are outstanding (on a non-diluted basis) immediately prior to the Share issuance or grant of Option or RSU in question.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means any Employee, Executive or Consultant eligible to receive an Award under this Plan.</w:t>
      </w:r>
    </w:p>
    <w:p>
      <w:pPr>
        <w:spacing w:after="0" w:line="225"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“Person or Entity” means an individual, natural person, corporation,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Representative” means:</w:t>
      </w:r>
    </w:p>
    <w:p>
      <w:pPr>
        <w:spacing w:after="0" w:line="225"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in the case of a deceased Option Holder or RSU Holder, the executor or administrator of the deceased duly appointed by a court or public authority having jurisdiction to do so; and</w:t>
      </w:r>
    </w:p>
    <w:p>
      <w:pPr>
        <w:spacing w:after="0" w:line="162"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in the case of an Option Holder or RSU Holder who for any reason is unable to manage his or her affairs, the person entitled by law to act on behalf of such Option Holder or RSU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means this long term incentive plan as from time to time amended.</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“Regulatory Approvals” means any necessary approvals of the Regulatory Authorities as may be required from time to time for the implementation, operation or amendment of this Plan or for the Options or RSUs granted from time to time hereunder.</w:t>
      </w:r>
    </w:p>
    <w:p>
      <w:pPr>
        <w:spacing w:after="0" w:line="162"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“Regulatory Authorities” means all organized trading facilities on which the Shares are listed, and all securities commissions or similar securities regulatory bodies having jurisdiction over the Company, this Plan or the Options or RSUs granted from time to time hereunder.</w:t>
      </w:r>
    </w:p>
    <w:p>
      <w:pPr>
        <w:spacing w:after="0" w:line="162"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“Regulatory Rules” means all corporate and securities laws, regulations, rules, policies, notices, instruments and other orders of any kind whatsoever which may, from time to time, apply to the implementation, operation or amendment of this Plan or the Options or RSUs granted from time to time hereunder including, without limitation, those of the applicable Regulatory Authorities.</w:t>
      </w:r>
    </w:p>
    <w:p>
      <w:pPr>
        <w:spacing w:after="0" w:line="176"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“Restricted Share Unit” or “RSU” means a right awarded to a Participant to receive a payment in Shares as provided in Section 8 hereof and subject to the terms and conditions of this Plan and the applicable Award Agreement.</w:t>
      </w:r>
    </w:p>
    <w:p>
      <w:pPr>
        <w:spacing w:after="0" w:line="162"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“Restriction Period” means the time period between the Grant Date and the date of vesting of an Award of RSUs specified by the Board in the applicable Award Agreement, which period shall not be less than 12 months, provided the Board may, in its discretion, permit earlier vesting, no sooner than quarterly, of the RSUs.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“RSU Holder” means a Participant who holds an unexercised and unexpired RSU or, where applicable, the Personal Representative of such Participant.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R.S.O. 1990, c. S.5 as from time to time amended.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or “Shares” means, as the case may be, one or more common shares without par value in the capital stock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means a wholly-owned or controlled subsidiary corporation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means the effective date of termination of employment of a Participant.</w:t>
      </w:r>
    </w:p>
    <w:p>
      <w:pPr>
        <w:spacing w:after="0" w:line="225" w:lineRule="exact"/>
        <w:rPr>
          <w:sz w:val="20"/>
          <w:szCs w:val="20"/>
          <w:color w:val="auto"/>
        </w:rPr>
      </w:pPr>
    </w:p>
    <w:p>
      <w:pPr>
        <w:jc w:val="center"/>
        <w:ind w:right="5920"/>
        <w:spacing w:after="0"/>
        <w:rPr>
          <w:sz w:val="20"/>
          <w:szCs w:val="20"/>
          <w:color w:val="auto"/>
        </w:rPr>
      </w:pPr>
      <w:r>
        <w:rPr>
          <w:rFonts w:ascii="Times New Roman" w:cs="Times New Roman" w:eastAsia="Times New Roman" w:hAnsi="Times New Roman"/>
          <w:sz w:val="17"/>
          <w:szCs w:val="17"/>
          <w:color w:val="auto"/>
        </w:rPr>
        <w:t>“Triggering Event” means the consummation of any one of the following:</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dissolution, liquidation or wind-up of the Company;</w:t>
      </w:r>
    </w:p>
    <w:p>
      <w:pPr>
        <w:spacing w:after="0" w:line="225"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a merger, amalgamation, arrangement or reorganization of the Company with one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acquisition of all or substantially all of the issued and outstanding shares of the Company by one or more Persons or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Change of Control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sale or other disposition of all or substantially all of the assets of the Company; or</w:t>
      </w:r>
    </w:p>
    <w:p>
      <w:pPr>
        <w:spacing w:after="0" w:line="225"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a material alteration of the capital structure of the Company which, in the opinion of the Committee, is of such a nature that it is not practical or feasible to make adjustments to this Plan or to the Options or RSUs granted hereunder to permit the Plan and Options or RSUs granted hereunder to stay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“TSXV” means the TSX Venture Exchange Inc.</w:t>
      </w:r>
    </w:p>
    <w:p>
      <w:pPr>
        <w:spacing w:after="0" w:line="225" w:lineRule="exact"/>
        <w:rPr>
          <w:sz w:val="20"/>
          <w:szCs w:val="20"/>
          <w:color w:val="auto"/>
        </w:rPr>
      </w:pPr>
    </w:p>
    <w:p>
      <w:pPr>
        <w:ind w:left="660" w:hanging="647"/>
        <w:spacing w:after="0" w:line="282" w:lineRule="auto"/>
        <w:rPr>
          <w:sz w:val="20"/>
          <w:szCs w:val="20"/>
          <w:color w:val="auto"/>
        </w:rPr>
      </w:pPr>
      <w:r>
        <w:rPr>
          <w:rFonts w:ascii="Times New Roman" w:cs="Times New Roman" w:eastAsia="Times New Roman" w:hAnsi="Times New Roman"/>
          <w:sz w:val="18"/>
          <w:szCs w:val="18"/>
          <w:color w:val="auto"/>
        </w:rPr>
        <w:t>“Vest” or “Vesting” means that a portion of the Option or RSU granted to the Option Holder or RSU Holder which is available to be exercised by the Option Holder or RSU Holder at any time and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Choice of Law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Plan is established under, and the provisions of the Plan shall be subject to and interpreted and construed in accordance with, the laws of the Province of Ontario. The Company and each Option Holder and RSU Holder hereby attorn to the jurisdiction of the Courts of Ontario.</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headings used herein are for convenience only and are not to affect the interpretation of the Plan.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Grant of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shall, from time to time in its sole discretion, grant Options or RSUs to such Employees, Executives or Consultants and on such terms and conditions as are permitted under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Record of Awards Grants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shall be responsible to maintain a record of all Options and RSUs granted under this Plan and such record shall contain, in respect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and RSU: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Option Holder or RSU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category (Executive, Employee or Consultant) under which the Option or RSU was granted to him, her or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and Expiry Date of the Option or RSU;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which may be acquired on the exercise of the Option and, if applicable, the Exercise Price of the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vesting and other additional terms, if any, attached to the Option or RSU;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particulars of each and every time the Option or RSU is exercised or settled.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 of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Options and RSUs granted pursuant to the Plan shall be subject to the terms and conditions of the Plan notwithstanding the fact that the Option Certificates or Award Agreements issued in respect thereof do not expressly contain such terms and conditions but instead incorporate them by reference to the Plan. The Option Certificates and Award Agreements will be issued for convenience only and in the case of a dispute with regard to any matter in respect thereof, the provisions of the Plan and the records of the Company shall prevail over the terms and conditions in the Option Certificate or Award Agreement, save and except as noted below. Each Option or RSU will also be subject to, in addition to the provisions of the Plan, the terms and conditions contained in the schedules, if any, attached to the Option Certificate or Award Agreement for such Option or RSU, as applicable and any subplans applicable to such Award. Should the terms and conditions contained in such schedules or subplans be inconsistent with the provisions of the Plan, such terms and conditions will supersede the provisions of the Plan.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PARTICIPATION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 of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Plan is to provide the Company with a share-related mechanism to attract, retain and motivate qualified Executives, Employees and Consultants, to incentivize such individuals to contribute toward the long term goals of the Company, and to encourage such individuals to acquire Shares of the Company as long term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Participation in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shall, from time to time and in its sole discretion, determine those Executives, Employees and Consultants, if any, to whom Options and RSUs are to be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Limits on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listed on the Exchange, the following limitations shall apply to the Plan and all Options thereunder so long as such limitations are required by the Exchange:</w:t>
      </w:r>
    </w:p>
    <w:p>
      <w:pPr>
        <w:spacing w:after="0" w:line="162"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the maximum number of Options which may be granted to any one Option Holder under the Plan within any 12-month period shall be 5% of the Outstanding Issue (unless the Company has obtained Disinterested Shareholder Approval as required by the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Section 5.1, the Expiry Date of an Option shall be no later than the tenth anniversary of the Grant Date of such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number of Options which may be granted to any one Consultant within any 12-month period must not exceed 2% of the Outstanding Issue;</w:t>
      </w:r>
    </w:p>
    <w:p>
      <w:pPr>
        <w:spacing w:after="0" w:line="225"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the maximum number of Options which may be granted within any 12-month period to Employees or Consultants engaged in investor relations activities must not exceed 2% of the Outstanding Issue and such Options must Vest in stages over 12 months with no more than 25% of the Options vesting in any three month period;</w:t>
      </w:r>
    </w:p>
    <w:p>
      <w:pPr>
        <w:spacing w:after="0" w:line="176"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The aggregate number of Shares issued to insiders within any 12 month period, or issuable to insiders at any time, under the Plan and any other security based compensation arrangement of the Company, may not exceed ten percent (10%) of the total number of issued and outstanding Shares during any such period of time;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limitation will not be an amendment to this Plan requiring the Option Holders’ consent under Section 10.2 of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Limits on RSU Grants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RSUs:</w:t>
      </w:r>
    </w:p>
    <w:p>
      <w:pPr>
        <w:spacing w:after="0" w:line="225"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The total number of Shares issuable pursuant to RSUs to any Participant under this Plan shall not exceed one and one half percent (1.5%) of the issued and outstanding Shares at the time of the Award;</w:t>
      </w:r>
    </w:p>
    <w:p>
      <w:pPr>
        <w:spacing w:after="0" w:line="162"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The total number of Shares issuable to any Participant pursuant to RSUs under this Plan shall not, in the aggregate, exceed two and one half percent (2.5%) of the issued and outstanding Shares in any twelve month period;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aggregate number of Shares issuable under this Plan pursuant to RSUs shall not exceed ten million (10,000,000) at any one time;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Executives and Consultants performing investor relations activities may receive only Options as Awards under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Notification of Grant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granting of an Award, the Administrator shall, within a reasonable period of time, notify the Option Holder or RSU Holder in writing of the grant and shall enclose with such notice the Option Certificate or Award Agreement representing the Option or RSU, as applicable, so granted. In no case will the Company be required to deliver an Option Certificate or Award Agreement to an Option Holder or RSU Holder until such time as the Company has obtained all necessary Regulatory Approvals for the grant of the Option or RSU.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Copy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Option Holder and RSU Holder, concurrently with the notice of the grant of the Option or RSU, shall be provided with a copy of the Plan. A copy of any amendment to the Plan shall be promptly provided by the Administrator to each Option Holder and RSU Holder.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on Service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does not give any Option Holder or RSU Holder that is an Executive the right to serve or continue to serve as an Executive of the Company or any Subsidiary, nor does it give any Option Holder or RSU Holder that is an Employee or Consultant the right to be or to continue to be employed or engaged by the Company or any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Obligation to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Holders and RSU Holders shall be under no obligation to exercise Options or RSUs granted under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every Option Holder and RSU Holder granted an Option or RSU hereunder shall be bound by and subject to the terms and conditions of this Plan. By accepting an Option or RSU granted hereunder, the Option Holder or RSU Holder has expressly agreed with the Company to be bound by the terms and conditions of this Plan. In the event that the Option Holder or RSU Holder receives their Options or RSUs pursuant to an oral or written agreement with the Company or a Subsidiary, whether such agreement is an employment agreement, consulting agreement or any other kind of agreement of any kind whatsoever, the Option Holder or RSU Holder acknowledges that in the event of any inconsistency between the terms relating to the grant of such Options and RSUs in that agreement and the terms attaching to the Options or RSUs as provided for in this Plan, the terms provided for in this Plan shall prevail and the other agreement shall be deemed to have been amended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delivery or other correspondence of any kind whatsoever to be provided by the Company to an Option Holder or RSU Holder will be deemed to have been provided if provided to the last home address, fax number or email address of the Option Holder or RSU Holder in the records of the Company and the Company shall be under no obligation to confirm receipt or delivery.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 to the Exchange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 condition precedent to the issuance of an Option or RSU, the Company must be able to represent to the Exchange as of the Grant Date that the Option Holder or RSU Holder, as applicable, is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Executive, Employee or Consultant of the Company or any Subsidiary. Both the Company and the Option Holder or RSU Holder are responsible for confirming that that the Option Holder or RSU Holder is a bona fide Employee, Executive or Consultant, as the case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UNDER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to Approve Issuance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shall approve by resolution the issuance of all Shares to be issued to Option Holders or RSU Holders upon the exercise of Options or RSUs, such authorization to be deemed effective as of the Grant Date of such Options or RSUs regardless of when it is actually done. The Board shall be entitled to approve the issuance of Shares in advance of the Grant Date, retroactively after the Grant Date, or by a general approval of this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 of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adjustment as provided for herein, the aggregate number of Shares which will be available for purchase pursuant to Options and RSUs granted pursuant to this Plan and any other incentive plan of the Company pursuant to which common shares may be issued, will not exceed 10% of the issued and outstanding Shares as at the time of grant. If any Option or RSU expires or otherwise terminates for any reason without having been exercised in full, the number of Shares in respect of such expired or terminated Option or RSU shall again be available for the purposes of granting Options or RSUs pursuant to this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Fractional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shall be issued upon the exercise of any Option or RSU and, if as a result of any adjustment, an Option Holder or RSU Holder would become entitled to a fractional share, such Option Holder or RSU Holder shall have the right to purchase only the next lowest whole number of Shares and no payment or other adjustment will be made for the fractional interest.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Exercise Period of Option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Sections 5.4, 6.2, 6.3, 6.4 and 12.4, the Grant Date and the Expiry Date of an Option shall be the dates fixed by the Committee at the time the Option is granted and shall be set out in the Option Certificate or Award Agreement issued in respect of such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 of Shares Under Option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which may be purchased pursuant to an Option shall be determined by the Committee and shall be set out in the Option Certificate or Award Agreement issued in respect of the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Exercise Price of Option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at which an Option Holder may purchase a Share upon the exercise of an Option shall be determined by the Committee and shall be set out in the Option Certificate or Award Agreement issued in respect of the Option. The Exercise Price shall not be less than the Market Value of the Shares as of the Grant Date. The Market Value of the Shares for a particular Grant Date shall be determined as follows:</w:t>
      </w:r>
    </w:p>
    <w:p>
      <w:pPr>
        <w:spacing w:after="0" w:line="176"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for each organized trading facility on which the Shares are listed, Market Value will be the closing trading price of the Shares on the day immediately preceding the Grant Date, and may be less than this price if it is within the discounts permitted by the applicable Regulatory Authorities;</w:t>
      </w:r>
    </w:p>
    <w:p>
      <w:pPr>
        <w:spacing w:after="0" w:line="162"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if the Company’s Shares are listed on more than one organized trading facility, the Market Value shall be the Market Value as determined in accordance with Section 5.3(a) above for the primary organized trading facility on which the Shares are listed, as determined by the Committee, subject to any adjustments as may be required to secure all necessary Regulatory Approvals;</w:t>
      </w:r>
    </w:p>
    <w:p>
      <w:pPr>
        <w:spacing w:after="0" w:line="176"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if the Company’s Shares are listed on one or more organized trading facilities but have not traded during the ten trading days immediately preceding the Grant Date, then the Market Value will be, subject to any adjustments as may be required to secure all necessary Regulatory Approvals, such value as is determined by the Committee; and</w:t>
      </w:r>
    </w:p>
    <w:p>
      <w:pPr>
        <w:spacing w:after="0" w:line="176" w:lineRule="exact"/>
        <w:rPr>
          <w:sz w:val="20"/>
          <w:szCs w:val="20"/>
          <w:color w:val="auto"/>
        </w:rPr>
      </w:pPr>
    </w:p>
    <w:p>
      <w:pPr>
        <w:jc w:val="both"/>
        <w:ind w:left="660" w:hanging="647"/>
        <w:spacing w:after="0" w:line="261" w:lineRule="auto"/>
        <w:rPr>
          <w:sz w:val="20"/>
          <w:szCs w:val="20"/>
          <w:color w:val="auto"/>
        </w:rPr>
      </w:pPr>
      <w:r>
        <w:rPr>
          <w:rFonts w:ascii="Times New Roman" w:cs="Times New Roman" w:eastAsia="Times New Roman" w:hAnsi="Times New Roman"/>
          <w:sz w:val="18"/>
          <w:szCs w:val="18"/>
          <w:color w:val="auto"/>
        </w:rPr>
        <w:t>if the Company’s Shares are not listed on any organized trading facility, then the Market Value will be, subject to any adjustments as may be required to secure all necessary Regulatory Approvals, such value as is determined by the Committee to be the fair value of the Shares, taking into consideration all factors that the Committee deems appropriate, including, without limitation, recent sale and offer prices of the Shares in private transactions negotiated at arms’ length.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herein, in no case will the Market Value be less than the minimum prescribed by each of the organized trading facilities that would apply to the Company on the Grant Date in question.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such other terms or conditions that may be attached to Options granted hereunder, an Option Holder may exercise an Option in whole or in part at any time and from time to time during the Exercise Period. Any Option or part thereof not exercised within the Exercise Period shall terminate and become null, void and of no effect as of the Expiry Time on the Expiry Date. The Expiry Date of an Option shall be the earlier of the date so fixed by the Committee at the time the Option is granted as set out in the Option Certificate or Award Agreement and the date established, if applicable, in Sections 5.4(a) to (d) below or Sections 6.2, 6.3, 6.4, or 12.4 of this Plan:</w:t>
      </w:r>
    </w:p>
    <w:p>
      <w:pPr>
        <w:spacing w:after="0" w:line="181" w:lineRule="exact"/>
        <w:rPr>
          <w:sz w:val="20"/>
          <w:szCs w:val="20"/>
          <w:color w:val="auto"/>
        </w:rPr>
      </w:pPr>
    </w:p>
    <w:p>
      <w:pPr>
        <w:jc w:val="both"/>
        <w:ind w:left="66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Ceasing to Hold Office </w:t>
      </w:r>
      <w:r>
        <w:rPr>
          <w:rFonts w:ascii="Times New Roman" w:cs="Times New Roman" w:eastAsia="Times New Roman" w:hAnsi="Times New Roman"/>
          <w:sz w:val="18"/>
          <w:szCs w:val="18"/>
          <w:color w:val="auto"/>
        </w:rPr>
        <w:t>– Subject to subsection 5.4(b), in the event that the Option Holder holds his or her Option as an Executive and such Option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ceases to hold such position other than by reason of death or Disability, unless otherwise determined by the Committee and expressly provided for in the Option Certificate or Award Agreement:</w:t>
      </w:r>
    </w:p>
    <w:p>
      <w:pPr>
        <w:spacing w:after="0" w:line="175"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any vested Options held by the Participant at the time of such termination shall expire on the date that is the earlier of the date that is one (1) year following the date of termination and the Expiry Date;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unvested Options held by the Participant at the time of such termination shall be cancelled and forfeited upon the date of such termination;</w:t>
      </w:r>
    </w:p>
    <w:p>
      <w:pPr>
        <w:spacing w:after="0" w:line="223" w:lineRule="exact"/>
        <w:rPr>
          <w:sz w:val="20"/>
          <w:szCs w:val="20"/>
          <w:color w:val="auto"/>
        </w:rPr>
      </w:pPr>
    </w:p>
    <w:p>
      <w:pPr>
        <w:ind w:left="660" w:hanging="6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Ceasing to Hold Office for Cause - </w:t>
      </w:r>
      <w:r>
        <w:rPr>
          <w:rFonts w:ascii="Times New Roman" w:cs="Times New Roman" w:eastAsia="Times New Roman" w:hAnsi="Times New Roman"/>
          <w:sz w:val="18"/>
          <w:szCs w:val="18"/>
          <w:color w:val="auto"/>
        </w:rPr>
        <w:t>In the event that the Option Holder holds his or her Option as an Executive and such Option Holder ceases to hold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as a result of</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ceasing to meet the qualifications set forth in the corporate legislation applicable to the Company;</w:t>
      </w:r>
    </w:p>
    <w:p>
      <w:pPr>
        <w:spacing w:after="0" w:line="225"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a special resolution having been passed by the shareholders of the Company removing the Option Holder as a director of the Company or any Subsidiary;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order made by any Regulatory Authority having jurisdiction to so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w:t>
      </w:r>
    </w:p>
    <w:p>
      <w:pPr>
        <w:spacing w:after="0" w:line="225"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any vested Options held by the Participant at the time of such termination shall expire on the date that is the earlier of the date that is ninety (90) days from the date of termination and the Expiry Date;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unvested Options held by the Participant at the time of such termination shall be cancelled and forfeited upon the date of such termination;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left="66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Employee or Consultant without Cause </w:t>
      </w:r>
      <w:r>
        <w:rPr>
          <w:rFonts w:ascii="Times New Roman" w:cs="Times New Roman" w:eastAsia="Times New Roman" w:hAnsi="Times New Roman"/>
          <w:sz w:val="18"/>
          <w:szCs w:val="18"/>
          <w:color w:val="auto"/>
        </w:rPr>
        <w:t>- In the event that the Option Holder holds his or her Option as an Employee or Consultant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Holder ceases to hold such position other than for cause or by reason of death or Disability, unless otherwise determined by the Committee and expressly provided for in the Option Certificate or Award Agreement:</w:t>
      </w:r>
    </w:p>
    <w:p>
      <w:pPr>
        <w:spacing w:after="0" w:line="175"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any vested Options held by the Participant at the time of such termination shall expire on the date that is the earlier of the date that is ninety (90) days following the date of termination and the Expiry Date;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unvested Options held by the Participant at the time of such termination shall be cancelled and forfeited upon the date of such termination;</w:t>
      </w:r>
    </w:p>
    <w:p>
      <w:pPr>
        <w:spacing w:after="0" w:line="223" w:lineRule="exact"/>
        <w:rPr>
          <w:sz w:val="20"/>
          <w:szCs w:val="20"/>
          <w:color w:val="auto"/>
        </w:rPr>
      </w:pPr>
    </w:p>
    <w:p>
      <w:pPr>
        <w:jc w:val="both"/>
        <w:ind w:left="660" w:right="2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Employee or Consultant for Cause </w:t>
      </w:r>
      <w:r>
        <w:rPr>
          <w:rFonts w:ascii="Times New Roman" w:cs="Times New Roman" w:eastAsia="Times New Roman" w:hAnsi="Times New Roman"/>
          <w:sz w:val="18"/>
          <w:szCs w:val="18"/>
          <w:color w:val="auto"/>
        </w:rPr>
        <w:t>- In the event an Option Holder holds his or her Option as an Employee or Consultant and is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cause, resigns their position, or ceases to remain as an Employee or Consultant by order made by any Regulatory Authority having jurisdiction to so order:</w:t>
      </w:r>
    </w:p>
    <w:p>
      <w:pPr>
        <w:spacing w:after="0" w:line="175"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any vested Options held by the Participant at the time of such termination shall expire on the date that is the earlier of the date that is ninety (90) days from the date of termination and the Expiry Date;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unvested Options held by the Participant at the time of such termination shall be cancelled and forfeited upon the date of such termination.</w:t>
      </w:r>
    </w:p>
    <w:p>
      <w:pPr>
        <w:spacing w:after="0" w:line="225" w:lineRule="exact"/>
        <w:rPr>
          <w:sz w:val="20"/>
          <w:szCs w:val="20"/>
          <w:color w:val="auto"/>
        </w:rPr>
      </w:pPr>
    </w:p>
    <w:p>
      <w:pPr>
        <w:jc w:val="both"/>
        <w:ind w:left="660" w:hanging="647"/>
        <w:spacing w:after="0" w:line="256" w:lineRule="auto"/>
        <w:rPr>
          <w:sz w:val="20"/>
          <w:szCs w:val="20"/>
          <w:color w:val="auto"/>
        </w:rPr>
      </w:pPr>
      <w:r>
        <w:rPr>
          <w:rFonts w:ascii="Times New Roman" w:cs="Times New Roman" w:eastAsia="Times New Roman" w:hAnsi="Times New Roman"/>
          <w:sz w:val="18"/>
          <w:szCs w:val="18"/>
          <w:color w:val="auto"/>
        </w:rPr>
        <w:t>In the event that the Option Holder ceases to hold the position of Executive, Employee or Consultant for which the Option was originally granted, but comes to hold a different position as an Executive, Employee or Consultant prior to the expiry of the Option, the Committee may, in its sole discretion, choose to permit the Option to stay in place for that Option Holder with such Option then to be treated as being held by that Option Holder in his or her new position and such will not be considered to be an amendment to the Option in question requiring the consent of the Option Holder under Section 10.2 of this Plan. Notwithstanding anything else contained herein, in no case will an Option be exercisable later than the Expiry Date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of Option and Acceleration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vesting schedule for an Option, if any, shall be determined by the Committee and shall be set out in the Option Certificate or Award Agreement issued in respect of the Option. The Committee may elect, at any time, to accelerate the vesting schedule of one or more Options including, without limitation, on a Triggering Event, and such acceleration will not be considered an amendment to the Option in question requiring the consent of the Option Holder under Section 10.2 of this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all applicable Regulatory Rules and all necessary Regulatory Approvals, the Committee may attach additional terms and conditions to the grant of a particular Option, such terms and conditions to be set out in a schedule attached to the Option Certificate or Award Agreement. The Option Certificates or Award Agreements will be issued for convenience only, and in the case of a dispute with regard to any matter in respect thereof, the provisions of this Plan and the records of the Company shall prevail over the terms and conditions in the Option Certificate or Award Agreement, save and except as noted below. Each Option will also be subject to, in addition to the provisions of the Plan, the terms and conditions contained in the schedules, if any, attached to the Option Certificate or Award Agreement for such Option. Should the terms and conditions contained in such schedules be inconsistent with the provisions of the Plan, such terms and conditions will supersede the provisions of the Plan.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TRANSFERABILITY OF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Non-transferable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otherwise in this Section 6, Awards are non-assignable and non-transferable.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Death of Award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death of an Award Holder any Awards held by such Award Holder shall pass to the Personal Representative of the Award Holder and:</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any vested Awards shall be exercisable by the Personal Representative on or before the date which is the earlier of one year following the date of death and the applicable Expiry Date; and</w:t>
      </w:r>
    </w:p>
    <w:p>
      <w:pPr>
        <w:spacing w:after="0" w:line="162"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any unvested Awards shall continue to vest during the period following death and upon such vesting, may be exercised by the Personal Representative on or before the date which is the earlier of one year following the date of death and the applicable Expiry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Disability of Award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employment or engagement of an Award Holder as an Employee or Consultant or the position of an Award Holder as a director or officer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 Subsidiary is terminated by the Company by reason of Disability of Award Holder:</w:t>
      </w:r>
    </w:p>
    <w:p>
      <w:pPr>
        <w:spacing w:after="0" w:line="207"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any vested Awards held by such Award Holder shall be exercisable by such Award Holder or by the Personal Representative on or before the date which is the earlier of one year following the termination of employment, engagement or appointment as a director or officer and the applicable Expiry Date; and</w:t>
      </w:r>
    </w:p>
    <w:p>
      <w:pPr>
        <w:spacing w:after="0" w:line="176" w:lineRule="exact"/>
        <w:rPr>
          <w:sz w:val="20"/>
          <w:szCs w:val="20"/>
          <w:color w:val="auto"/>
        </w:rPr>
      </w:pPr>
    </w:p>
    <w:p>
      <w:pPr>
        <w:jc w:val="both"/>
        <w:ind w:left="660" w:hanging="647"/>
        <w:spacing w:after="0" w:line="261" w:lineRule="auto"/>
        <w:rPr>
          <w:sz w:val="20"/>
          <w:szCs w:val="20"/>
          <w:color w:val="auto"/>
        </w:rPr>
      </w:pPr>
      <w:r>
        <w:rPr>
          <w:rFonts w:ascii="Times New Roman" w:cs="Times New Roman" w:eastAsia="Times New Roman" w:hAnsi="Times New Roman"/>
          <w:sz w:val="18"/>
          <w:szCs w:val="18"/>
          <w:color w:val="auto"/>
        </w:rPr>
        <w:t>any unvested Awards shall be cancelled and/or forfeited immediately, unless the Award Holder has a Personal Representative capable of acting on behalf of the Award Holder, in which case the Awards shall continue to vest during the period following Disability of the Award Holder and upon such vesting, may be exercised by the Personal Representative on or before the date which is the earlier of one year following the date of death and the applicable Expiry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Disability and Death of Award 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Award Holder has ceased to be employed, engaged or appointed as a director or officer of the Company or a Subsidiary by reason of such Award Holder’s Disability and such Award Holder dies within one year after the termination of such engagement:</w:t>
      </w:r>
    </w:p>
    <w:p>
      <w:pPr>
        <w:spacing w:after="0" w:line="162"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Any vested Awards held by such Award Holder that could have been exercised immediately prior to his or her death shall pass to the Personal Representative of such Award Holder and shall be exercisable by the Personal Representative on or before the date which is the earlier of one year following the death of such Award Holder and the applicable Expiry Date; and</w:t>
      </w:r>
    </w:p>
    <w:p>
      <w:pPr>
        <w:spacing w:after="0" w:line="176"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any unvested Awards shall continue to vest during the period following death and upon such vesting, may be exercised by the Personal Representative on or before the date which is the earlier of one year following the date of death and the applicable Expiry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Committee determines otherwise, Awards held by or exercisable by a Personal Representative shall, during the period prior to their termination, continue to Vest in accordance with any vesting schedule to which such Awards are subject.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Committee determines otherwise, Options issued pursuant to the Plan are generally subject to a vesting schedule as follows: (i) 1/3 upon the Grant Date; (ii) 1/3 upon the first anniversary of the Grant Date; and (iii) 1/3 upon the second anniversary of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Deemed Non-Interruption of Engagement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Employment or engagement by the Company shall be deemed to continue intact during any military or sick leave or 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the period of such leave does not exceed 90 days or, if longer, for so long as the Award Holder’s right to re-employment or re-engagement by the Company is guaranteed either by statute or by contract. If the period of such leave exceeds 90 days and the Award Holder’s re-employment or re-engagement is not so guaranteed, then his or her employment or engagement shall be deemed to have terminated on the ninety-first day of such leave.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EXERCISE OF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Exercise of Award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Option or RSU may be exercised only by the Award Holder or the Personal Representative of any Award Holder. An Award Holder or the Personal Representative of any Award Holder may exercise an Option or RSU in whole or in part at any time and from time to time during the Exercise Period up to the Expiry Time on the Expiry Date by delivering to the Administrator the required Exercise Notice, and if applicable, the applicable Option Certificate or Award Agreement and a certified cheque or bank draft payable to the Company in an amount equal to the aggregate Exercise Price of the Shares then being purchased pursuant to the exercise of the Option. Notwithstanding anything else contained herein, Options and RSUs may not be exercised during Black-Outs unless the Committee determines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 of Share Certificates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soon as reasonably practicable following the receipt of the Exercise Notice, the Administrator shall cause to be delivered to the Award Holder a certificate for the Shares so purchased. If the number of Shares so purchased is less than the number of Shares subject to the Option Certificate or Award Agreement surrendered, the Administrator shall also provide a new Option Certificate for the balance of Shares available under the Option or RSU to the Award Holder concurrent with delivery of the Share Certificate.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Rights as Shareholder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date of the issuance of the certificate for the Shares purchased pursuant to the exercise of an Award, no right to vote or receive dividends or any other rights as a shareholder shall exist with respect to such Shares, notwithstanding the exercise of the Award, unless the Committee determines otherwise. In the event of any dispute over the date of the issuance of the certificates, the decision of the Committee shall be final, conclusive and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this Plan and such other terms and conditions as the Board may prescribe, the Board may, from time to time, grant RSUs to eligible Participants. RSUs granted to a Participant shall be credited, as of the Grant Date, to the Participant’s account. The number of RSUs to be credited to each Participant shall be determined by the Committee in its sole discretion in accordance with this Plan. Each RSU shall, contingent upon the lapse of any restrictions, represent one (1) Share. The number of RSUs granted pursuant to an Award and the Restriction Period in respect of such RSU shall be specified in the applicable Award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shall be subject to such restrictions as the Committee, in its sole discretion, may establish in the applicable Award Agreement, which restrictions may lapse separately or in combination at such time or times and on such terms, conditions and satisfaction of objectives as the Committee may, in its discretion, determine at the time an Award is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RSUs will Vest and become payable by the issuance of Shares at the end of the Restriction Period if all applicable restrictions have lapsed, as such restrictions may be specified in the Award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all restrictions upon any RSUs shall lapse immediately and all such RSUs shall become fully vested in the Participant and will accrue to the Participant in accordance with Section 8.9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Death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as may be set forth in the applicable Award Agreement, upon the death of a Participant, any RSUs granted to such Participant which, prior to the Participant’s death, have not vested, will be immediately and automatically forfeited and cancelled without further action and without any cost or payment, and the Participant or his or her estate, as the case may be, shall have no right, title or interest therein whatsoever. Any RSUs granted to such Participant which, prior to the Participant’s death, had vested pursuant to the terms of the applicable Award Agreement will accrue to the Participant’s estate in accordance with Section 6.2 hereof.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employment or service</w:t>
      </w:r>
    </w:p>
    <w:p>
      <w:pPr>
        <w:spacing w:after="0" w:line="229" w:lineRule="exact"/>
        <w:rPr>
          <w:sz w:val="20"/>
          <w:szCs w:val="20"/>
          <w:color w:val="auto"/>
        </w:rPr>
      </w:pPr>
    </w:p>
    <w:p>
      <w:pPr>
        <w:jc w:val="both"/>
        <w:ind w:left="660" w:hanging="647"/>
        <w:spacing w:after="0" w:line="261" w:lineRule="auto"/>
        <w:rPr>
          <w:sz w:val="20"/>
          <w:szCs w:val="20"/>
          <w:color w:val="auto"/>
        </w:rPr>
      </w:pPr>
      <w:r>
        <w:rPr>
          <w:rFonts w:ascii="Times New Roman" w:cs="Times New Roman" w:eastAsia="Times New Roman" w:hAnsi="Times New Roman"/>
          <w:sz w:val="18"/>
          <w:szCs w:val="18"/>
          <w:color w:val="auto"/>
        </w:rPr>
        <w:t>Where, in the case of Employees or Consultants, a Participant’s employment is terminated by the Company or a Subsidiary for cause, or consulting contract, subject to the applicable Award Agreement, is terminated as a result of the Consultant’s breach, all RSUs granted to the Participant under this Plan will immediately terminate without payment, be forfeited and cancelled and shall be of no further force or effect as of the Termination Date.</w:t>
      </w:r>
    </w:p>
    <w:p>
      <w:pPr>
        <w:spacing w:after="0" w:line="180" w:lineRule="exact"/>
        <w:rPr>
          <w:sz w:val="20"/>
          <w:szCs w:val="20"/>
          <w:color w:val="auto"/>
        </w:rPr>
      </w:pPr>
    </w:p>
    <w:p>
      <w:pPr>
        <w:jc w:val="both"/>
        <w:ind w:left="660" w:hanging="647"/>
        <w:spacing w:after="0" w:line="256" w:lineRule="auto"/>
        <w:rPr>
          <w:sz w:val="20"/>
          <w:szCs w:val="20"/>
          <w:color w:val="auto"/>
        </w:rPr>
      </w:pPr>
      <w:r>
        <w:rPr>
          <w:rFonts w:ascii="Times New Roman" w:cs="Times New Roman" w:eastAsia="Times New Roman" w:hAnsi="Times New Roman"/>
          <w:sz w:val="18"/>
          <w:szCs w:val="18"/>
          <w:color w:val="auto"/>
        </w:rPr>
        <w:t>Where, in the case of Employees or Consultants, a Participant’s employment or consulting contract is terminated by the Company or a Subsidiary without cause, by voluntary termination or due to retirement by the Participant, all RSUs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RSUs granted to such Participant which, prior to the Participant’s termination without cause, voluntary termination or retirement, had vested pursuant to the terms of the applicable Award Agreement will accrue to the Participant in accordance with Section 8.9 hereof.</w:t>
      </w:r>
    </w:p>
    <w:p>
      <w:pPr>
        <w:spacing w:after="0" w:line="187"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Upon termination of a Participant’s employment with the Company or a Subsidiary, or upon termination of a Consultant’s contract, the Participant’s eligibility to receive further grants of Awards of RSUs under this Plan shall cease as of the Termination Date.</w:t>
      </w:r>
    </w:p>
    <w:p>
      <w:pPr>
        <w:spacing w:after="0" w:line="162" w:lineRule="exact"/>
        <w:rPr>
          <w:sz w:val="20"/>
          <w:szCs w:val="20"/>
          <w:color w:val="auto"/>
        </w:rPr>
      </w:pPr>
    </w:p>
    <w:p>
      <w:pPr>
        <w:jc w:val="both"/>
        <w:ind w:left="660" w:hanging="647"/>
        <w:spacing w:after="0" w:line="258" w:lineRule="auto"/>
        <w:rPr>
          <w:sz w:val="20"/>
          <w:szCs w:val="20"/>
          <w:color w:val="auto"/>
        </w:rPr>
      </w:pPr>
      <w:r>
        <w:rPr>
          <w:rFonts w:ascii="Times New Roman" w:cs="Times New Roman" w:eastAsia="Times New Roman" w:hAnsi="Times New Roman"/>
          <w:sz w:val="18"/>
          <w:szCs w:val="18"/>
          <w:color w:val="auto"/>
        </w:rPr>
        <w:t>In the event that the RSU Holder ceases to hold the position of Executive, Employee or Consultant for which the RSU was originally granted, but comes to hold a different position as an Executive, Employee or Consultant prior to the expiry of the RSU, the Committee may, in its sole discretion, choose to permit the RSU to stay in place for that RSU Holder with such RSU then to be treated as being held by that RSU Holder in his or her new position and such will not be considered to be an amendment to the RSU in question requiring the consent of the RSU Holder under Section 10.2 of this Plan. Notwithstanding anything else contained herein, in no case will an RSU be exercisable later than the Expiry Date of the RSU.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in the case of Employees or Consultants, a Participant becomes afflicted by a Disability, all RSUs granted to the Participant under this Plan will continue to Vest in accordance with the terms of such RSUs, provided, however, that no RSUs may be redeemed during a leave of absence. Where, in the case of Employees or Consultants, a Participant’s employment or consulting contract is terminated due to Disability, all RSUs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RSUs granted to such Participant which, prior to the Participant’s termination due to Disability, had vested pursuant to terms of the applicable Award Agreement will accrue to the Participant in accordance with Section 8.9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Cessation of directorship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in the case of directors, a Participant ceases to be a director for any reason, any RSUs granted to the Participant under this Plan that have not yet vested will, unless the applicable Award Agreement provides otherwise and subject to the provisions below, immediately terminate without payment, be forfeited and cancelled and shall be of no further force or effect as of the cessation date, provided, however, that any RSUs granted to such Participant which, prior to the cessation date for any reason, had vested pursuant to the terms of the applicable Award Agreement will accrue to the Participant in accordance with Section 8.9 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award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soon as practicable after each vesting date of an Award of RSUs, and subject to the applicable Award Agreement, the Company shall issue from treasury to the Participant, or if Section 8.5 applies, to the Participant’s estate, a number of Shares equal to the number of RSUs credited to the Participant’s account that become payable on the vesting date. As of the vesting date, the RSUs in respect of which such Shares are issued shall be cancelled and no further payments shall be made to the Participant under this Plan in relation to such RSUs.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or Committee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shall be administered by the Board, by a Committee of the Board appointed in accordance with Section 9.2 below, or by an Administrator appointed in accordance with Section 9.4(b).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of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may at any time appoint a Committee, consisting solely of two or more non-employee directors of the Board to administer the Plan on behalf of the Board in accordance with such terms and conditions as the Board may prescribe, consistent with this Plan. The Board shall have discretion whether or not it intends to comply with the exemption requirements of the Exchange Act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Once appointed, the Committee shall continue to serve until otherwise directed by the Board. From time to time, the Board may increase the size of the Committee and appoint additional members, remove members (with or without cause) and appoint new members in their place, fill vacancies however caused, or remove all members of the Committee and thereafter directly administer the Plan.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Quorum and Voting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the members of the Committee shall constitute a quorum and, subject to the limitations in this Section 9, all actions of the Committee shall require the affirmative vote of members who constitute a majority of such quorum. Members of the Committee may vote on any matters affecting the administration of the Plan or the grant of Options or RSUs pursuant to the Plan, except that no such member shall act upon the granting of an Option or RSU to themselves (but any such member may be counted in determining the existence of a quorum at any meeting of the Committee during which action is taken with respect to the granting of Options or RSUs to that member). The Committee may approve matters by written resolution signed by a majority of the quorum.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(or the Board if no Committee is in place) shall have the authority to do the following: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 in accordance with its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 or replace the Administrator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hire an employee or engage a consultant to administrate the Plan;</w:t>
      </w:r>
    </w:p>
    <w:p>
      <w:pPr>
        <w:spacing w:after="0" w:line="225"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determine all questions arising in connection with the administration, interpretation and application of the Plan, including all questions relating to the Market Value of the Shares;</w:t>
      </w:r>
    </w:p>
    <w:p>
      <w:pPr>
        <w:spacing w:after="0" w:line="81"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correct any defect, supply any information or reconcile any inconsistency in the Plan in such manner and to such extent as shall be deemed necessary or advisable to carry out the purposes of the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prescribe, amend, and rescind rules and regulations relating to the administration of the Plan;</w:t>
      </w:r>
    </w:p>
    <w:p>
      <w:pPr>
        <w:spacing w:after="0" w:line="225"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adopt terms and conditions, rules, and/or procedures (including the adoption of any subplan under this Plan) relating to the operation and administration of the Plan to accommodate requirements of local law and procedures for Employees, Executives and Consultants located in countries other than Canada or to qualify Awards for special tax treatment under laws of jurisdictions other than Canada;</w:t>
      </w:r>
    </w:p>
    <w:p>
      <w:pPr>
        <w:spacing w:after="0" w:line="95"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determine the duration and purposes of leaves of absence from employment or engagement by the Company which may be granted to Option Holders or RSU Holders without constituting a termination of employment or engagement or cessation of service for purposes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the following with respect to the granting of Options or RSUs, as applicable:</w:t>
      </w:r>
    </w:p>
    <w:p>
      <w:pPr>
        <w:spacing w:after="0" w:line="144"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determine the Executives, Employees or Consultants to whom Options or RSUs shall be granted, based on the eligibility criteria set out in this Plan;</w:t>
      </w:r>
    </w:p>
    <w:p>
      <w:pPr>
        <w:spacing w:after="0" w:line="81"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determine the terms of the Option or RSU to be granted to an Option Holder or RSU Holder including, without limitation, the Grant Date, Expiry Date, Exercise Price and vesting schedule, as applicable (which need not be identical with the terms of any other Option or RSU);</w:t>
      </w:r>
    </w:p>
    <w:p>
      <w:pPr>
        <w:spacing w:after="0" w:line="81" w:lineRule="exact"/>
        <w:rPr>
          <w:sz w:val="20"/>
          <w:szCs w:val="20"/>
          <w:color w:val="auto"/>
        </w:rPr>
      </w:pPr>
    </w:p>
    <w:p>
      <w:pPr>
        <w:ind w:left="660" w:right="2840"/>
        <w:spacing w:after="0" w:line="438" w:lineRule="auto"/>
        <w:rPr>
          <w:sz w:val="20"/>
          <w:szCs w:val="20"/>
          <w:color w:val="auto"/>
        </w:rPr>
      </w:pPr>
      <w:r>
        <w:rPr>
          <w:rFonts w:ascii="Times New Roman" w:cs="Times New Roman" w:eastAsia="Times New Roman" w:hAnsi="Times New Roman"/>
          <w:sz w:val="18"/>
          <w:szCs w:val="18"/>
          <w:color w:val="auto"/>
        </w:rPr>
        <w:t>subject to any necessary Regulatory Approvals and Section 10.2, amend the terms of any Options or RSUs; determine when Options or RSUs shall be granted; and</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determine the number of Shares subject to each Option or RSU;</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accelerate the vesting schedule of any Option or RSU previously granted;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all other determinations necessary or advisable, in its sole discretion, for the administration of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by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determinations made by the Committee in good faith shall be final, conclusive and binding upon all persons. The Committee shall have all powers necessary or appropriate to accomplish its duties under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interpretation by the Committee of any of the provisions of the Plan and any determination by it pursuant thereto shall be final, conclusive and binding and shall not be subject to dispute by any Option Holder or RSU Holder. No member of the Committee or any person acting pursuant to authority delegated by it hereunder shall be personally liable for any action or determination in connection with the Plan made or taken in good faith and each member of the Committee and each such person shall be entitled to indemnification with respect to any such action or determination in the manner provided for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Award Recipients.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 provision of the Plan to the contrary, in order to comply with the provisions of local laws, regulations and practices and policies in countries other than Canada in which the Company and its Subsidiaries operate or have Employees, Executives or Consultants eligible for Awards, the Committee, in its sole discretion, will have the power and authority to: (a) determine which Subsidiaries will be covered by the Plan; (b) determine which individuals located in countries other than Canada are eligible to participate in the Plan; (c) as necessary or advisable under the circumstances, modify the terms and conditions of any Award granted to individuals located in countries other than Canada or foreign nationals located in Canada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will be granted, that would violate any applicable Canadian securities law or any other applicable Canadian governing statute or law. The Committee’s decision to grant Awards to Employees, Executives or Consultants located in countries other than Canada or to establish subplans is entirely voluntary, and at the complete discretion of the Committee. The Committee may amend, modify or terminate any subplans at any time, and such amendment, modification or termination may be made without prior notice to the Participants. The Company and members of the Committee shall not incur any liability of any kind to any Participant as a result of any change, amendment or termination of any subplan at any time. The benefits and rights provided under any subplan or by any Award (x) are wholly discretionary and, although provided by the Company, do not constitute regular or periodic payments and (y) except as otherwise required under applicable laws, are not to be considered part of the Participant’s salary or compensation under the Participant’s employment with the Participant’s local employer for purposes of calculating any severance, resignation, redundancy or other end of service payments, vacation, bonuses, long-term service awards, indemnification, pension or retirement benefits, or any other payments, benefits or rights of any kind.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APPROVALS AND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Approval of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required by a Regulatory Authority or by the Committee, this Plan may be made subject to the approval of a majority of the votes cast at a meeting of the shareholders of the Company or by a majority of votes cast by disinterested shareholders at a meeting of shareholders of the Company. If shareholder approval is required, any Options or RSUs granted under this Plan prior to such time will not be exercisable or binding on the Company unless and until such shareholder approval is obtained.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Option or RSU or Plan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any requisite shareholder approval and any Regulatory Approvals set forth under Section 10.2(a) and (b) below, the Committee may from time to time amend or revise the terms of the Plan or may discontinue the Plan at any time; provided, however, that no such amendment or revision may, without the consent of the Option Holder or RSU Holder, in any manner adversely affect his rights under any Option or RSU theretofore granted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subject to receipt of requisite shareholder approval and Regulatory Approvals, make the following amendments to the Plan:</w:t>
      </w:r>
    </w:p>
    <w:p>
      <w:pPr>
        <w:spacing w:after="0" w:line="144"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any amendment to the number of securities issuable under the Plan, including an increase to a fixed maximum number of securities or a change from a fixed maximum number of securities to a fixed maximum percentage. A change to a fixed maximum percentage which was previously approved by shareholders will not require additional shareholder approval;</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extension of the term of an Option or RSU held by or benefiting an Insider;</w:t>
      </w:r>
    </w:p>
    <w:p>
      <w:pPr>
        <w:spacing w:after="0" w:line="144"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any change to the definition of the qualified Executives, Employees or Consultants which would have the potential of broadening or increasing Insider participation;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addition of any form of financial assistance;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amendment to a financial assistance provision which is more favourable to qualified Executives, Employees and Consultants;</w:t>
      </w:r>
    </w:p>
    <w:p>
      <w:pPr>
        <w:spacing w:after="0" w:line="225"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the addition of a deferred or restricted share unit or any other provision which results in qualified Executives, Employees and Consultants receiving securities while no cash consideration is received by the Company;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discontinuance of the Plan; and</w:t>
      </w:r>
    </w:p>
    <w:p>
      <w:pPr>
        <w:spacing w:after="0" w:line="225"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any other amendments that may lead to significant or unreasonable dilution in the Company’s outstanding securities or may provide additional benefits to qualified Executives, Employees and Consultants, especially Insiders of the Company, at the expense of the Company and its existing shareholders.</w:t>
      </w:r>
    </w:p>
    <w:p>
      <w:pPr>
        <w:spacing w:after="0" w:line="176" w:lineRule="exact"/>
        <w:rPr>
          <w:sz w:val="20"/>
          <w:szCs w:val="20"/>
          <w:color w:val="auto"/>
        </w:rPr>
      </w:pPr>
    </w:p>
    <w:p>
      <w:pPr>
        <w:ind w:left="660" w:hanging="647"/>
        <w:spacing w:after="0" w:line="282" w:lineRule="auto"/>
        <w:rPr>
          <w:sz w:val="20"/>
          <w:szCs w:val="20"/>
          <w:color w:val="auto"/>
        </w:rPr>
      </w:pPr>
      <w:r>
        <w:rPr>
          <w:rFonts w:ascii="Times New Roman" w:cs="Times New Roman" w:eastAsia="Times New Roman" w:hAnsi="Times New Roman"/>
          <w:sz w:val="18"/>
          <w:szCs w:val="18"/>
          <w:color w:val="auto"/>
        </w:rPr>
        <w:t>The Committee may, subject to receipt of requisite Regulatory Approvals, where required, in its sole discretion make all other amendments to the Plan that are not of the type contemplated in Section 10.2(a) above including, without limitation: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amendments of a “housekeeping” or clerical 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change to the vesting provisions of a security or the Plan;</w:t>
      </w:r>
    </w:p>
    <w:p>
      <w:pPr>
        <w:spacing w:after="0" w:line="225"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amendments to reflect any requirements of any Regulatory Authorities to which the Company is subject, including the Exchange and the Nasdaq Stock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change to the termination provisions of a security or the Plan which does not entail an extension beyond the original Expiry Date;</w:t>
      </w:r>
    </w:p>
    <w:p>
      <w:pPr>
        <w:spacing w:after="0" w:line="225" w:lineRule="exact"/>
        <w:rPr>
          <w:sz w:val="20"/>
          <w:szCs w:val="20"/>
          <w:color w:val="auto"/>
        </w:rPr>
      </w:pPr>
    </w:p>
    <w:p>
      <w:pPr>
        <w:jc w:val="both"/>
        <w:ind w:left="1300" w:hanging="647"/>
        <w:spacing w:after="0" w:line="261" w:lineRule="auto"/>
        <w:rPr>
          <w:sz w:val="20"/>
          <w:szCs w:val="20"/>
          <w:color w:val="auto"/>
        </w:rPr>
      </w:pPr>
      <w:r>
        <w:rPr>
          <w:rFonts w:ascii="Times New Roman" w:cs="Times New Roman" w:eastAsia="Times New Roman" w:hAnsi="Times New Roman"/>
          <w:sz w:val="18"/>
          <w:szCs w:val="18"/>
          <w:color w:val="auto"/>
        </w:rPr>
        <w:t>a change in the exercise price of Options, provided that at least six months have elapsed since the later of the date of commencement of the term of the Option, the date the Shares commenced trading on the Exchange or the date the exercise price of the Option was last amended, and provided that Disinterested Shareholder Approval is obtained for any reduction in the exercise price if the Option Holder is an Insider (as such term is defined by the Exchange) of the Company at the time of such proposed reduction;</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amendments to Section 5.5 and the definitions of Change of Control and Triggering Event;</w:t>
      </w:r>
    </w:p>
    <w:p>
      <w:pPr>
        <w:spacing w:after="0" w:line="144"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the addition of a cashless exercise feature, payable in cash or securities, which provides for a full deduction of the number of underlying securities from the Plan reserve; and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amendments to reflect changes to applicable laws or regulations.</w:t>
      </w:r>
    </w:p>
    <w:p>
      <w:pPr>
        <w:spacing w:after="0" w:line="225" w:lineRule="exact"/>
        <w:rPr>
          <w:sz w:val="20"/>
          <w:szCs w:val="20"/>
          <w:color w:val="auto"/>
        </w:rPr>
      </w:pPr>
    </w:p>
    <w:p>
      <w:pPr>
        <w:ind w:left="660" w:hanging="647"/>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10.2(b), the Company shall additionally obtain requisite shareholder approval in respect of amendments to the Plan that are contemplated pursuant to Section 10.2(b), to the extent such approval is required by any applicable laws or regulations.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ISSUANCE OF OPTIONS AND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Option or RSU shall not be granted or exercised, and Shares shall not be issued pursuant to the exercise of any Option or RSU, unless the grant and exercise of such Option or RSU and the issuance and delivery of such Shares comply with all applicable Regulatory Rules, and such Options and RSUs and Shares will be subject to all applicable trading restrictions in effect pursuant to such Regulatory Rules and the Company shall be entitled to legend the Option Certificates or Award Agreements and the certificates representing such Shares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Obligation to Obtain Regulatory Approvals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administering this Plan, the Committee will seek any Regulatory Approvals which may be required. The Committee will not permit any Options or RSUs to be granted without first obtaining the necessary Regulatory Approvals unless such Options or RSUs are granted conditional upon such Regulatory Approvals being obtained. The Committee will make all filings required with the Regulatory Authorities in respect of the Plan and each grant of Options or RSUs hereunder. No Option or RSUs granted will be exercisable or binding on the Company unless and until all necessary Regulatory Approvals have been obtained. The Committee shall be entitled to amend this Plan and the Options and RSUs granted hereunder in order to secure any necessary Regulatory Approvals and such amendments will not require the consent of the Option Holders and RSU Holders under Section 10.2 of this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Inability to Obtain Regulatory Approvals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inability to obtain Regulatory Approval from any applicable Regulatory Authority, which Regulatory Approval is deemed by the Committee to be necessary to complete the grant of Options or RSUs hereunder, the exercise of those Options or RSUs or the lawful issuance and sale of any Shares pursuant to such Options or RSUs, shall relieve the Company of any liability with respect to the failure to complete such transaction.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AND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any necessary Regulatory Approvals, the Committee may terminate or suspend the Plan. Unless earlier terminated as provided in this Section 12, the Plan shall terminate on, and no more Options or RSUs shall be granted under the Plan after, the tenth anniversary of the effective date of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Grant During Suspension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Option or RSU may be granted during any suspension, or after termination, of the Plan. Suspension or termination of the Plan shall not, without the consent of the Option Holder or RSU Holder, alter or impair any rights or obligations under any Option or RSU previously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Alteration in Capital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there is a material alteration in the capital structure of the Company and the Shares are consolidated, subdivided, converted, exchanged, reclassified or in any way substituted for, the Committee shall make such adjustments to this Plan and to the Options and RSUs then outstanding under this Plan as the Committee determines to be appropriate and equitable under the circumstances, so that the proportionate interest of each Option Holder and RSU Holder shall, to the extent practicable, be maintained as before the occurrence of such event. Such adjustments may include, without limitation: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change in the number or kind of shares of the Company covered by such Options or RSUs; and</w:t>
      </w:r>
    </w:p>
    <w:p>
      <w:pPr>
        <w:spacing w:after="0" w:line="225"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a change in the Exercise Price payable per Share; provided, however, that the aggregate Exercise Price applicable to the unexercised portion of existing Options shall not be altered, it being intended that any adjustments made with respect to such Options shall apply only to the Exercise Price per Share and the number of Shares subject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12.3, and without limitation, neither: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securities of the Company in exchange for adequate consideration (including services); nor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of outstanding securities of the Company into Shares shall be deemed to be material alterations of the capital structure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adjustment made to any Options or RSUs pursuant to this Section 12.3 shall not be considered an amendment requiring the Option Holder’s consent or RSU Holder’s consent, as applicable, for the purposes of Section 10.2 of this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auto"/>
        </w:rPr>
        <w:t>Triggering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 complying with Section 12.5 and any necessary Regulatory Approvals and notwithstanding any other provisions of this Plan or any Option Certificate or Award Agreement, the Committee may, without the consent of the Award holder in question: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all or a portion of any of the Options or RSUs granted under the Plan to terminate upon the occurrence of a Triggering Event;</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cause all or a portion of any of the Options or RSUs granted under the Plan to be exchanged for incentive stock options of another corporation upon the occurrence of a Triggering Event in such ratio and at such exercise price as the Committee deems appropriate, acting reasonably; or</w:t>
      </w:r>
    </w:p>
    <w:p>
      <w:pPr>
        <w:spacing w:after="0" w:line="162" w:lineRule="exact"/>
        <w:rPr>
          <w:sz w:val="20"/>
          <w:szCs w:val="20"/>
          <w:color w:val="auto"/>
        </w:rPr>
      </w:pPr>
    </w:p>
    <w:p>
      <w:pPr>
        <w:jc w:val="both"/>
        <w:ind w:left="660" w:hanging="647"/>
        <w:spacing w:after="0" w:line="255" w:lineRule="auto"/>
        <w:rPr>
          <w:sz w:val="20"/>
          <w:szCs w:val="20"/>
          <w:color w:val="auto"/>
        </w:rPr>
      </w:pPr>
      <w:r>
        <w:rPr>
          <w:rFonts w:ascii="Times New Roman" w:cs="Times New Roman" w:eastAsia="Times New Roman" w:hAnsi="Times New Roman"/>
          <w:sz w:val="18"/>
          <w:szCs w:val="18"/>
          <w:color w:val="auto"/>
        </w:rPr>
        <w:t>provide that a Participant’s outstanding Awards shall terminate upon or immediately prior to such Triggering Event and that such Participant shall receive, in exchange therefor, a cash payment equal to the amount (if any) by which (A) the value of the per share consideration received by holders of Shares in the Triggering Event, or, in the event the Triggering Event is a transaction that does not result in direct receipt of consideration by holders of Shares, the value of the deemed per share consideration received, in each case as determined by the Committee in its sole discretion, multiplied by the number of Shares subject to such outstanding Awards (to the extent then vested and exercisable or whether or not then vested and exercisable, as determined by the Committee in its sole discretion) exceeds (B) if applicable, the respective aggregate exercise price or grant price for such Awards.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termination or exchange shall not be considered an amendment requiring the Option Holder’s or RSU Holder’s consent for the purpose of Section 10.2 of the Plan. For the avoidance of doubt, nothing in this Section 12 requires all outstanding Awards to be treated similarly.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Termination by Triggering Event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Committee wishes to cause all or a portion of any of the Options or RSUs granted under this Plan to terminate on the occurrence of a Triggering Event, it must give written notice to the Option Holders or RSU Holders in question not less than 10 days prior to the consummation of a Triggering Event so as to permit the Option Holder or RSU Holder the opportunity to exercise the vested portion of the Options or RSUs prior to such termination. Upon the giving of such notice and subject to any necessary Regulatory Approvals, all Options and RSUs or portions thereof granted under the Plan which the Company proposes to terminate shall become immediately exercisable notwithstanding any contingent vesting provision to which such Options or RSUs may have otherwise been subject.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Determinations to be Made By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Adjustments and determinations under this Section 12 shall be made by the Committee, whose decisions as to what adjustments or determination shall be made, and the extent thereof, shall be final, binding, and conclusive.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GENERAL TERMS APPLICABLE TO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Forfeiture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will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policies, fraud, breach of noncompetition, confidentiality or other restrictive covenants that may apply to the Participant or other conduct by the Participant that is detrimental to the business or reputation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Awards may be granted separately or together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may, in the discretion of the Board, be granted either alone or in addition to, in tandem with, or in substitution for any other Award. Awards granted in addition to or in tandem with other Awards may be granted either at the same time as or at a different time from the grant of such other Awards or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Non-transferability of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 Award Agreement,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transferable, except where required by law or in certain estate proceedings described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and restrictions upon securities subject to awards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may provide that the Shares issued under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Awards; (C) restrictions as to the use of a specified brokerage firm for such resales or other transfers; and (D) provisions requiring Shares to be sold on the open market or to the Company in order to satisfy tax withholding or other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certificates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Shares delivered under this Plan pursuant to any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Conformity to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which does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evaluation; adjustment of goals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that a performance-based Award is first issued, the Board, in the Award Agreement or in another written document, may specify whether performance will be evaluated, including or excluding the effect of any of the following events that occur during the Restriction Period, as the case may be:</w:t>
      </w:r>
    </w:p>
    <w:p>
      <w:pPr>
        <w:jc w:val="both"/>
        <w:ind w:firstLine="8"/>
        <w:spacing w:after="0" w:line="250"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mergers, acquisitions, spin-offs or other divestitures; and (G) foreign exchange gains and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Adjustment of performance-based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shall have the sole discretion to adjust the determinations of the degree of attainment of the pre-established performance criteria or restrictions, as the case may be, as may be set out in the applicable Award Agreement governing the relevant performance-based Award. Notwithstanding any provision herein to the contrary, the Board may not make any adjustment or take any other action with respect to any performance-based Award that will increase the amount payable under any such Award. The Board shall retain the sole discretion to adjust performance-based Awards downward or to otherwise reduce the amount payable with respect to any performance-based Award.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right as shareholder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Participant nor any representatives of a Participant’s estate shall have any rights whatsoever as shareholders in respect of any Shares covered by such Participant’s Award, until the date of issuance of a share certificate to such Participant or representatives of a Participant’s estate for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trust or fund created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this Plan nor any Award shall create or be construed to create a trust or separate fund of any kind or a fiduciary relationship between the Company and a Participant or any other person. To the extent that any Employee, Executive or Consultant acquires a right to receive payments from the Company pursuant to an Award, such right shall be no greater than the right of any unsecured creditor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representations or covenants with respect to tax qualification; Section 409A</w:t>
      </w:r>
    </w:p>
    <w:p>
      <w:pPr>
        <w:spacing w:after="0" w:line="229" w:lineRule="exact"/>
        <w:rPr>
          <w:sz w:val="20"/>
          <w:szCs w:val="20"/>
          <w:color w:val="auto"/>
        </w:rPr>
      </w:pPr>
    </w:p>
    <w:p>
      <w:pPr>
        <w:jc w:val="both"/>
        <w:ind w:left="660" w:hanging="647"/>
        <w:spacing w:after="0" w:line="261" w:lineRule="auto"/>
        <w:rPr>
          <w:sz w:val="20"/>
          <w:szCs w:val="20"/>
          <w:color w:val="auto"/>
        </w:rPr>
      </w:pPr>
      <w:r>
        <w:rPr>
          <w:rFonts w:ascii="Times New Roman" w:cs="Times New Roman" w:eastAsia="Times New Roman" w:hAnsi="Times New Roman"/>
          <w:sz w:val="18"/>
          <w:szCs w:val="18"/>
          <w:color w:val="auto"/>
        </w:rPr>
        <w:t>Although the Company may, in its discretion, endeavour to (i) qualify an Award for favourable Canadian tax treatment or (ii) avoid adverse tax treatment, the Company makes no representation to that effect and expressly disavows any covenant to maintain favourable or avoid unfavourable tax treatment. The Company shall be unconstrained in its corporate activities without regard to the potential negative tax impact on holders of Awards under this Plan.</w:t>
      </w:r>
    </w:p>
    <w:p>
      <w:pPr>
        <w:spacing w:after="0" w:line="180"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Notwithstanding the foregoing, neither the Company nor the Committee, nor any of the Company’s directors, officers or employees shall have any liability to any person in the event any Award results in adverse tax consequences for the Participant or any of his or her beneficiaries or transferees.</w:t>
      </w:r>
    </w:p>
    <w:p>
      <w:pPr>
        <w:spacing w:after="0" w:line="162"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SUBPLAN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PROVISIONS APPLICABLE TO U.S. TAXPAYERS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this Appendix A apply to Awards held by a US Taxpayer (as defined below) to the extent such Awards are subject to U.S. taxation. The following provisions apply, notwithstanding anything to the contrary in the Plan. All capitalized terms used in this Appendix A and not defined herein, shall have the meaning attributed to them in the Plan.</w:t>
      </w:r>
    </w:p>
    <w:p>
      <w:pPr>
        <w:spacing w:after="0" w:line="172" w:lineRule="exact"/>
        <w:rPr>
          <w:sz w:val="20"/>
          <w:szCs w:val="20"/>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United States Internal Revenue Code of 1986, as amended, and any applicable United States Treasury Regulations and other binding regulatory guidance thereunder.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 US Stock Option that is intended to meet the requirements of Section 422 of the Code.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any US Stock Option that is not an Incentive Stock Option.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means Section 409A of the Code.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means, with respect to any Award that constitutes deferred compensation within the meaning of Section 409A, a “separation from service” as defined in United States Treasury Regulation Section 1.409A-1(h).</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Employee” means a US Taxpayer who meets the definition of “specified employee,” as defined in Section 409A(a)(2)(B)(i)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 Option” means any Option granted to US Taxpayers pursuant to Section III (a) of this Appendix A.</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Taxpayer” means a Participant whose compensation from the Company is subject to taxation in the United States.</w:t>
      </w:r>
    </w:p>
    <w:p>
      <w:pPr>
        <w:spacing w:after="0" w:line="221" w:lineRule="exact"/>
        <w:rPr>
          <w:sz w:val="20"/>
          <w:szCs w:val="20"/>
          <w:color w:val="auto"/>
        </w:rPr>
      </w:pPr>
    </w:p>
    <w:p>
      <w:pPr>
        <w:ind w:left="300" w:hanging="292"/>
        <w:spacing w:after="0"/>
        <w:tabs>
          <w:tab w:leader="none" w:pos="3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Awards</w:t>
      </w:r>
      <w:r>
        <w:rPr>
          <w:rFonts w:ascii="Times New Roman" w:cs="Times New Roman" w:eastAsia="Times New Roman" w:hAnsi="Times New Roman"/>
          <w:sz w:val="18"/>
          <w:szCs w:val="18"/>
          <w:color w:val="auto"/>
        </w:rPr>
        <w:t>. The Company may grant Incentive Stock Options or Non-Qualified Stock Options to eligible US Taxpayers. Each US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granted under this Plan will identify the US Stock Option as an Incentive Stock Options or a Non-Qualified Stock Option. To the extent that any US Stock Option does not qualify as an Incentive Stock Option, it shall be deemed a Non-Qualified Stock Option. The Exercise Price for a US Stock Option granted to a US Taxpayer shall not be less than the Market Value of the Shares as of the Grant Date. The “Market Value” with respect to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 provided, however, that if the Shares are not listed on the Nasdaq Stock Market, the Market Value shall be determined in accordance with Section 5.3(a) of the Plan and Section 409A.</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RSU Awards</w:t>
      </w:r>
      <w:r>
        <w:rPr>
          <w:rFonts w:ascii="Times New Roman" w:cs="Times New Roman" w:eastAsia="Times New Roman" w:hAnsi="Times New Roman"/>
          <w:sz w:val="18"/>
          <w:szCs w:val="18"/>
          <w:color w:val="auto"/>
        </w:rPr>
        <w:t>. The Committee may grant RSUs to US Taxpayers in such amounts and subject to such terms and conditions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Any grant of RSU will comply with Section 409A.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firstLine="656"/>
        <w:spacing w:after="0" w:line="286" w:lineRule="auto"/>
        <w:tabs>
          <w:tab w:leader="none" w:pos="8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 Requirement for Option Awards Intended to Qualify as Incentive Stock Options</w:t>
      </w:r>
      <w:r>
        <w:rPr>
          <w:rFonts w:ascii="Times New Roman" w:cs="Times New Roman" w:eastAsia="Times New Roman" w:hAnsi="Times New Roman"/>
          <w:sz w:val="18"/>
          <w:szCs w:val="18"/>
          <w:color w:val="auto"/>
        </w:rPr>
        <w:t>. An Option Award granted to a US Taxpayer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intended to qualify as an “incentive stock option” within the meaning of Section 422 of the Code shall be subject to the following requirements:</w:t>
      </w:r>
    </w:p>
    <w:p>
      <w:pPr>
        <w:spacing w:after="0" w:line="15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available for issuance of Incentive Stock Options shall be 20,234,740 Shares.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may be granted only to Employees (including a director or officer who is also an Employee) of the Company (or of any parent or subsidiary of the Company). For purposes of this Appendix A, the terms “parent” and “subsidiary” shall have the meanings set forth in Sections 424(e) and 424(f) of the Code.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grant Incentive Stock Options in which the aggregate fair market value (determined as of the Grant Date) of the Shares with respect to which Incentive Stock Options are exercisable for the first time by any US Taxpayer during any calendar year (under this Plan and all other plans of the Company and of any parent or subsidiary of the Company) exceeds US$100,000 or any limitation subsequently set forth in Section 422(d) of the Code.</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determining the Exercise Price for any Incentive Stock Option, the “Market Value” shall be determined in the manner defined in Section III(a) of this Appendix A provided, however, that, in the case of the grant of an Incentive Stock Option to a US Taxpayer who, at the time such Incentive Stock Option is granted, is a ten percent (10%) shareholder, the Exercise Price will be not less than 110% of the Market Value of a Share on the Grant Date of such Incentive Stock Option.</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will terminate and no longer be exercisable no later than ten years after the Grant Date of such Incentive Stock Option; provided, however, that in the case of a grant of an Incentive Stock Option to a US Taxpayer who, at the time such Incentive Stock Option is granted, is a ten percent (10%) shareholder, such Incentive Stock Option will terminate and no longer be exercisable no later than five years after the Grant Date of such Incentive Stock Option. The foregoing term limits shall apply even if the Expiry Date falls within a Black-Out, notwithstanding anything in the contrary in the Plan.</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Taxpayer who has been granted Incentive Stock Options ceases to be employed by the Company (or by any parent or subsidiary of the Company) for any reason, whether voluntary or involuntary, other than death, permanent disability or cause, such Incentive Stock Option shall be exercisable by the US Taxpayer (to the extent such Incentive Stock Option was vested on the Termination Date) at any time prior to the earlier of (i) the date that is three months after the Termination Date or (ii) the expiration of the term of such Incentive Stock Option.</w:t>
      </w:r>
    </w:p>
    <w:p>
      <w:pPr>
        <w:spacing w:after="0" w:line="183"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Taxpayer who has been granted Incentive Stock Options ceases to be employed by the Company (or by any parent or subsidiary of the Company) because of the death or permanent disability of such US Taxpayer, such US Taxpayer, such US Taxpayer’s personal representatives or administrators, or any person or persons to whom such Incentive Stock Option is transferred by will or the applicable laws of descent and distribution, may exercise such Incentive Stock Option (to the extent such Incentive Stock Option was vested on the date of death or permanent disability, as the case may be) at any time prior to the earlier of (i) the date that is one year after the date of death or permanent disability, as the case may be, or (ii) the expiration of the term of such Incentive Stock Option.</w:t>
      </w:r>
    </w:p>
    <w:p>
      <w:pPr>
        <w:spacing w:after="0" w:line="187"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Taxpayer who has been granted Incentive Stock Options ceases to be employed by the Company (or by any parent or subsidiary of the Company) for cause, the right to exercise such Incentive Stock Option will terminate on the Termination Date, unless otherwise determined by the directors. For purposes of this Appendix A, the term “permanent disability” has the meaning assigned to that term in Section 422(e)(3) of the Code.</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granted to a US Taxpayer may be exercised during such person’s lifetime only by such US Taxpayer.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granted to a US Taxpayer may not be transferred, assigned or pledged by such US Taxpayer, except by will or by the laws of descent and distribution.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will be granted more than ten years after the earlier of the date this Plan is adopted by the Board or the date this Plan is approved by the shareholders of the Company.</w:t>
      </w:r>
    </w:p>
    <w:p>
      <w:pPr>
        <w:spacing w:after="0" w:line="15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For US Taxpayers, the Plan is intended to be administered in a manner consistent with the requirements, where applicable,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Where reasonably possible and practicable, this Plan shall be administered in a manner to avoid the imposition on Participants of immediate tax recognition and additional taxes pursuant to Section 409A. To the extent that an Award or the payment, settlement or deferral thereof is subject to Section 409A, the Award shall be granted, paid, settled or deferred in a manner that will comply with Section 409A, except as otherwise determined by the Committee. If a Participant is a Specified Employee and should any portion of the Award that would otherwise be payable under such Award be determined to be a payment that is not exempt from Section 409A, such payment will not be made or commence until the earlier of (a) the expiration of the six (6) month period measured from Participant’s Separation from Service to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For purposes of Section 409A, each instalment payment provided under this Agreement shall be treated as a separate payment.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 - OPTION CERTIFICATE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Option Certificate is issued pursuant to the provisions of the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evidences that &lt;</w:t>
      </w:r>
      <w:r>
        <w:rPr>
          <w:rFonts w:ascii="Times New Roman" w:cs="Times New Roman" w:eastAsia="Times New Roman" w:hAnsi="Times New Roman"/>
          <w:sz w:val="18"/>
          <w:szCs w:val="18"/>
          <w:i w:val="1"/>
          <w:iCs w:val="1"/>
          <w:color w:val="auto"/>
        </w:rPr>
        <w:t>insert name of Option Holder</w:t>
      </w:r>
      <w:r>
        <w:rPr>
          <w:rFonts w:ascii="Times New Roman" w:cs="Times New Roman" w:eastAsia="Times New Roman" w:hAnsi="Times New Roman"/>
          <w:sz w:val="18"/>
          <w:szCs w:val="18"/>
          <w:color w:val="auto"/>
        </w:rPr>
        <w:t>&gt; is the holder (the “</w:t>
      </w:r>
      <w:r>
        <w:rPr>
          <w:rFonts w:ascii="Times New Roman" w:cs="Times New Roman" w:eastAsia="Times New Roman" w:hAnsi="Times New Roman"/>
          <w:sz w:val="18"/>
          <w:szCs w:val="18"/>
          <w:b w:val="1"/>
          <w:bCs w:val="1"/>
          <w:color w:val="auto"/>
        </w:rPr>
        <w:t>Option Holder</w:t>
      </w:r>
      <w:r>
        <w:rPr>
          <w:rFonts w:ascii="Times New Roman" w:cs="Times New Roman" w:eastAsia="Times New Roman" w:hAnsi="Times New Roman"/>
          <w:sz w:val="18"/>
          <w:szCs w:val="18"/>
          <w:color w:val="auto"/>
        </w:rPr>
        <w:t>”) of an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up to ● common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the capital stock of the Company at a purchase price of CAD$●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This Option may be exercised at any time and from time to time from and including the following Grant Date through to and including up to 5:00 p.m. local time in Toronto, Ontario (the “</w:t>
      </w:r>
      <w:r>
        <w:rPr>
          <w:rFonts w:ascii="Times New Roman" w:cs="Times New Roman" w:eastAsia="Times New Roman" w:hAnsi="Times New Roman"/>
          <w:sz w:val="18"/>
          <w:szCs w:val="18"/>
          <w:b w:val="1"/>
          <w:bCs w:val="1"/>
          <w:color w:val="auto"/>
        </w:rPr>
        <w:t>Expiry Time</w:t>
      </w:r>
      <w:r>
        <w:rPr>
          <w:rFonts w:ascii="Times New Roman" w:cs="Times New Roman" w:eastAsia="Times New Roman" w:hAnsi="Times New Roman"/>
          <w:sz w:val="18"/>
          <w:szCs w:val="18"/>
          <w:color w:val="auto"/>
        </w:rPr>
        <w:t>”) on the following Expiry Date:</w:t>
      </w:r>
    </w:p>
    <w:p>
      <w:pPr>
        <w:spacing w:after="0" w:line="183" w:lineRule="exact"/>
        <w:rPr>
          <w:sz w:val="20"/>
          <w:szCs w:val="20"/>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of this Option is ●, 20___;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5.4, 6.2, 6.3, 6.4 and 12.4 of the Plan, the Expiry Date of this Option is ●, 20___.</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exercise this Option, the Option Holder must deliver to the Administrator of the Plan, prior to the Expiry Time on the Expiry Date, an Exercise Notice, in the form provided in the Plan, which is incorporated by reference herein, together with the original of this Option Certificate and a certified cheque or bank draft payable to the Company in an amount equal to the aggregate of the Exercise Price of the Shares in respect of which this Option is being exercised.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Option Certificate and the Option evidenced hereby is not assignable, transferable or negotiable and is subject to the detailed terms and conditions contained in the Plan. This Option Certificate is issued for convenience only and in the case of any dispute with regard to any matter in respect hereof, the provisions of the Plan and the records of the Company shall prevail. This Option is also subject to the terms and conditions contained in the schedules, if any, attached hereto.</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[Include the following TSXV hold period only if the exercise price of the stock options is based on less than Market Price. or ii) if the certificate is issued to persons holding securities carrying more than 10% of the voting rights attached to the Company’s securities; or if the certificate is issued to directors, officers or promoters of the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[Any share certificates issued pursuant to an exercise of the Option before &lt; </w:t>
      </w:r>
      <w:r>
        <w:rPr>
          <w:rFonts w:ascii="Times New Roman" w:cs="Times New Roman" w:eastAsia="Times New Roman" w:hAnsi="Times New Roman"/>
          <w:sz w:val="18"/>
          <w:szCs w:val="18"/>
          <w:b w:val="1"/>
          <w:bCs w:val="1"/>
          <w:i w:val="1"/>
          <w:iCs w:val="1"/>
          <w:color w:val="auto"/>
        </w:rPr>
        <w:t>insert date four months and one day after Grant Date</w:t>
      </w:r>
      <w:r>
        <w:rPr>
          <w:rFonts w:ascii="Times New Roman" w:cs="Times New Roman" w:eastAsia="Times New Roman" w:hAnsi="Times New Roman"/>
          <w:sz w:val="18"/>
          <w:szCs w:val="18"/>
          <w:b w:val="1"/>
          <w:bCs w:val="1"/>
          <w:color w:val="auto"/>
        </w:rPr>
        <w:t>&gt; will contain the following legend:</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“Without prior written approval of the TSX Venture Exchange and compliance with all applicable securities legislation, the securities represented by this certificate may not be sold, transferred, hypothecated or otherwise traded on or through the facilities of the TSX Venture Exchange or otherwise in Canada or to or for the benefit of a Canadian resident until &lt;</w:t>
      </w:r>
      <w:r>
        <w:rPr>
          <w:rFonts w:ascii="Times New Roman" w:cs="Times New Roman" w:eastAsia="Times New Roman" w:hAnsi="Times New Roman"/>
          <w:sz w:val="18"/>
          <w:szCs w:val="18"/>
          <w:b w:val="1"/>
          <w:bCs w:val="1"/>
          <w:i w:val="1"/>
          <w:iCs w:val="1"/>
          <w:color w:val="auto"/>
        </w:rPr>
        <w:t>insert date four months and one day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b w:val="1"/>
          <w:bCs w:val="1"/>
          <w:color w:val="auto"/>
        </w:rPr>
        <w:t>&gt;.”]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Option Holder is a resident or citizen of the United States of America at the time of the exercise of the Option, the certificate(s) representing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will be endorsed with the following or a similar legend:</w:t>
      </w:r>
    </w:p>
    <w:p>
      <w:pPr>
        <w:spacing w:after="0" w:line="20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of the United States of America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of the United States of America and may not be sold, transferred, pledged, hypothecated or distributed, directly or indirectly, to a U.S. person (as defined in Regulation S adopted by the U.S. Securities and Exchange Commission under the Act) or within the United States unless such securities are (i) registered under the Act and any applicable State securities act (a “</w:t>
      </w:r>
      <w:r>
        <w:rPr>
          <w:rFonts w:ascii="Times New Roman" w:cs="Times New Roman" w:eastAsia="Times New Roman" w:hAnsi="Times New Roman"/>
          <w:sz w:val="18"/>
          <w:szCs w:val="18"/>
          <w:b w:val="1"/>
          <w:bCs w:val="1"/>
          <w:color w:val="auto"/>
        </w:rPr>
        <w:t>State Act</w:t>
      </w:r>
      <w:r>
        <w:rPr>
          <w:rFonts w:ascii="Times New Roman" w:cs="Times New Roman" w:eastAsia="Times New Roman" w:hAnsi="Times New Roman"/>
          <w:sz w:val="18"/>
          <w:szCs w:val="18"/>
          <w:color w:val="auto"/>
        </w:rPr>
        <w:t>”), or (ii) exempt from registration under the Act and any applicable State Act and the Company has received an opinion of counsel to such effect reasonably satisfactory to it, or (iii) sold in accordance with Regulation S and the Company has received an opinion of counsel to such effect reasonably satisfactory to 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This Option was granted to the Option Holder in his or her capacity as a ● [pick one: Director, Officer, Employee, Consultant] of the Company, and shall continue in effect should his or her status change and he or she continue in a new capacity as a Director, Officer, Employee or Consultant of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BITFARMS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Director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Option Holder acknowledges receipt of a copy of the Plan and represents to the Company that the Option Holder is familiar with the terms and conditions of the Plan, and hereby accepts this Option subject to all of the terms and conditions of the Plan. The Option Holder agrees to execute, deliver, file and otherwise assist the Company in filing any report, undertaking or document with respect to the awarding of the Option and exercise of the Option, as may be required by the Regulatory Authorities. The Option Holder further acknowledges that if the Plan has not been approved by the shareholders of the Company on the Grant Date, this Option is not exercisable until such approval has been obtained.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Option Holder:</w:t>
      </w:r>
    </w:p>
    <w:p>
      <w:pPr>
        <w:spacing w:after="0" w:line="2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068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3068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068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CERTIFICATE – 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the following additional terms and any other special terms, if applicable, or remove the inapplicable terms or this schedule entirely.]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terms and conditions attached to the Option represented by this Option Certificate are as follows:</w:t>
      </w:r>
    </w:p>
    <w:p>
      <w:pPr>
        <w:spacing w:after="0" w:line="225" w:lineRule="exact"/>
        <w:rPr>
          <w:sz w:val="20"/>
          <w:szCs w:val="20"/>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will not be exercisable unless and until they have vested and then only to the extent that they have vested. The Options will vest in accordance with the following: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 will vest and be exercisable on or after the Grant Date;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 will vest and be exercisable on or after ● [date];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 will vest and be exercisable on or after ● [date];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 will vest and be exercisable on or after ● [date];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Holder ceasing to hold a position with the Company, other than as a result of the events set out in Sections 5.4(a) to 5.4(e) of the Plan, the Expiry Date of the Option shall be &lt;</w:t>
      </w:r>
      <w:r>
        <w:rPr>
          <w:rFonts w:ascii="Times New Roman" w:cs="Times New Roman" w:eastAsia="Times New Roman" w:hAnsi="Times New Roman"/>
          <w:sz w:val="18"/>
          <w:szCs w:val="18"/>
          <w:b w:val="1"/>
          <w:bCs w:val="1"/>
          <w:i w:val="1"/>
          <w:iCs w:val="1"/>
          <w:color w:val="auto"/>
        </w:rPr>
        <w:t>if applicable, insert date desired that is longer or shorter than the standard 90 days set out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&gt; following the date the Option Holder ceases to hold such position.</w:t>
      </w:r>
    </w:p>
    <w:p>
      <w:pPr>
        <w:spacing w:after="0" w:line="175"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EXERCISE OF OPTION</w:t>
      </w:r>
    </w:p>
    <w:p>
      <w:pPr>
        <w:sectPr>
          <w:pgSz w:w="11900" w:h="16838" w:orient="portrait"/>
          <w:cols w:equalWidth="0" w:num="1">
            <w:col w:w="11240"/>
          </w:cols>
          <w:pgMar w:left="320" w:top="90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Administrator, Long Term Incentive Plan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200" w:lineRule="exact"/>
        <w:rPr>
          <w:sz w:val="20"/>
          <w:szCs w:val="20"/>
          <w:color w:val="auto"/>
        </w:rPr>
      </w:pPr>
    </w:p>
    <w:p>
      <w:pPr>
        <w:sectPr>
          <w:pgSz w:w="11900" w:h="16838" w:orient="portrait"/>
          <w:cols w:equalWidth="0" w:num="2">
            <w:col w:w="860" w:space="720"/>
            <w:col w:w="9660"/>
          </w:cols>
          <w:pgMar w:left="320" w:top="900" w:right="339" w:bottom="1440" w:gutter="0" w:footer="0" w:header="0"/>
          <w:type w:val="continuous"/>
        </w:sectPr>
      </w:pP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(or such other address as the Company may advise)</w:t>
      </w:r>
    </w:p>
    <w:p>
      <w:pPr>
        <w:sectPr>
          <w:pgSz w:w="11900" w:h="16838" w:orient="portrait"/>
          <w:cols w:equalWidth="0" w:num="1">
            <w:col w:w="11240"/>
          </w:cols>
          <w:pgMar w:left="320" w:top="900" w:right="339" w:bottom="1440" w:gutter="0" w:footer="0" w:header="0"/>
          <w:type w:val="continuous"/>
        </w:sectPr>
      </w:pP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undersigned hereby irrevocably gives notice, pursuant to the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the exercise of the Option to acquire and hereby subscribes for (</w:t>
      </w:r>
      <w:r>
        <w:rPr>
          <w:rFonts w:ascii="Times New Roman" w:cs="Times New Roman" w:eastAsia="Times New Roman" w:hAnsi="Times New Roman"/>
          <w:sz w:val="18"/>
          <w:szCs w:val="18"/>
          <w:b w:val="1"/>
          <w:bCs w:val="1"/>
          <w:color w:val="auto"/>
        </w:rPr>
        <w:t>cross out inapplicable item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 of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the subject of the Option Certificate attached hereto (</w:t>
      </w:r>
      <w:r>
        <w:rPr>
          <w:rFonts w:ascii="Times New Roman" w:cs="Times New Roman" w:eastAsia="Times New Roman" w:hAnsi="Times New Roman"/>
          <w:sz w:val="18"/>
          <w:szCs w:val="18"/>
          <w:b w:val="1"/>
          <w:bCs w:val="1"/>
          <w:color w:val="auto"/>
        </w:rPr>
        <w:t>attach your original Option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undersigned tenders herewith a certified cheque or bank draft (</w:t>
      </w:r>
      <w:r>
        <w:rPr>
          <w:rFonts w:ascii="Times New Roman" w:cs="Times New Roman" w:eastAsia="Times New Roman" w:hAnsi="Times New Roman"/>
          <w:sz w:val="18"/>
          <w:szCs w:val="18"/>
          <w:b w:val="1"/>
          <w:bCs w:val="1"/>
          <w:color w:val="auto"/>
        </w:rPr>
        <w:t>circle one</w:t>
      </w:r>
      <w:r>
        <w:rPr>
          <w:rFonts w:ascii="Times New Roman" w:cs="Times New Roman" w:eastAsia="Times New Roman" w:hAnsi="Times New Roman"/>
          <w:sz w:val="18"/>
          <w:szCs w:val="18"/>
          <w:color w:val="auto"/>
        </w:rPr>
        <w:t>) payable to “●” in an amount equal to the aggregate Exercise Price of the aforesaid Shares and directs the Company to issue the certificate evidencing said Shares in the name of the undersigned to be mailed to the undersigned at the following address (</w:t>
      </w:r>
      <w:r>
        <w:rPr>
          <w:rFonts w:ascii="Times New Roman" w:cs="Times New Roman" w:eastAsia="Times New Roman" w:hAnsi="Times New Roman"/>
          <w:sz w:val="18"/>
          <w:szCs w:val="18"/>
          <w:b w:val="1"/>
          <w:bCs w:val="1"/>
          <w:color w:val="auto"/>
        </w:rPr>
        <w:t>provide full complete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1134110</wp:posOffset>
            </wp:positionV>
            <wp:extent cx="28543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842645</wp:posOffset>
            </wp:positionV>
            <wp:extent cx="28543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551180</wp:posOffset>
            </wp:positionV>
            <wp:extent cx="28543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259715</wp:posOffset>
            </wp:positionV>
            <wp:extent cx="2854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the Option is not validly exercised unless this Notice is completed in strict compliance with this form and delivered to the required address with the required payment prior to 5:00 p.m. local time in Toronto, Ontario on the Expiry Date of the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the ____________ day of _______________________, 20_____.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Signature of 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3" w:name="page74"/>
    <w:bookmarkEnd w:id="73"/>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113030</wp:posOffset>
            </wp:positionV>
            <wp:extent cx="2314575" cy="514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45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43"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2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FORM OF PROXY (“PROXY”)</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Annual General Meeting</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21, 2022 at 10:00 a.m. (Toronto time)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9156 Leduc Blvd., 7th Floor,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Brossard, Quebec J4Y 0L2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“Meeting”)</w:t>
      </w:r>
    </w:p>
    <w:p>
      <w:pPr>
        <w:spacing w:after="0" w:line="122" w:lineRule="exact"/>
        <w:rPr>
          <w:sz w:val="20"/>
          <w:szCs w:val="20"/>
          <w:color w:val="auto"/>
        </w:rPr>
      </w:pPr>
    </w:p>
    <w:p>
      <w:pPr>
        <w:ind w:left="6500"/>
        <w:spacing w:after="0"/>
        <w:tabs>
          <w:tab w:leader="none" w:pos="8040" w:val="left"/>
        </w:tabs>
        <w:rPr>
          <w:sz w:val="20"/>
          <w:szCs w:val="20"/>
          <w:color w:val="auto"/>
        </w:rPr>
      </w:pPr>
      <w:r>
        <w:rPr>
          <w:rFonts w:ascii="Times New Roman" w:cs="Times New Roman" w:eastAsia="Times New Roman" w:hAnsi="Times New Roman"/>
          <w:sz w:val="18"/>
          <w:szCs w:val="18"/>
          <w:b w:val="1"/>
          <w:bCs w:val="1"/>
          <w:color w:val="auto"/>
        </w:rPr>
        <w:t>RECORD DATE:</w:t>
      </w:r>
      <w:r>
        <w:rPr>
          <w:sz w:val="20"/>
          <w:szCs w:val="20"/>
          <w:color w:val="auto"/>
        </w:rPr>
        <w:tab/>
      </w:r>
      <w:r>
        <w:rPr>
          <w:rFonts w:ascii="Times New Roman" w:cs="Times New Roman" w:eastAsia="Times New Roman" w:hAnsi="Times New Roman"/>
          <w:sz w:val="17"/>
          <w:szCs w:val="17"/>
          <w:color w:val="auto"/>
        </w:rPr>
        <w:t>April 28, 2022</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SEQUENCE #:</w:t>
      </w:r>
    </w:p>
    <w:p>
      <w:pPr>
        <w:spacing w:after="0" w:line="9" w:lineRule="exact"/>
        <w:rPr>
          <w:sz w:val="20"/>
          <w:szCs w:val="20"/>
          <w:color w:val="auto"/>
        </w:rPr>
      </w:pPr>
    </w:p>
    <w:p>
      <w:pPr>
        <w:ind w:left="5080"/>
        <w:spacing w:after="0"/>
        <w:tabs>
          <w:tab w:leader="none" w:pos="8040" w:val="left"/>
        </w:tabs>
        <w:rPr>
          <w:sz w:val="20"/>
          <w:szCs w:val="20"/>
          <w:color w:val="auto"/>
        </w:rPr>
      </w:pPr>
      <w:r>
        <w:rPr>
          <w:rFonts w:ascii="Times New Roman" w:cs="Times New Roman" w:eastAsia="Times New Roman" w:hAnsi="Times New Roman"/>
          <w:sz w:val="18"/>
          <w:szCs w:val="18"/>
          <w:b w:val="1"/>
          <w:bCs w:val="1"/>
          <w:color w:val="auto"/>
        </w:rPr>
        <w:t>FILING DEADLINE FOR PROXY:</w:t>
      </w:r>
      <w:r>
        <w:rPr>
          <w:sz w:val="20"/>
          <w:szCs w:val="20"/>
          <w:color w:val="auto"/>
        </w:rPr>
        <w:tab/>
      </w:r>
      <w:r>
        <w:rPr>
          <w:rFonts w:ascii="Times New Roman" w:cs="Times New Roman" w:eastAsia="Times New Roman" w:hAnsi="Times New Roman"/>
          <w:sz w:val="17"/>
          <w:szCs w:val="17"/>
          <w:color w:val="auto"/>
        </w:rPr>
        <w:t>June 17, 2022 at 5:00 p.m. (Toronto time)</w:t>
      </w:r>
    </w:p>
    <w:p>
      <w:pPr>
        <w:spacing w:after="0" w:line="124" w:lineRule="exact"/>
        <w:rPr>
          <w:sz w:val="20"/>
          <w:szCs w:val="20"/>
          <w:color w:val="auto"/>
        </w:rPr>
      </w:pPr>
    </w:p>
    <w:tbl>
      <w:tblPr>
        <w:tblLayout w:type="fixed"/>
        <w:tblInd w:w="4730" w:type="dxa"/>
        <w:tblCellMar>
          <w:top w:w="0" w:type="dxa"/>
          <w:left w:w="0" w:type="dxa"/>
          <w:bottom w:w="0" w:type="dxa"/>
          <w:right w:w="0" w:type="dxa"/>
        </w:tblCellMar>
      </w:tblPr>
      <w:tr>
        <w:trPr>
          <w:trHeight w:val="250"/>
        </w:trPr>
        <w:tc>
          <w:tcPr>
            <w:tcW w:w="1800" w:type="dxa"/>
            <w:vAlign w:val="bottom"/>
            <w:tcBorders>
              <w:top w:val="single" w:sz="8" w:color="auto"/>
              <w:left w:val="single" w:sz="8" w:color="auto"/>
              <w:bottom w:val="single" w:sz="8" w:color="auto"/>
            </w:tcBorders>
          </w:tcPr>
          <w:p>
            <w:pPr>
              <w:spacing w:after="0"/>
              <w:rPr>
                <w:sz w:val="21"/>
                <w:szCs w:val="21"/>
                <w:color w:val="auto"/>
              </w:rPr>
            </w:pPr>
          </w:p>
        </w:tc>
        <w:tc>
          <w:tcPr>
            <w:tcW w:w="4700" w:type="dxa"/>
            <w:vAlign w:val="bottom"/>
            <w:tcBorders>
              <w:top w:val="single" w:sz="8" w:color="auto"/>
              <w:bottom w:val="single" w:sz="8" w:color="auto"/>
              <w:right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VOTING METHOD</w:t>
            </w:r>
          </w:p>
        </w:tc>
      </w:tr>
      <w:tr>
        <w:trPr>
          <w:trHeight w:val="176"/>
        </w:trPr>
        <w:tc>
          <w:tcPr>
            <w:tcW w:w="1800" w:type="dxa"/>
            <w:vAlign w:val="bottom"/>
            <w:tcBorders>
              <w:lef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INTERNET</w:t>
            </w:r>
          </w:p>
        </w:tc>
        <w:tc>
          <w:tcPr>
            <w:tcW w:w="1140" w:type="dxa"/>
            <w:vAlign w:val="bottom"/>
            <w:tcBorders>
              <w:right w:val="single" w:sz="8" w:color="auto"/>
            </w:tcBorders>
          </w:tcPr>
          <w:p>
            <w:pPr>
              <w:spacing w:after="0"/>
              <w:rPr>
                <w:sz w:val="15"/>
                <w:szCs w:val="15"/>
                <w:color w:val="auto"/>
              </w:rPr>
            </w:pPr>
          </w:p>
        </w:tc>
        <w:tc>
          <w:tcPr>
            <w:tcW w:w="3560" w:type="dxa"/>
            <w:vAlign w:val="bottom"/>
            <w:tcBorders>
              <w:right w:val="single" w:sz="8" w:color="auto"/>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Go to www.voteproxyonline.com and enter</w:t>
            </w:r>
          </w:p>
        </w:tc>
      </w:tr>
      <w:tr>
        <w:trPr>
          <w:trHeight w:val="20"/>
        </w:trPr>
        <w:tc>
          <w:tcPr>
            <w:tcW w:w="1800" w:type="dxa"/>
            <w:vAlign w:val="bottom"/>
            <w:tcBorders>
              <w:lef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43"/>
        </w:trPr>
        <w:tc>
          <w:tcPr>
            <w:tcW w:w="1800" w:type="dxa"/>
            <w:vAlign w:val="bottom"/>
            <w:tcBorders>
              <w:left w:val="single" w:sz="8" w:color="auto"/>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12 digit control number above</w:t>
            </w:r>
          </w:p>
        </w:tc>
      </w:tr>
      <w:tr>
        <w:trPr>
          <w:trHeight w:val="223"/>
        </w:trPr>
        <w:tc>
          <w:tcPr>
            <w:tcW w:w="180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14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416-595-9593</w:t>
            </w:r>
          </w:p>
        </w:tc>
        <w:tc>
          <w:tcPr>
            <w:tcW w:w="1040" w:type="dxa"/>
            <w:vAlign w:val="bottom"/>
            <w:tcBorders>
              <w:bottom w:val="single" w:sz="8" w:color="auto"/>
              <w:right w:val="single" w:sz="8" w:color="auto"/>
            </w:tcBorders>
          </w:tcPr>
          <w:p>
            <w:pPr>
              <w:spacing w:after="0"/>
              <w:rPr>
                <w:sz w:val="19"/>
                <w:szCs w:val="19"/>
                <w:color w:val="auto"/>
              </w:rPr>
            </w:pPr>
          </w:p>
        </w:tc>
      </w:tr>
      <w:tr>
        <w:trPr>
          <w:trHeight w:val="198"/>
        </w:trPr>
        <w:tc>
          <w:tcPr>
            <w:tcW w:w="1800" w:type="dxa"/>
            <w:vAlign w:val="bottom"/>
            <w:tcBorders>
              <w:lef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MAIL</w:t>
            </w:r>
          </w:p>
        </w:tc>
        <w:tc>
          <w:tcPr>
            <w:tcW w:w="1140" w:type="dxa"/>
            <w:vAlign w:val="bottom"/>
            <w:tcBorders>
              <w:right w:val="single" w:sz="8" w:color="auto"/>
            </w:tcBorders>
          </w:tcPr>
          <w:p>
            <w:pPr>
              <w:spacing w:after="0"/>
              <w:rPr>
                <w:sz w:val="17"/>
                <w:szCs w:val="17"/>
                <w:color w:val="auto"/>
              </w:rPr>
            </w:pPr>
          </w:p>
        </w:tc>
        <w:tc>
          <w:tcPr>
            <w:tcW w:w="3560" w:type="dxa"/>
            <w:vAlign w:val="bottom"/>
            <w:tcBorders>
              <w:right w:val="single" w:sz="8" w:color="auto"/>
            </w:tcBorders>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TSX Trust Company</w:t>
            </w:r>
          </w:p>
        </w:tc>
      </w:tr>
      <w:tr>
        <w:trPr>
          <w:trHeight w:val="216"/>
        </w:trPr>
        <w:tc>
          <w:tcPr>
            <w:tcW w:w="180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301 - 100 Adelaide Street West,</w:t>
            </w:r>
          </w:p>
        </w:tc>
      </w:tr>
      <w:tr>
        <w:trPr>
          <w:trHeight w:val="241"/>
        </w:trPr>
        <w:tc>
          <w:tcPr>
            <w:tcW w:w="180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Toronto, Ontario, M5H 4H1</w:t>
            </w:r>
          </w:p>
        </w:tc>
      </w:tr>
    </w:tbl>
    <w:p>
      <w:pPr>
        <w:spacing w:after="0" w:line="113" w:lineRule="exact"/>
        <w:rPr>
          <w:sz w:val="20"/>
          <w:szCs w:val="20"/>
          <w:color w:val="auto"/>
        </w:rPr>
      </w:pPr>
    </w:p>
    <w:p>
      <w:pPr>
        <w:ind w:left="4720" w:right="180"/>
        <w:spacing w:after="0" w:line="317" w:lineRule="auto"/>
        <w:rPr>
          <w:sz w:val="20"/>
          <w:szCs w:val="20"/>
          <w:color w:val="auto"/>
        </w:rPr>
      </w:pPr>
      <w:r>
        <w:rPr>
          <w:rFonts w:ascii="Times New Roman" w:cs="Times New Roman" w:eastAsia="Times New Roman" w:hAnsi="Times New Roman"/>
          <w:sz w:val="17"/>
          <w:szCs w:val="17"/>
          <w:color w:val="auto"/>
        </w:rPr>
        <w:t xml:space="preserve">The undersigned hereby appoints </w:t>
      </w:r>
      <w:r>
        <w:rPr>
          <w:rFonts w:ascii="Times New Roman" w:cs="Times New Roman" w:eastAsia="Times New Roman" w:hAnsi="Times New Roman"/>
          <w:sz w:val="17"/>
          <w:szCs w:val="17"/>
          <w:b w:val="1"/>
          <w:bCs w:val="1"/>
          <w:color w:val="auto"/>
        </w:rPr>
        <w:t>Emiliano Joel Grodzki</w:t>
      </w:r>
      <w:r>
        <w:rPr>
          <w:rFonts w:ascii="Times New Roman" w:cs="Times New Roman" w:eastAsia="Times New Roman" w:hAnsi="Times New Roman"/>
          <w:sz w:val="17"/>
          <w:szCs w:val="17"/>
          <w:color w:val="auto"/>
        </w:rPr>
        <w:t xml:space="preserve">, whom failing </w:t>
      </w:r>
      <w:r>
        <w:rPr>
          <w:rFonts w:ascii="Times New Roman" w:cs="Times New Roman" w:eastAsia="Times New Roman" w:hAnsi="Times New Roman"/>
          <w:sz w:val="17"/>
          <w:szCs w:val="17"/>
          <w:b w:val="1"/>
          <w:bCs w:val="1"/>
          <w:color w:val="auto"/>
        </w:rPr>
        <w:t>Nicolas Bonta</w:t>
      </w:r>
      <w:r>
        <w:rPr>
          <w:rFonts w:ascii="Times New Roman" w:cs="Times New Roman" w:eastAsia="Times New Roman" w:hAnsi="Times New Roman"/>
          <w:sz w:val="17"/>
          <w:szCs w:val="17"/>
          <w:color w:val="auto"/>
        </w:rPr>
        <w:t xml:space="preserve"> (the “Management Nominees”), or instead of any of them, the following Appointee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46355</wp:posOffset>
            </wp:positionV>
            <wp:extent cx="4131945"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31945" cy="44577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b w:val="1"/>
          <w:bCs w:val="1"/>
          <w:i w:val="1"/>
          <w:iCs w:val="1"/>
          <w:color w:val="AEAAAA"/>
        </w:rPr>
        <w:t>Please print appointee name</w:t>
      </w:r>
    </w:p>
    <w:p>
      <w:pPr>
        <w:spacing w:after="0" w:line="175" w:lineRule="exact"/>
        <w:rPr>
          <w:sz w:val="20"/>
          <w:szCs w:val="20"/>
          <w:color w:val="auto"/>
        </w:rPr>
      </w:pPr>
    </w:p>
    <w:p>
      <w:pPr>
        <w:jc w:val="both"/>
        <w:ind w:left="4720"/>
        <w:spacing w:after="0" w:line="256" w:lineRule="auto"/>
        <w:rPr>
          <w:sz w:val="20"/>
          <w:szCs w:val="20"/>
          <w:color w:val="auto"/>
        </w:rPr>
      </w:pPr>
      <w:r>
        <w:rPr>
          <w:rFonts w:ascii="Times New Roman" w:cs="Times New Roman" w:eastAsia="Times New Roman" w:hAnsi="Times New Roman"/>
          <w:sz w:val="18"/>
          <w:szCs w:val="18"/>
          <w:color w:val="auto"/>
        </w:rPr>
        <w:t>as proxyholder on behalf of the undersigned with the power of substitution to attend, act and vote for and on behalf of the undersigned in respect of all matters that may properly come before the Meeting and at any adjournment(s) or postponement(s) thereof, to the same extent and with the same power as if the undersigned were personally present at the said Meeting or such adjournment(s) or postponement(s) thereof in accordance with voting instructions, if any,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 SEE VOTING GUIDELINES ON REVERSE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RESOLUTIONS – MANAGEMENT VOTING RECOMMENDATIONS ARE INDICATED BY </w:t>
      </w:r>
      <w:r>
        <w:rPr>
          <w:rFonts w:ascii="Times New Roman" w:cs="Times New Roman" w:eastAsia="Times New Roman" w:hAnsi="Times New Roman"/>
          <w:sz w:val="18"/>
          <w:szCs w:val="18"/>
          <w:b w:val="1"/>
          <w:bCs w:val="1"/>
          <w:color w:val="FFFFFF"/>
          <w:highlight w:val="black"/>
        </w:rPr>
        <w:t>HIGHLIGHTED</w:t>
      </w:r>
      <w:r>
        <w:rPr>
          <w:rFonts w:ascii="Times New Roman" w:cs="Times New Roman" w:eastAsia="Times New Roman" w:hAnsi="Times New Roman"/>
          <w:sz w:val="18"/>
          <w:szCs w:val="18"/>
          <w:b w:val="1"/>
          <w:bCs w:val="1"/>
          <w:color w:val="auto"/>
        </w:rPr>
        <w:t xml:space="preserve"> TEXT ABOVE THE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165735</wp:posOffset>
            </wp:positionV>
            <wp:extent cx="1714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165735</wp:posOffset>
            </wp:positionV>
            <wp:extent cx="1714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171450"/>
                    </a:xfrm>
                    <a:prstGeom prst="rect">
                      <a:avLst/>
                    </a:prstGeom>
                    <a:noFill/>
                  </pic:spPr>
                </pic:pic>
              </a:graphicData>
            </a:graphic>
          </wp:anchor>
        </w:drawing>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60" w:type="dxa"/>
            <w:vAlign w:val="bottom"/>
            <w:tcBorders>
              <w:left w:val="single" w:sz="8" w:color="A6A6A6"/>
            </w:tcBorders>
            <w:gridSpan w:val="2"/>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1. Election of Directors</w:t>
            </w:r>
          </w:p>
        </w:tc>
        <w:tc>
          <w:tcPr>
            <w:tcW w:w="1660" w:type="dxa"/>
            <w:vAlign w:val="bottom"/>
            <w:tcBorders>
              <w:right w:val="single" w:sz="8" w:color="A6A6A6"/>
            </w:tcBorders>
            <w:shd w:val="clear" w:color="auto" w:fill="A6A6A6"/>
          </w:tcPr>
          <w:p>
            <w:pPr>
              <w:spacing w:after="0"/>
              <w:rPr>
                <w:sz w:val="23"/>
                <w:szCs w:val="23"/>
                <w:color w:val="auto"/>
              </w:rPr>
            </w:pPr>
          </w:p>
        </w:tc>
        <w:tc>
          <w:tcPr>
            <w:tcW w:w="240" w:type="dxa"/>
            <w:vAlign w:val="bottom"/>
            <w:tcBorders>
              <w:right w:val="single" w:sz="8" w:color="A6A6A6"/>
            </w:tcBorders>
            <w:shd w:val="clear" w:color="auto" w:fill="A6A6A6"/>
          </w:tcPr>
          <w:p>
            <w:pPr>
              <w:spacing w:after="0"/>
              <w:rPr>
                <w:sz w:val="23"/>
                <w:szCs w:val="23"/>
                <w:color w:val="auto"/>
              </w:rPr>
            </w:pPr>
          </w:p>
        </w:tc>
        <w:tc>
          <w:tcPr>
            <w:tcW w:w="3500" w:type="dxa"/>
            <w:vAlign w:val="bottom"/>
            <w:shd w:val="clear" w:color="auto" w:fill="A6A6A6"/>
          </w:tcPr>
          <w:p>
            <w:pPr>
              <w:spacing w:after="0"/>
              <w:rPr>
                <w:sz w:val="23"/>
                <w:szCs w:val="23"/>
                <w:color w:val="auto"/>
              </w:rPr>
            </w:pPr>
          </w:p>
        </w:tc>
        <w:tc>
          <w:tcPr>
            <w:tcW w:w="240" w:type="dxa"/>
            <w:vAlign w:val="bottom"/>
            <w:tcBorders>
              <w:right w:val="single" w:sz="8" w:color="auto"/>
            </w:tcBorders>
            <w:shd w:val="clear" w:color="auto" w:fill="000000"/>
          </w:tcPr>
          <w:p>
            <w:pPr>
              <w:spacing w:after="0"/>
              <w:rPr>
                <w:sz w:val="23"/>
                <w:szCs w:val="23"/>
                <w:color w:val="auto"/>
              </w:rPr>
            </w:pPr>
          </w:p>
        </w:tc>
        <w:tc>
          <w:tcPr>
            <w:tcW w:w="640" w:type="dxa"/>
            <w:vAlign w:val="bottom"/>
            <w:gridSpan w:val="2"/>
            <w:shd w:val="clear" w:color="auto" w:fill="000000"/>
          </w:tcPr>
          <w:p>
            <w:pPr>
              <w:ind w:left="40"/>
              <w:spacing w:after="0"/>
              <w:rPr>
                <w:sz w:val="20"/>
                <w:szCs w:val="20"/>
                <w:color w:val="auto"/>
              </w:rPr>
            </w:pPr>
            <w:r>
              <w:rPr>
                <w:rFonts w:ascii="Times New Roman" w:cs="Times New Roman" w:eastAsia="Times New Roman" w:hAnsi="Times New Roman"/>
                <w:sz w:val="18"/>
                <w:szCs w:val="18"/>
                <w:b w:val="1"/>
                <w:bCs w:val="1"/>
                <w:color w:val="FFFFFF"/>
              </w:rPr>
              <w:t>FOR</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0" w:type="dxa"/>
            <w:vAlign w:val="bottom"/>
          </w:tcPr>
          <w:p>
            <w:pPr>
              <w:spacing w:after="0"/>
              <w:rPr>
                <w:sz w:val="1"/>
                <w:szCs w:val="1"/>
                <w:color w:val="auto"/>
              </w:rPr>
            </w:pPr>
          </w:p>
        </w:tc>
      </w:tr>
      <w:tr>
        <w:trPr>
          <w:trHeight w:val="88"/>
        </w:trPr>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Emiliano Joel Grodzki</w:t>
            </w:r>
          </w:p>
        </w:tc>
        <w:tc>
          <w:tcPr>
            <w:tcW w:w="1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3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Nicolas Bonta</w:t>
            </w: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3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Brian Howlett</w:t>
            </w: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3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Pierre Seccareccia</w:t>
            </w: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3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Andres Finkielsztain</w:t>
            </w: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3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0" w:type="dxa"/>
            <w:vAlign w:val="bottom"/>
          </w:tcPr>
          <w:p>
            <w:pPr>
              <w:spacing w:after="0"/>
              <w:rPr>
                <w:sz w:val="1"/>
                <w:szCs w:val="1"/>
                <w:color w:val="auto"/>
              </w:rPr>
            </w:pPr>
          </w:p>
        </w:tc>
      </w:tr>
      <w:tr>
        <w:trPr>
          <w:trHeight w:val="250"/>
        </w:trPr>
        <w:tc>
          <w:tcPr>
            <w:tcW w:w="3860" w:type="dxa"/>
            <w:vAlign w:val="bottom"/>
            <w:tcBorders>
              <w:left w:val="single" w:sz="8" w:color="A6A6A6"/>
              <w:bottom w:val="single" w:sz="8" w:color="A6A6A6"/>
            </w:tcBorders>
            <w:gridSpan w:val="2"/>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2. Appointment of Auditor</w:t>
            </w:r>
          </w:p>
        </w:tc>
        <w:tc>
          <w:tcPr>
            <w:tcW w:w="1660" w:type="dxa"/>
            <w:vAlign w:val="bottom"/>
            <w:tcBorders>
              <w:bottom w:val="single" w:sz="8" w:color="A6A6A6"/>
              <w:right w:val="single" w:sz="8" w:color="A6A6A6"/>
            </w:tcBorders>
            <w:shd w:val="clear" w:color="auto" w:fill="A6A6A6"/>
          </w:tcPr>
          <w:p>
            <w:pPr>
              <w:spacing w:after="0"/>
              <w:rPr>
                <w:sz w:val="21"/>
                <w:szCs w:val="21"/>
                <w:color w:val="auto"/>
              </w:rPr>
            </w:pPr>
          </w:p>
        </w:tc>
        <w:tc>
          <w:tcPr>
            <w:tcW w:w="240" w:type="dxa"/>
            <w:vAlign w:val="bottom"/>
            <w:tcBorders>
              <w:bottom w:val="single" w:sz="8" w:color="A6A6A6"/>
              <w:right w:val="single" w:sz="8" w:color="A6A6A6"/>
            </w:tcBorders>
            <w:shd w:val="clear" w:color="auto" w:fill="A6A6A6"/>
          </w:tcPr>
          <w:p>
            <w:pPr>
              <w:spacing w:after="0"/>
              <w:rPr>
                <w:sz w:val="21"/>
                <w:szCs w:val="21"/>
                <w:color w:val="auto"/>
              </w:rPr>
            </w:pPr>
          </w:p>
        </w:tc>
        <w:tc>
          <w:tcPr>
            <w:tcW w:w="3500" w:type="dxa"/>
            <w:vAlign w:val="bottom"/>
            <w:tcBorders>
              <w:bottom w:val="single" w:sz="8" w:color="A6A6A6"/>
            </w:tcBorders>
            <w:shd w:val="clear" w:color="auto" w:fill="A6A6A6"/>
          </w:tcPr>
          <w:p>
            <w:pPr>
              <w:spacing w:after="0"/>
              <w:rPr>
                <w:sz w:val="21"/>
                <w:szCs w:val="21"/>
                <w:color w:val="auto"/>
              </w:rPr>
            </w:pPr>
          </w:p>
        </w:tc>
        <w:tc>
          <w:tcPr>
            <w:tcW w:w="240" w:type="dxa"/>
            <w:vAlign w:val="bottom"/>
            <w:tcBorders>
              <w:bottom w:val="single" w:sz="8" w:color="auto"/>
              <w:right w:val="single" w:sz="8" w:color="auto"/>
            </w:tcBorders>
            <w:shd w:val="clear" w:color="auto" w:fill="000000"/>
          </w:tcPr>
          <w:p>
            <w:pPr>
              <w:spacing w:after="0"/>
              <w:rPr>
                <w:sz w:val="21"/>
                <w:szCs w:val="21"/>
                <w:color w:val="auto"/>
              </w:rPr>
            </w:pPr>
          </w:p>
        </w:tc>
        <w:tc>
          <w:tcPr>
            <w:tcW w:w="640" w:type="dxa"/>
            <w:vAlign w:val="bottom"/>
            <w:tcBorders>
              <w:bottom w:val="single" w:sz="8" w:color="auto"/>
            </w:tcBorders>
            <w:gridSpan w:val="2"/>
            <w:shd w:val="clear" w:color="auto" w:fill="000000"/>
          </w:tcPr>
          <w:p>
            <w:pPr>
              <w:ind w:left="20"/>
              <w:spacing w:after="0"/>
              <w:rPr>
                <w:sz w:val="20"/>
                <w:szCs w:val="20"/>
                <w:color w:val="auto"/>
              </w:rPr>
            </w:pPr>
            <w:r>
              <w:rPr>
                <w:rFonts w:ascii="Times New Roman" w:cs="Times New Roman" w:eastAsia="Times New Roman" w:hAnsi="Times New Roman"/>
                <w:sz w:val="18"/>
                <w:szCs w:val="18"/>
                <w:b w:val="1"/>
                <w:bCs w:val="1"/>
                <w:color w:val="FFFFFF"/>
              </w:rPr>
              <w:t>FOR</w:t>
            </w:r>
          </w:p>
        </w:tc>
        <w:tc>
          <w:tcPr>
            <w:tcW w:w="11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92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Appointment of </w:t>
            </w:r>
            <w:r>
              <w:rPr>
                <w:rFonts w:ascii="Times New Roman" w:cs="Times New Roman" w:eastAsia="Times New Roman" w:hAnsi="Times New Roman"/>
                <w:sz w:val="18"/>
                <w:szCs w:val="18"/>
                <w:b w:val="1"/>
                <w:bCs w:val="1"/>
                <w:color w:val="auto"/>
              </w:rPr>
              <w:t>PricewaterhouseCoopers LLP</w:t>
            </w:r>
            <w:r>
              <w:rPr>
                <w:rFonts w:ascii="Times New Roman" w:cs="Times New Roman" w:eastAsia="Times New Roman" w:hAnsi="Times New Roman"/>
                <w:sz w:val="18"/>
                <w:szCs w:val="18"/>
                <w:color w:val="auto"/>
              </w:rPr>
              <w:t xml:space="preserve"> as Auditor of the Corporation for the ensuing year and authorizing the</w:t>
            </w:r>
          </w:p>
        </w:tc>
        <w:tc>
          <w:tcPr>
            <w:tcW w:w="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9260" w:type="dxa"/>
            <w:vAlign w:val="bottom"/>
            <w:gridSpan w:val="5"/>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Directors to fix their remuneration.</w:t>
            </w: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860" w:type="dxa"/>
            <w:vAlign w:val="bottom"/>
            <w:gridSpan w:val="2"/>
            <w:vMerge w:val="continue"/>
          </w:tcPr>
          <w:p>
            <w:pPr>
              <w:spacing w:after="0"/>
              <w:rPr>
                <w:sz w:val="15"/>
                <w:szCs w:val="15"/>
                <w:color w:val="auto"/>
              </w:rPr>
            </w:pPr>
          </w:p>
        </w:tc>
        <w:tc>
          <w:tcPr>
            <w:tcW w:w="738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This proxy revokes and supersedes all earlier dated proxies and </w:t>
            </w:r>
            <w:r>
              <w:rPr>
                <w:rFonts w:ascii="Times New Roman" w:cs="Times New Roman" w:eastAsia="Times New Roman" w:hAnsi="Times New Roman"/>
                <w:sz w:val="18"/>
                <w:szCs w:val="18"/>
                <w:b w:val="1"/>
                <w:bCs w:val="1"/>
                <w:color w:val="auto"/>
              </w:rPr>
              <w:t>MUST BE SIGNED</w:t>
            </w:r>
          </w:p>
        </w:tc>
        <w:tc>
          <w:tcPr>
            <w:tcW w:w="0" w:type="dxa"/>
            <w:vAlign w:val="bottom"/>
          </w:tcPr>
          <w:p>
            <w:pPr>
              <w:spacing w:after="0"/>
              <w:rPr>
                <w:sz w:val="1"/>
                <w:szCs w:val="1"/>
                <w:color w:val="auto"/>
              </w:rPr>
            </w:pPr>
          </w:p>
        </w:tc>
      </w:tr>
      <w:tr>
        <w:trPr>
          <w:trHeight w:val="534"/>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380" w:type="dxa"/>
            <w:vAlign w:val="bottom"/>
            <w:gridSpan w:val="9"/>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60" w:type="dxa"/>
            <w:vAlign w:val="bottom"/>
            <w:tcBorders>
              <w:top w:val="single" w:sz="8" w:color="auto"/>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EAAAA"/>
              </w:rPr>
              <w:t>PLEASE PRINT NAME</w:t>
            </w:r>
          </w:p>
        </w:tc>
        <w:tc>
          <w:tcPr>
            <w:tcW w:w="1660" w:type="dxa"/>
            <w:vAlign w:val="bottom"/>
            <w:tcBorders>
              <w:top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EAAAA"/>
              </w:rPr>
              <w:t>Signature of registered owner(s)</w:t>
            </w:r>
          </w:p>
        </w:tc>
        <w:tc>
          <w:tcPr>
            <w:tcW w:w="1980" w:type="dxa"/>
            <w:vAlign w:val="bottom"/>
            <w:tcBorders>
              <w:top w:val="single" w:sz="8" w:color="auto"/>
              <w:right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EAAAA"/>
              </w:rPr>
              <w:t>Date (MM/DD/YYYY)</w:t>
            </w:r>
          </w:p>
        </w:tc>
        <w:tc>
          <w:tcPr>
            <w:tcW w:w="0" w:type="dxa"/>
            <w:vAlign w:val="bottom"/>
          </w:tcPr>
          <w:p>
            <w:pPr>
              <w:spacing w:after="0"/>
              <w:rPr>
                <w:sz w:val="1"/>
                <w:szCs w:val="1"/>
                <w:color w:val="auto"/>
              </w:rPr>
            </w:pPr>
          </w:p>
        </w:tc>
      </w:tr>
      <w:tr>
        <w:trPr>
          <w:trHeight w:val="61"/>
        </w:trPr>
        <w:tc>
          <w:tcPr>
            <w:tcW w:w="680" w:type="dxa"/>
            <w:vAlign w:val="bottom"/>
            <w:tcBorders>
              <w:left w:val="single" w:sz="8" w:color="auto"/>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6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-1490980</wp:posOffset>
            </wp:positionV>
            <wp:extent cx="1714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-1490980</wp:posOffset>
            </wp:positionV>
            <wp:extent cx="1714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1165860" cy="488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88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Proxy Voting – Guidelines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82575" cy="60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575" cy="60325"/>
                    </a:xfrm>
                    <a:prstGeom prst="rect">
                      <a:avLst/>
                    </a:prstGeom>
                    <a:noFill/>
                  </pic:spPr>
                </pic:pic>
              </a:graphicData>
            </a:graphic>
          </wp:anchor>
        </w:drawing>
      </w:r>
    </w:p>
    <w:p>
      <w:pPr>
        <w:spacing w:after="0" w:line="340" w:lineRule="exact"/>
        <w:rPr>
          <w:sz w:val="20"/>
          <w:szCs w:val="20"/>
          <w:color w:val="auto"/>
        </w:rPr>
      </w:pPr>
    </w:p>
    <w:p>
      <w:pPr>
        <w:ind w:left="340" w:right="20" w:hanging="332"/>
        <w:spacing w:after="0" w:line="28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PROXY IS SOLICITED BY MANAGEMENT OF THE CORPORATION.</w:t>
      </w:r>
    </w:p>
    <w:p>
      <w:pPr>
        <w:spacing w:after="0" w:line="73"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PROXY SHOULD BE READ IN CONJUNCTION WITH THE MEETING MATERIALS PRIOR TO VOTING.</w:t>
      </w:r>
    </w:p>
    <w:p>
      <w:pPr>
        <w:spacing w:after="0" w:line="73" w:lineRule="exact"/>
        <w:rPr>
          <w:rFonts w:ascii="Times New Roman" w:cs="Times New Roman" w:eastAsia="Times New Roman" w:hAnsi="Times New Roman"/>
          <w:sz w:val="18"/>
          <w:szCs w:val="18"/>
          <w:color w:val="auto"/>
        </w:rPr>
      </w:pPr>
    </w:p>
    <w:p>
      <w:pPr>
        <w:jc w:val="both"/>
        <w:ind w:left="340" w:right="20" w:hanging="332"/>
        <w:spacing w:after="0" w:line="25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appoint the Management Nominees to vote your securities, they will vote in accordance with your instructions or, if no instructions are given, in accordance with the Management Voting Recommendations highlighted for each Resolution on the reverse. If you appoint someone else to vote your securities, they will also vote in accordance with your instructions or, if no instructions are given, as they in their discretion choose.</w:t>
      </w:r>
    </w:p>
    <w:p>
      <w:pPr>
        <w:spacing w:after="0" w:line="10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confers discretionary authority on the person named to vote in his or her discretion with respect to amendments or variations to the matters identified in the Notice of the Meeting accompanying the proxy or such other matters which may properly come before the Meeting or any adjournment or postponement thereof.</w:t>
      </w:r>
    </w:p>
    <w:p>
      <w:pPr>
        <w:spacing w:after="0" w:line="98" w:lineRule="exact"/>
        <w:rPr>
          <w:rFonts w:ascii="Times New Roman" w:cs="Times New Roman" w:eastAsia="Times New Roman" w:hAnsi="Times New Roman"/>
          <w:sz w:val="18"/>
          <w:szCs w:val="18"/>
          <w:color w:val="auto"/>
        </w:rPr>
      </w:pPr>
    </w:p>
    <w:p>
      <w:pPr>
        <w:jc w:val="both"/>
        <w:ind w:left="340" w:right="20" w:hanging="332"/>
        <w:spacing w:after="0" w:line="257"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Each security holder has the right to appoint a person other than the Management Nominees specified herein to represent them at the Meeting or any adjournment or postponement thereof. </w:t>
      </w:r>
      <w:r>
        <w:rPr>
          <w:rFonts w:ascii="Times New Roman" w:cs="Times New Roman" w:eastAsia="Times New Roman" w:hAnsi="Times New Roman"/>
          <w:sz w:val="18"/>
          <w:szCs w:val="18"/>
          <w:color w:val="auto"/>
        </w:rPr>
        <w:t>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may be exercised by inserting in the space labeled “</w:t>
      </w:r>
      <w:r>
        <w:rPr>
          <w:rFonts w:ascii="Times New Roman" w:cs="Times New Roman" w:eastAsia="Times New Roman" w:hAnsi="Times New Roman"/>
          <w:sz w:val="18"/>
          <w:szCs w:val="18"/>
          <w:i w:val="1"/>
          <w:iCs w:val="1"/>
          <w:color w:val="auto"/>
        </w:rPr>
        <w:t>Please print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appointee name</w:t>
      </w:r>
      <w:r>
        <w:rPr>
          <w:rFonts w:ascii="Times New Roman" w:cs="Times New Roman" w:eastAsia="Times New Roman" w:hAnsi="Times New Roman"/>
          <w:sz w:val="18"/>
          <w:szCs w:val="18"/>
          <w:color w:val="auto"/>
        </w:rPr>
        <w:t>”, the name of the person to be appointed, who need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security holder of the Corporation.</w:t>
      </w:r>
    </w:p>
    <w:p>
      <w:pPr>
        <w:spacing w:after="0" w:line="10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this proxy must be signed. Please date the proxy. If the proxy is not dated, it is deemed to bear the date of its mailing to the security holders of the Corporation.</w:t>
      </w:r>
    </w:p>
    <w:p>
      <w:pPr>
        <w:spacing w:after="0" w:line="90" w:lineRule="exact"/>
        <w:rPr>
          <w:rFonts w:ascii="Times New Roman" w:cs="Times New Roman" w:eastAsia="Times New Roman" w:hAnsi="Times New Roman"/>
          <w:sz w:val="18"/>
          <w:szCs w:val="18"/>
          <w:color w:val="auto"/>
        </w:rPr>
      </w:pPr>
    </w:p>
    <w:p>
      <w:pPr>
        <w:jc w:val="both"/>
        <w:ind w:left="340" w:right="20" w:hanging="332"/>
        <w:spacing w:after="0" w:line="254"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valid, this proxy must be filed using one of the </w:t>
      </w:r>
      <w:r>
        <w:rPr>
          <w:rFonts w:ascii="Times New Roman" w:cs="Times New Roman" w:eastAsia="Times New Roman" w:hAnsi="Times New Roman"/>
          <w:sz w:val="18"/>
          <w:szCs w:val="18"/>
          <w:b w:val="1"/>
          <w:bCs w:val="1"/>
          <w:i w:val="1"/>
          <w:iCs w:val="1"/>
          <w:color w:val="auto"/>
        </w:rPr>
        <w:t>Voting Methods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must be received by TSX Trust Company</w:t>
      </w:r>
      <w:r>
        <w:rPr>
          <w:rFonts w:ascii="Times New Roman" w:cs="Times New Roman" w:eastAsia="Times New Roman" w:hAnsi="Times New Roman"/>
          <w:sz w:val="18"/>
          <w:szCs w:val="18"/>
          <w:color w:val="auto"/>
        </w:rPr>
        <w:t xml:space="preserve"> before the </w:t>
      </w:r>
      <w:r>
        <w:rPr>
          <w:rFonts w:ascii="Times New Roman" w:cs="Times New Roman" w:eastAsia="Times New Roman" w:hAnsi="Times New Roman"/>
          <w:sz w:val="18"/>
          <w:szCs w:val="18"/>
          <w:b w:val="1"/>
          <w:bCs w:val="1"/>
          <w:i w:val="1"/>
          <w:iCs w:val="1"/>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 for Proxies</w:t>
      </w:r>
      <w:r>
        <w:rPr>
          <w:rFonts w:ascii="Times New Roman" w:cs="Times New Roman" w:eastAsia="Times New Roman" w:hAnsi="Times New Roman"/>
          <w:sz w:val="18"/>
          <w:szCs w:val="18"/>
          <w:color w:val="auto"/>
        </w:rPr>
        <w:t>, noted on the reverse or in the case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adjournment or postponement of the Meeting not less than 48 hours (Saturdays, Sundays and holidays excepted) before the time of the adjourned or postponed meeting. Late proxies may be accepted or rejected by the Chairman of the Meeting in his discretion, and the Chairman is under no obligation to accept or reject any particular late proxy.</w:t>
      </w:r>
    </w:p>
    <w:p>
      <w:pPr>
        <w:spacing w:after="0" w:line="111"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 holder is a corporation, the proxy must be executed by an officer or attorney thereof duly authorized, and the security holder may be required to provide documentation evidencing the signatory’s power to sign the proxy.</w:t>
      </w:r>
    </w:p>
    <w:p>
      <w:pPr>
        <w:spacing w:after="0" w:line="9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for proper execution of the proxy are available at www.stac.ca. Please refer to the Proxy Protocol.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8257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575" cy="59690"/>
                    </a:xfrm>
                    <a:prstGeom prst="rect">
                      <a:avLst/>
                    </a:prstGeom>
                    <a:noFill/>
                  </pic:spPr>
                </pic:pic>
              </a:graphicData>
            </a:graphic>
          </wp:anchor>
        </w:drawing>
      </w: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TSX Trust Company offers at no cost to security holders, the convenience of secure 24-hour access to all data relating to their account including summary of holdings, transaction history, and links to valuable security holder forms and Frequently Asked Questions.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register, please visit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https://www.tsxtrust.com/t/investor-hub/forms/investor-insite-registration</w:t>
      </w:r>
    </w:p>
    <w:p>
      <w:pPr>
        <w:spacing w:after="0" w:line="12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Click on,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and complete the registration form. Call us toll free at 1-866-600-5869 with any questions.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6A6A6"/>
        </w:rPr>
        <w:t>www.tsxtrust.com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08080"/>
        </w:rPr>
        <w:t>VANCOUVER CALGARY TORONTO MONTRÉAL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-200025</wp:posOffset>
            </wp:positionV>
            <wp:extent cx="3493135" cy="388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93135" cy="3887470"/>
                    </a:xfrm>
                    <a:prstGeom prst="rect">
                      <a:avLst/>
                    </a:prstGeom>
                    <a:noFill/>
                  </pic:spPr>
                </pic:pic>
              </a:graphicData>
            </a:graphic>
          </wp:anchor>
        </w:drawing>
      </w:r>
    </w:p>
    <w:p>
      <w:pPr>
        <w:spacing w:after="0" w:line="3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Canadian securities regulators have adopted rules which permit the use of notice-and-access for proxy solicitation instead of the traditional physical delivery of material. This new process provides the option to post meeting related materials including management information circulars as well as annual financial statements and management’s discussion and analysis, on a website in addition to SEDAR. Under notice-and-access, meeting related materials will be available for viewing for up to 1 year from the date of posting and a paper copy of the material can be requested at any time during this period.</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regarding each matter or group of matters to be voted on is in the Information Circular in the Section with the same title as each Resolution on the reverse. You should review the Information Circular before voting.</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Bitfarms Ltd. </w:t>
      </w:r>
      <w:r>
        <w:rPr>
          <w:rFonts w:ascii="Times New Roman" w:cs="Times New Roman" w:eastAsia="Times New Roman" w:hAnsi="Times New Roman"/>
          <w:sz w:val="18"/>
          <w:szCs w:val="18"/>
          <w:color w:val="auto"/>
        </w:rPr>
        <w:t>has elected to utilize notice-and-access and provide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following information:</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Meeting materials are available electronically at www.sedar.com and also at https://docs.tsxtrust.com/2253.</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If you wish to receive a paper copy of the Meeting materials or have questions about notice-and-access, please call 1-866-600-5869 or email tsxtis@tmx.com. In order to receive a paper copy in time to vote before the meeting, your request should be received by 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76200</wp:posOffset>
            </wp:positionV>
            <wp:extent cx="3497580" cy="31718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97580" cy="317182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for Financial Statements</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securities regulations, security holders may elect to receive Annual Financial Statements and MD&amp;A.</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Instead of receiving the financial statements by mail, you may choose to view these documents on SEDAR at www.sedar.com.</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 am currently a security holder of the Corporation and as such request the following:</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Annual Financial Statements with MD&amp;A</w:t>
      </w:r>
    </w:p>
    <w:p>
      <w:pPr>
        <w:spacing w:after="0" w:line="31" w:lineRule="exact"/>
        <w:rPr>
          <w:sz w:val="20"/>
          <w:szCs w:val="20"/>
          <w:color w:val="auto"/>
        </w:rPr>
      </w:pPr>
    </w:p>
    <w:p>
      <w:pPr>
        <w:ind w:left="380" w:right="200" w:hanging="292"/>
        <w:spacing w:after="0" w:line="260"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 this box to NOT receive Annual Financial Statements and related MD&amp;A)</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casting your vote online and wish to receive financial statements, please complete the online request for financial statements following your voting instructions.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cut-off time has passed, please fax this side to 416-595-9593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ectPr>
          <w:pgSz w:w="11900" w:h="16838" w:orient="portrait"/>
          <w:cols w:equalWidth="0" w:num="2">
            <w:col w:w="5520" w:space="360"/>
            <w:col w:w="5220"/>
          </w:cols>
          <w:pgMar w:left="320" w:top="1440" w:right="479" w:bottom="928" w:gutter="0" w:footer="0" w:header="0"/>
        </w:sectPr>
      </w:pPr>
    </w:p>
    <w:bookmarkStart w:id="75" w:name="page76"/>
    <w:bookmarkEnd w:id="75"/>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259840" cy="557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598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2885"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88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Canadian securities regulators have adopted rules which permit the use of notice-and-access for proxy solicitation instead of the traditional physical delivery of material. This new process provides the option to post meeting related materials including management information circulars, as well as annual financial statements and management’s discussion and analysis on a website in addition to SEDAR. Under notice-and-access, meeting related materials will be available for viewing for up to 1 year from the date of posting and a paper copy of the material can be requested at any time during this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Bitfarms Ltd. </w:t>
      </w:r>
      <w:r>
        <w:rPr>
          <w:rFonts w:ascii="Times New Roman" w:cs="Times New Roman" w:eastAsia="Times New Roman" w:hAnsi="Times New Roman"/>
          <w:sz w:val="18"/>
          <w:szCs w:val="18"/>
          <w:color w:val="auto"/>
        </w:rPr>
        <w:t>has elected to utilize notice-and-access and provide you with the following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Date and Time: June 21, 2022 at 10:00 a.m. (Toronto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Location: 9156 Leduc Blvd., 7th Floor, Brossard, Quebec J4Y 0L2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materials are available electronically at www.sedar.com and also on https://docs.tsxtrust.com/2253.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wish to receive a paper copy of the Meeting materials or have questions about notice-and-access please call 1-866-600-5869 or email tsxtis@tmx.com. In order to receive a paper copy in time to vote before the meeting, your request should be received by June 10,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follow the instructions accompanying the Voting Instruction Form you receive with respect to returning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regarding matters to be voted on may be found in the following Sections of the Information Circular.</w:t>
      </w:r>
    </w:p>
    <w:p>
      <w:pPr>
        <w:spacing w:after="0" w:line="225" w:lineRule="exact"/>
        <w:rPr>
          <w:sz w:val="20"/>
          <w:szCs w:val="20"/>
          <w:color w:val="auto"/>
        </w:rPr>
      </w:pPr>
    </w:p>
    <w:p>
      <w:pPr>
        <w:ind w:left="600" w:hanging="171"/>
        <w:spacing w:after="0"/>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7" w:lineRule="exact"/>
        <w:rPr>
          <w:rFonts w:ascii="Times New Roman" w:cs="Times New Roman" w:eastAsia="Times New Roman" w:hAnsi="Times New Roman"/>
          <w:sz w:val="18"/>
          <w:szCs w:val="18"/>
          <w:color w:val="auto"/>
        </w:rPr>
      </w:pPr>
    </w:p>
    <w:p>
      <w:pPr>
        <w:ind w:left="600" w:hanging="171"/>
        <w:spacing w:after="0"/>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Auditor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review the Information Circular before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www.tsxtrust.com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VANCOUVER CALGARY TORONTO MONTRÉAL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(Detach and Retain top for your records)</w:t>
      </w:r>
    </w:p>
    <w:p>
      <w:pPr>
        <w:spacing w:after="0" w:line="77" w:lineRule="exact"/>
        <w:rPr>
          <w:sz w:val="20"/>
          <w:szCs w:val="20"/>
          <w:color w:val="auto"/>
        </w:rPr>
      </w:pPr>
    </w:p>
    <w:p>
      <w:pPr>
        <w:ind w:left="1620"/>
        <w:spacing w:after="0"/>
        <w:tabs>
          <w:tab w:leader="none" w:pos="9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b w:val="1"/>
          <w:bCs w:val="1"/>
          <w:color w:val="auto"/>
        </w:rPr>
        <w:t>Request for Financial Statements</w:t>
      </w:r>
      <w:r>
        <w:rPr>
          <w:sz w:val="20"/>
          <w:szCs w:val="20"/>
          <w:color w:val="auto"/>
        </w:rPr>
        <w:tab/>
      </w:r>
      <w:r>
        <w:rPr>
          <w:rFonts w:ascii="Times New Roman" w:cs="Times New Roman" w:eastAsia="Times New Roman" w:hAnsi="Times New Roman"/>
          <w:sz w:val="18"/>
          <w:szCs w:val="18"/>
          <w:b w:val="1"/>
          <w:bCs w:val="1"/>
          <w:color w:val="auto"/>
        </w:rPr>
        <w:t>(“Corporation”)</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22885"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431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registered and beneficial security holders may elect annually to receive a copy of our annual financial statements and corresponding management discussion and analysis (“MD&amp;A”).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IF YOU WISH TO RECEIVE THESE DOCUMENTS BY MAIL,</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Rather than receiving the financial statements by mail, you may choose</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PLEASE  DETACH  THIS  PORTION  AND</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RETURN  THIS</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 view these documents on the SEDAR website at www.sedar.com.</w:t>
            </w: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COMPLETED FORM TO</w:t>
            </w:r>
            <w:r>
              <w:rPr>
                <w:rFonts w:ascii="Times New Roman" w:cs="Times New Roman" w:eastAsia="Times New Roman" w:hAnsi="Times New Roman"/>
                <w:sz w:val="18"/>
                <w:szCs w:val="18"/>
                <w:color w:val="auto"/>
              </w:rPr>
              <w:t>:</w:t>
            </w:r>
          </w:p>
        </w:tc>
        <w:tc>
          <w:tcPr>
            <w:tcW w:w="1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10"/>
        </w:trPr>
        <w:tc>
          <w:tcPr>
            <w:tcW w:w="402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TSX Trust Company</w:t>
            </w:r>
          </w:p>
        </w:tc>
        <w:tc>
          <w:tcPr>
            <w:tcW w:w="17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 HEREBY CERTIFY that I am a registered and/or beneficial holder of the</w:t>
            </w:r>
          </w:p>
        </w:tc>
      </w:tr>
      <w:tr>
        <w:trPr>
          <w:trHeight w:val="216"/>
        </w:trPr>
        <w:tc>
          <w:tcPr>
            <w:tcW w:w="40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301 - 100 Adelaide Street West</w:t>
            </w:r>
          </w:p>
        </w:tc>
        <w:tc>
          <w:tcPr>
            <w:tcW w:w="170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Corporation,  and  as  such,  request  that  my  name  be  placed  on  the</w:t>
            </w:r>
          </w:p>
        </w:tc>
      </w:tr>
      <w:tr>
        <w:trPr>
          <w:trHeight w:val="216"/>
        </w:trPr>
        <w:tc>
          <w:tcPr>
            <w:tcW w:w="402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7"/>
              </w:rPr>
              <w:t>Toronto ON M5H 4H1</w:t>
            </w:r>
          </w:p>
        </w:tc>
        <w:tc>
          <w:tcPr>
            <w:tcW w:w="170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Corporation’s Mailing List in respect to its annual financial statements and</w:t>
            </w:r>
          </w:p>
        </w:tc>
      </w:tr>
      <w:tr>
        <w:trPr>
          <w:trHeight w:val="238"/>
        </w:trPr>
        <w:tc>
          <w:tcPr>
            <w:tcW w:w="40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Or by fax to: 416-595-9593</w:t>
            </w:r>
          </w:p>
        </w:tc>
        <w:tc>
          <w:tcPr>
            <w:tcW w:w="1700" w:type="dxa"/>
            <w:vAlign w:val="bottom"/>
          </w:tcPr>
          <w:p>
            <w:pPr>
              <w:spacing w:after="0"/>
              <w:rPr>
                <w:sz w:val="20"/>
                <w:szCs w:val="20"/>
                <w:color w:val="auto"/>
              </w:rPr>
            </w:pP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corresponding MD&amp;A for the current financial year.</w:t>
            </w:r>
          </w:p>
        </w:tc>
      </w:tr>
      <w:tr>
        <w:trPr>
          <w:trHeight w:val="452"/>
        </w:trPr>
        <w:tc>
          <w:tcPr>
            <w:tcW w:w="40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Please send me:</w:t>
            </w:r>
          </w:p>
        </w:tc>
        <w:tc>
          <w:tcPr>
            <w:tcW w:w="4340" w:type="dxa"/>
            <w:vAlign w:val="bottom"/>
            <w:gridSpan w:val="2"/>
          </w:tcPr>
          <w:p>
            <w:pPr>
              <w:ind w:left="42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Annual Financial Statements with MD&amp;A</w:t>
            </w:r>
          </w:p>
        </w:tc>
        <w:tc>
          <w:tcPr>
            <w:tcW w:w="2880" w:type="dxa"/>
            <w:vAlign w:val="bottom"/>
          </w:tcPr>
          <w:p>
            <w:pPr>
              <w:spacing w:after="0"/>
              <w:rPr>
                <w:sz w:val="24"/>
                <w:szCs w:val="24"/>
                <w:color w:val="auto"/>
              </w:rPr>
            </w:pPr>
          </w:p>
        </w:tc>
      </w:tr>
      <w:tr>
        <w:trPr>
          <w:trHeight w:val="41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FIRST NAME</w:t>
            </w:r>
          </w:p>
        </w:tc>
        <w:tc>
          <w:tcPr>
            <w:tcW w:w="43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b w:val="1"/>
                <w:bCs w:val="1"/>
                <w:i w:val="1"/>
                <w:iCs w:val="1"/>
                <w:color w:val="auto"/>
              </w:rPr>
              <w:t>LAST NAME</w:t>
            </w:r>
          </w:p>
        </w:tc>
        <w:tc>
          <w:tcPr>
            <w:tcW w:w="2880" w:type="dxa"/>
            <w:vAlign w:val="bottom"/>
          </w:tcPr>
          <w:p>
            <w:pPr>
              <w:spacing w:after="0"/>
              <w:rPr>
                <w:sz w:val="24"/>
                <w:szCs w:val="24"/>
                <w:color w:val="auto"/>
              </w:rPr>
            </w:pPr>
          </w:p>
        </w:tc>
      </w:tr>
      <w:tr>
        <w:trPr>
          <w:trHeight w:val="216"/>
        </w:trPr>
        <w:tc>
          <w:tcPr>
            <w:tcW w:w="4020" w:type="dxa"/>
            <w:vAlign w:val="bottom"/>
            <w:tcBorders>
              <w:bottom w:val="single" w:sz="8" w:color="auto"/>
            </w:tcBorders>
            <w:gridSpan w:val="2"/>
          </w:tcPr>
          <w:p>
            <w:pPr>
              <w:spacing w:after="0"/>
              <w:rPr>
                <w:sz w:val="18"/>
                <w:szCs w:val="18"/>
                <w:color w:val="auto"/>
              </w:rPr>
            </w:pPr>
          </w:p>
        </w:tc>
        <w:tc>
          <w:tcPr>
            <w:tcW w:w="4340" w:type="dxa"/>
            <w:vAlign w:val="bottom"/>
            <w:tcBorders>
              <w:bottom w:val="single" w:sz="8" w:color="auto"/>
            </w:tcBorders>
            <w:gridSpan w:val="2"/>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r>
      <w:tr>
        <w:trPr>
          <w:trHeight w:val="42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ADDRESS</w:t>
            </w:r>
          </w:p>
        </w:tc>
        <w:tc>
          <w:tcPr>
            <w:tcW w:w="434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i w:val="1"/>
                <w:iCs w:val="1"/>
                <w:color w:val="auto"/>
                <w:w w:val="97"/>
              </w:rPr>
              <w:t>CITY</w:t>
            </w:r>
          </w:p>
        </w:tc>
        <w:tc>
          <w:tcPr>
            <w:tcW w:w="2880" w:type="dxa"/>
            <w:vAlign w:val="bottom"/>
          </w:tcPr>
          <w:p>
            <w:pPr>
              <w:spacing w:after="0"/>
              <w:rPr>
                <w:sz w:val="24"/>
                <w:szCs w:val="24"/>
                <w:color w:val="auto"/>
              </w:rPr>
            </w:pPr>
          </w:p>
        </w:tc>
      </w:tr>
      <w:tr>
        <w:trPr>
          <w:trHeight w:val="216"/>
        </w:trPr>
        <w:tc>
          <w:tcPr>
            <w:tcW w:w="4020" w:type="dxa"/>
            <w:vAlign w:val="bottom"/>
            <w:tcBorders>
              <w:bottom w:val="single" w:sz="8" w:color="auto"/>
            </w:tcBorders>
            <w:gridSpan w:val="2"/>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r>
      <w:tr>
        <w:trPr>
          <w:trHeight w:val="42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PROVINCE/STATE</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w w:val="98"/>
              </w:rPr>
              <w:t>POSTAL/ZIP CODE</w:t>
            </w:r>
          </w:p>
        </w:tc>
        <w:tc>
          <w:tcPr>
            <w:tcW w:w="2640" w:type="dxa"/>
            <w:vAlign w:val="bottom"/>
          </w:tcPr>
          <w:p>
            <w:pPr>
              <w:spacing w:after="0"/>
              <w:rPr>
                <w:sz w:val="24"/>
                <w:szCs w:val="24"/>
                <w:color w:val="auto"/>
              </w:rPr>
            </w:pPr>
          </w:p>
        </w:tc>
        <w:tc>
          <w:tcPr>
            <w:tcW w:w="28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i w:val="1"/>
                <w:iCs w:val="1"/>
                <w:color w:val="auto"/>
              </w:rPr>
              <w:t>COUNTRY</w:t>
            </w:r>
          </w:p>
        </w:tc>
      </w:tr>
      <w:tr>
        <w:trPr>
          <w:trHeight w:val="216"/>
        </w:trPr>
        <w:tc>
          <w:tcPr>
            <w:tcW w:w="38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r>
      <w:tr>
        <w:trPr>
          <w:trHeight w:val="426"/>
        </w:trPr>
        <w:tc>
          <w:tcPr>
            <w:tcW w:w="38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 of Security holder</w:t>
            </w:r>
          </w:p>
        </w:tc>
        <w:tc>
          <w:tcPr>
            <w:tcW w:w="28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i w:val="1"/>
                <w:iCs w:val="1"/>
                <w:color w:val="auto"/>
                <w:w w:val="98"/>
              </w:rPr>
              <w:t>DATE (MM/DD/YYYY)</w:t>
            </w:r>
          </w:p>
        </w:tc>
      </w:tr>
      <w:tr>
        <w:trPr>
          <w:trHeight w:val="216"/>
        </w:trPr>
        <w:tc>
          <w:tcPr>
            <w:tcW w:w="3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0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lowerLetter"/>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amp;"/>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lowerLetter"/>
      <w:start w:val="1"/>
    </w:lvl>
    <w:lvl w:ilvl="1">
      <w:lvlJc w:val="left"/>
      <w:lvlText w:val="(%2)"/>
      <w:numFmt w:val="lowerRoman"/>
      <w:start w:val="1"/>
    </w:lvl>
  </w:abstractNum>
  <w:abstractNum w:abstractNumId="7">
    <w:nsid w:val="2901D82"/>
    <w:multiLevelType w:val="hybridMultilevel"/>
    <w:lvl w:ilvl="0">
      <w:lvlJc w:val="left"/>
      <w:lvlText w:val="(%1)"/>
      <w:numFmt w:val="lowerLetter"/>
      <w:start w:val="2"/>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decimal"/>
      <w:start w:val="3"/>
    </w:lvl>
  </w:abstractNum>
  <w:abstractNum w:abstractNumId="11">
    <w:nsid w:val="7C3DBD3D"/>
    <w:multiLevelType w:val="hybridMultilevel"/>
    <w:lvl w:ilvl="0">
      <w:lvlJc w:val="left"/>
      <w:lvlText w:val="%1."/>
      <w:numFmt w:val="decimal"/>
      <w:start w:val="4"/>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1"/>
    </w:lvl>
    <w:lvl w:ilvl="1">
      <w:lvlJc w:val="left"/>
      <w:lvlText w:val="(%2)"/>
      <w:numFmt w:val="lowerRoman"/>
      <w:start w:val="1"/>
    </w:lvl>
  </w:abstractNum>
  <w:abstractNum w:abstractNumId="17">
    <w:nsid w:val="614FD4A1"/>
    <w:multiLevelType w:val="hybridMultilevel"/>
    <w:lvl w:ilvl="0">
      <w:lvlJc w:val="left"/>
      <w:lvlText w:val="%1)"/>
      <w:numFmt w:val="lowerLetter"/>
      <w:start w:val="4"/>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4"/>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4"/>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5"/>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7"/>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upperLetter"/>
      <w:start w:val="1"/>
    </w:lvl>
  </w:abstractNum>
  <w:abstractNum w:abstractNumId="40">
    <w:nsid w:val="7A6D8D3C"/>
    <w:multiLevelType w:val="hybridMultilevel"/>
    <w:lvl w:ilvl="0">
      <w:lvlJc w:val="left"/>
      <w:lvlText w:val="(%1)"/>
      <w:numFmt w:val="upperLetter"/>
      <w:start w:val="6"/>
    </w:lvl>
  </w:abstractNum>
  <w:abstractNum w:abstractNumId="41">
    <w:nsid w:val="4B588F54"/>
    <w:multiLevelType w:val="hybridMultilevel"/>
    <w:lvl w:ilvl="0">
      <w:lvlJc w:val="left"/>
      <w:lvlText w:val="%1."/>
      <w:numFmt w:val="upperLetter"/>
      <w:start w:val="35"/>
    </w:lvl>
    <w:lvl w:ilvl="1">
      <w:lvlJc w:val="left"/>
      <w:lvlText w:val="(%2)"/>
      <w:numFmt w:val="lowerLetter"/>
      <w:start w:val="1"/>
    </w:lvl>
  </w:abstractNum>
  <w:abstractNum w:abstractNumId="42">
    <w:nsid w:val="542289EC"/>
    <w:multiLevelType w:val="hybridMultilevel"/>
    <w:lvl w:ilvl="0">
      <w:lvlJc w:val="left"/>
      <w:lvlText w:val="%1."/>
      <w:numFmt w:val="upperLetter"/>
      <w:start w:val="61"/>
    </w:lvl>
    <w:lvl w:ilvl="1">
      <w:lvlJc w:val="left"/>
      <w:lvlText w:val="(%2)"/>
      <w:numFmt w:val="lowerLetter"/>
      <w:start w:val="1"/>
    </w:lvl>
  </w:abstractNum>
  <w:abstractNum w:abstractNumId="43">
    <w:nsid w:val="6DE91B18"/>
    <w:multiLevelType w:val="hybridMultilevel"/>
    <w:lvl w:ilvl="0">
      <w:lvlJc w:val="left"/>
      <w:lvlText w:val="(%1)"/>
      <w:numFmt w:val="lowerLetter"/>
      <w:start w:val="3"/>
    </w:lvl>
    <w:lvl w:ilvl="1">
      <w:lvlJc w:val="left"/>
      <w:lvlText w:val="%2."/>
      <w:numFmt w:val="lowerRoman"/>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o"/>
      <w:numFmt w:val="bullet"/>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2022-05-23T05:21:07Z</dcterms:created>
  <dcterms:modified xsi:type="dcterms:W3CDTF">2022-05-23T05:21:07Z</dcterms:modified>
</cp:coreProperties>
</file>