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333-278868) and </w:t>
      </w:r>
      <w:hyperlink r:id="rId21">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333-282657), each as amended or supplemented.</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January 2, 2025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January 2, 2025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December 2024 Production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Increased hashrate 97% Y/Y to 12.8 EH/s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Improved efficiency 40% Y/Y to 21 w/TH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Earned 2,914 BTC for full-year 2024 -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Expanded operational MW 35% Y/Y to 324MW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Acquisition of Stronghold Digital Mining on track to close in Q1 2025 -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2, 2025) </w:t>
      </w:r>
      <w:r>
        <w:rPr>
          <w:rFonts w:ascii="Times New Roman" w:cs="Times New Roman" w:eastAsia="Times New Roman" w:hAnsi="Times New Roman"/>
          <w:sz w:val="18"/>
          <w:szCs w:val="18"/>
          <w:color w:val="auto"/>
        </w:rPr>
        <w:t>- Bitfarms Ltd. (NASDAQ/TSX: BITF), a global leader in vertically integrated Bitcoin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operations, today issued its latest monthly production report. All financial references are in U.S. dollars.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CEO Ben Gagnon stated, “2024 was a transformative year for Bitfarms. While we did not meet our original growth targets, we accomplished a tremendous amount during the year. We doubled our hashrate and improved efficiency by 40%, upgraded 11 data centers, increased active MWs by 35%, revamped and strengthened our board of directors and management team, assumed control of our first U.S. large scale site in Sharon, PA with access to up to 120MW, negotiated a settlement to a hostile takeover attempt, and announced our proposed acquisition of Stronghold Digital Mining, Inc. (“Stronghold”), which represents the largest acquisition between two public companies in the Bitcoin mining sector.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our strategy to shift our portfolio towards the U.S., the Stronghold acquisition, expected to close in Q1 2025, will expand and rebalance our energy portfolio in the attractive PJM region, with visibility on a target multi-year expansion capacity of up to 1.6 GW with approximately 66% in the U.S., an eleven-fold increase from approximately 6% today. By vertically integrating with power generation, expanding our energy trading capabilities and acquiring two high potential sites for HPC/AI with significant multi-year expansion potential, we are also executing our strategy to diversify beyond Bitcoin mining to create greater long-term shareholder value.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“Importantly, the changes we have implemented over the last six months since I became CEO have laid the foundation for a better future. We enter 2025 as a stronger, more diversified company with tremendous opportunities and a promising future. I look forward to leading the company and our amazing team in executing on this important transition from the international Bitcoin miner to a North American energy and compute company to capitalize on the massive growth opportunities in both HPC/AI and Bitcoin mining.”</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With liquidity exceeding $145 million at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these transformative initiatives have presented us with efficient capital-raising opportunities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our growth in the U.S.,” noted Jeff Lucas, Chief Financial Officer. “We remain disciplined in raising and deploying capital, prioritizing minimal dilution and maximizing shareholder value.”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Jeff Lucas concluded, “Our Synthetic HODL program, launched as a pilot program in October 2023, has been a key source of low-cost capital, enabling superior returns and outperformance to Bitcoin. We took advantage of the higher Bitcoin prices in December to close out our positions and realize profits before the end of the year. Since the program’s inception, we have achieved a 135% return in U.S. dollar terms, generating a trading profit of approximately $18 million. Having delivered such strong performance with the Synthetic HODL program to date, we are excited to launch our expanded program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mining operations generated 211 BTC compared to 207 BTC in November, reflecting a 4% increase in average operating EH and a 7% increase in Bitcoin difficulty.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November</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December 2024 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 EH/s operational at December 31, 2024, up 97% Y/Y.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EH/s average operational, up 79% Y/Y and up 4% M/M.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BTC/average EH/s, 74% lower Y/Y.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BTC earned, up 2% M/M and 53% lower Y/Y.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BTC earned daily on average, equal to ~$639,200 per day based on a BTC price of $94,000 at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5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4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4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5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5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w:t>
            </w:r>
          </w:p>
        </w:tc>
        <w:tc>
          <w:tcPr>
            <w:tcW w:w="5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5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w:t>
            </w:r>
          </w:p>
        </w:tc>
        <w:tc>
          <w:tcPr>
            <w:tcW w:w="5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5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w:t>
            </w:r>
          </w:p>
        </w:tc>
        <w:tc>
          <w:tcPr>
            <w:tcW w:w="5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5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w:t>
            </w:r>
          </w:p>
        </w:tc>
        <w:tc>
          <w:tcPr>
            <w:tcW w:w="5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5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w:t>
            </w:r>
          </w:p>
        </w:tc>
        <w:tc>
          <w:tcPr>
            <w:tcW w:w="5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5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4,928</w:t>
            </w:r>
          </w:p>
        </w:tc>
      </w:tr>
      <w:tr>
        <w:trPr>
          <w:trHeight w:val="655"/>
        </w:trPr>
        <w:tc>
          <w:tcPr>
            <w:tcW w:w="27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jc w:val="right"/>
              <w:ind w:right="28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December 2024 Financial Update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147 of the 211 BTC earned as part of the Company’s regular treasury management practice for total proceeds of $14.3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liquidity of $147 million, including approximately $60 million in cash at December 31, 2024.</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64 BTC, bringing Treasury to 934 BTC, up from 870 BTC last month and representing $87.8 million based on the Bitcoin price of $94,000 at December 31, 2024.</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on BTC price near all-time highs to close out all Synthetic HODL™ positions in December for a 135% USD denominated return since the program’s inception.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14-15, 2025: Needham Growth Conference (NYC)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 12, 2025: AGP Virtual Tech conference</w:t>
      </w:r>
    </w:p>
    <w:p>
      <w:pPr>
        <w:spacing w:after="0" w:line="2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March 17-18, 2025: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ROTH Conference (Dana Point, 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3"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1508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PJM = PJM Interconnection LLC, a regional transmission organization (RTO) which is part of the Eastern Interconnection grid operating an electric transmission system serving all or parts of Delaware, Illinois, Indiana, Kentucky, Maryland, Michigan, New Jersey, North Carolina, Ohio, Pennsylvania, Tennessee, Virginia, West Virginia, and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-2070735</wp:posOffset>
            </wp:positionV>
            <wp:extent cx="7132320" cy="1097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057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projected growth, target hashrate, opportunities relating to the Company’s geographical diversification and expansion, deployment of miners as well as the timing therefor, closing of the Stronghold acquisition on a timely basis and on the terms as announced, the positive impact of the Stronghold acquisition and the ability to gain access to additional electrical power and grow hashrate of the Stronghold business, performance of the plants and equipment upgrades and the impact on operating capacity including the target hashrate and multi-year expansion capacity, the opportunities to leverage Bitfarms’ proven expertise to successfully enhance energy efficiency and hashrate, the </w:t>
      </w:r>
      <w:r>
        <w:rPr>
          <w:rFonts w:ascii="Times New Roman" w:cs="Times New Roman" w:eastAsia="Times New Roman" w:hAnsi="Times New Roman"/>
          <w:sz w:val="18"/>
          <w:szCs w:val="18"/>
          <w:i w:val="1"/>
          <w:iCs w:val="1"/>
          <w:color w:val="auto"/>
        </w:rPr>
        <w:t xml:space="preserve">benefits of diversification and other statements regarding future growth, plans and objectives of the Company are forward-looking information. Any </w:t>
      </w:r>
      <w:r>
        <w:rPr>
          <w:rFonts w:ascii="Times New Roman" w:cs="Times New Roman" w:eastAsia="Times New Roman" w:hAnsi="Times New Roman"/>
          <w:sz w:val="18"/>
          <w:szCs w:val="18"/>
          <w:i w:val="1"/>
          <w:iCs w:val="1"/>
          <w:color w:val="auto"/>
          <w:highlight w:val="white"/>
        </w:rPr>
        <w:t xml:space="preserve">statements that involve discussions with respect to predictions, expectations, beliefs, plans, projections, objectives, assumptions, future events or </w:t>
      </w:r>
      <w:r>
        <w:rPr>
          <w:rFonts w:ascii="Times New Roman" w:cs="Times New Roman" w:eastAsia="Times New Roman" w:hAnsi="Times New Roman"/>
          <w:sz w:val="18"/>
          <w:szCs w:val="18"/>
          <w:i w:val="1"/>
          <w:iCs w:val="1"/>
          <w:color w:val="auto"/>
        </w:rPr>
        <w:t xml:space="preserve">performance (often but not always using phrases such as “expects”, or “does not expect”, “is expected”, “anticipates” or “does not anticipate”, “plans”, “budget”, “scheduled”, “forecasts”, “estimates”, “prospects”, “believes” or “intends” or variations of such words and phrases or stating that certain </w:t>
      </w:r>
      <w:r>
        <w:rPr>
          <w:rFonts w:ascii="Times New Roman" w:cs="Times New Roman" w:eastAsia="Times New Roman" w:hAnsi="Times New Roman"/>
          <w:sz w:val="18"/>
          <w:szCs w:val="18"/>
          <w:i w:val="1"/>
          <w:iCs w:val="1"/>
          <w:color w:val="auto"/>
          <w:highlight w:val="white"/>
        </w:rPr>
        <w:t>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highlight w:val="white"/>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there is no guarantee that the Company will be able to complete the acquisition of Stronghold Digital Mining, Inc. on the terms as announced,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w:t>
      </w:r>
      <w:r>
        <w:rPr>
          <w:rFonts w:ascii="Times New Roman" w:cs="Times New Roman" w:eastAsia="Times New Roman" w:hAnsi="Times New Roman"/>
          <w:sz w:val="17"/>
          <w:szCs w:val="17"/>
          <w:i w:val="1"/>
          <w:iCs w:val="1"/>
          <w:color w:val="auto"/>
        </w:rPr>
        <w:t>the risk that a material weakness in internal control over financial reporting could result in a misstatement of the Company’s</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 xml:space="preserve">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7"/>
          <w:szCs w:val="17"/>
          <w:i w:val="1"/>
          <w:iCs w:val="1"/>
          <w:color w:val="auto"/>
          <w:highlight w:val="white"/>
        </w:rPr>
        <w:t>any regulations or laws that will prevent Bitfarms from operating its business; historical prices of digital currencies and the ability to mine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color w:val="auto"/>
          <w:highlight w:val="white"/>
        </w:rPr>
        <w:t xml:space="preserve">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w:t>
      </w:r>
      <w:r>
        <w:rPr>
          <w:rFonts w:ascii="Times New Roman" w:cs="Times New Roman" w:eastAsia="Times New Roman" w:hAnsi="Times New Roman"/>
          <w:sz w:val="17"/>
          <w:szCs w:val="17"/>
          <w:i w:val="1"/>
          <w:iCs w:val="1"/>
          <w:color w:val="auto"/>
        </w:rPr>
        <w:t>Trading in the securities of the Company should be considered highly speculative. No stock exchange,</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Stronghold Acquisition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920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i w:val="1"/>
          <w:iCs w:val="1"/>
          <w:color w:val="auto"/>
        </w:rPr>
        <w:t>Investors are urged to read the proxy statement/prospectus (including all amendments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supplements thereto) and other relevant documents filed with the SEC carefully and in their entirety if and when they become available because they will contain important information about the proposed merger and related matters.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84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3840480"/>
                    </a:xfrm>
                    <a:prstGeom prst="rect">
                      <a:avLst/>
                    </a:prstGeom>
                    <a:noFill/>
                  </pic:spPr>
                </pic:pic>
              </a:graphicData>
            </a:graphic>
          </wp:anchor>
        </w:drawing>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Stronghold Acquisition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 connection with the proposed merger, Bitfarms has filed with the SEC a registration statement on Form F-4 on December 19, 2024, which includes a proxy statement of Stronghold that also constitutes a prospectus of Bitfarms.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using the sources indicated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48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19" Type="http://schemas.openxmlformats.org/officeDocument/2006/relationships/hyperlink" Target="http://www.sec.gov/Archives/edgar/data/1812477/000121390024021080/ea0201346-f10a4_bitfarmsltd.htm" TargetMode="External"/><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21390024110699/ea0216025-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2025-01-02T16:32:03Z</dcterms:created>
  <dcterms:modified xsi:type="dcterms:W3CDTF">2025-01-02T16:32:03Z</dcterms:modified>
</cp:coreProperties>
</file>