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For the month of January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BITFARMS LTD.</w:t>
      </w:r>
    </w:p>
    <w:p>
      <w:pPr>
        <w:spacing w:after="0" w:line="45"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18 King Street East, Suite 902, Toronto, Ontario, Canada M5C 1C4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32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11"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January 13, 2023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333-258788).</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9"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Material Change Report dated January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L. Geoffrey Morphy</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13,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MATERIAL CHANGE REPORT</w:t>
      </w:r>
    </w:p>
    <w:p>
      <w:pPr>
        <w:sectPr>
          <w:pgSz w:w="11900" w:h="16838" w:orient="portrait"/>
          <w:cols w:equalWidth="0" w:num="1">
            <w:col w:w="11240"/>
          </w:cols>
          <w:pgMar w:left="320" w:top="117" w:right="339" w:bottom="1440" w:gutter="0" w:footer="0" w:header="0"/>
        </w:sect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and Address of Company</w:t>
      </w:r>
    </w:p>
    <w:p>
      <w:pPr>
        <w:spacing w:after="0" w:line="200" w:lineRule="exact"/>
        <w:rPr>
          <w:sz w:val="20"/>
          <w:szCs w:val="20"/>
          <w:color w:val="auto"/>
        </w:rPr>
      </w:pPr>
    </w:p>
    <w:p>
      <w:pPr>
        <w:sectPr>
          <w:pgSz w:w="11900" w:h="16838" w:orient="portrait"/>
          <w:cols w:equalWidth="0" w:num="2">
            <w:col w:w="580" w:space="720"/>
            <w:col w:w="9940"/>
          </w:cols>
          <w:pgMar w:left="320" w:top="117"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1C4</w:t>
      </w:r>
    </w:p>
    <w:p>
      <w:pPr>
        <w:sectPr>
          <w:pgSz w:w="11900" w:h="16838" w:orient="portrait"/>
          <w:cols w:equalWidth="0" w:num="1">
            <w:col w:w="11240"/>
          </w:cols>
          <w:pgMar w:left="320" w:top="117" w:right="339"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Date of Material Change</w:t>
      </w:r>
    </w:p>
    <w:p>
      <w:pPr>
        <w:spacing w:after="0" w:line="211" w:lineRule="exact"/>
        <w:rPr>
          <w:sz w:val="20"/>
          <w:szCs w:val="20"/>
          <w:color w:val="auto"/>
        </w:rPr>
      </w:pPr>
    </w:p>
    <w:p>
      <w:pPr>
        <w:sectPr>
          <w:pgSz w:w="11900" w:h="16838" w:orient="portrait"/>
          <w:cols w:equalWidth="0" w:num="2">
            <w:col w:w="580" w:space="720"/>
            <w:col w:w="9940"/>
          </w:cols>
          <w:pgMar w:left="320" w:top="117"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January 13, 2023.</w:t>
      </w:r>
    </w:p>
    <w:p>
      <w:pPr>
        <w:sectPr>
          <w:pgSz w:w="11900" w:h="16838" w:orient="portrait"/>
          <w:cols w:equalWidth="0" w:num="1">
            <w:col w:w="11240"/>
          </w:cols>
          <w:pgMar w:left="320" w:top="117"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00" w:lineRule="exact"/>
        <w:rPr>
          <w:sz w:val="20"/>
          <w:szCs w:val="20"/>
          <w:color w:val="auto"/>
        </w:rPr>
      </w:pPr>
    </w:p>
    <w:p>
      <w:pPr>
        <w:sectPr>
          <w:pgSz w:w="11900" w:h="16838" w:orient="portrait"/>
          <w:cols w:equalWidth="0" w:num="2">
            <w:col w:w="580" w:space="720"/>
            <w:col w:w="9940"/>
          </w:cols>
          <w:pgMar w:left="320" w:top="117"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January 13, 2023, by a newswire company in Canada.</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ectPr>
          <w:pgSz w:w="11900" w:h="16838" w:orient="portrait"/>
          <w:cols w:equalWidth="0" w:num="1">
            <w:col w:w="11240"/>
          </w:cols>
          <w:pgMar w:left="320" w:top="117"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Reliance of subsection 7.1(2) of National Instrument 51-102</w:t>
      </w:r>
    </w:p>
    <w:p>
      <w:pPr>
        <w:spacing w:after="0" w:line="200" w:lineRule="exact"/>
        <w:rPr>
          <w:sz w:val="20"/>
          <w:szCs w:val="20"/>
          <w:color w:val="auto"/>
        </w:rPr>
      </w:pPr>
    </w:p>
    <w:p>
      <w:pPr>
        <w:sectPr>
          <w:pgSz w:w="11900" w:h="16838" w:orient="portrait"/>
          <w:cols w:equalWidth="0" w:num="2">
            <w:col w:w="580" w:space="720"/>
            <w:col w:w="9940"/>
          </w:cols>
          <w:pgMar w:left="320" w:top="117"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240"/>
          </w:cols>
          <w:pgMar w:left="320" w:top="117"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Omitted Information</w:t>
      </w:r>
    </w:p>
    <w:p>
      <w:pPr>
        <w:spacing w:after="0" w:line="211" w:lineRule="exact"/>
        <w:rPr>
          <w:sz w:val="20"/>
          <w:szCs w:val="20"/>
          <w:color w:val="auto"/>
        </w:rPr>
      </w:pPr>
    </w:p>
    <w:p>
      <w:pPr>
        <w:sectPr>
          <w:pgSz w:w="11900" w:h="16838" w:orient="portrait"/>
          <w:cols w:equalWidth="0" w:num="2">
            <w:col w:w="580" w:space="720"/>
            <w:col w:w="9940"/>
          </w:cols>
          <w:pgMar w:left="320" w:top="117"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240"/>
          </w:cols>
          <w:pgMar w:left="320" w:top="117"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Officer</w:t>
      </w:r>
    </w:p>
    <w:p>
      <w:pPr>
        <w:spacing w:after="0" w:line="211" w:lineRule="exact"/>
        <w:rPr>
          <w:sz w:val="20"/>
          <w:szCs w:val="20"/>
          <w:color w:val="auto"/>
        </w:rPr>
      </w:pPr>
    </w:p>
    <w:p>
      <w:pPr>
        <w:sectPr>
          <w:pgSz w:w="11900" w:h="16838" w:orient="portrait"/>
          <w:cols w:equalWidth="0" w:num="2">
            <w:col w:w="580" w:space="720"/>
            <w:col w:w="9940"/>
          </w:cols>
          <w:pgMar w:left="320" w:top="117"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Nicolas Bonta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&amp;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nbonta@bitfarms.com</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9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of Report</w:t>
            </w:r>
          </w:p>
        </w:tc>
      </w:tr>
      <w:tr>
        <w:trPr>
          <w:trHeight w:val="43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w w:val="99"/>
              </w:rPr>
              <w:t>January 13, 2023.</w:t>
            </w:r>
          </w:p>
        </w:tc>
        <w:tc>
          <w:tcPr>
            <w:tcW w:w="9940" w:type="dxa"/>
            <w:vAlign w:val="bottom"/>
          </w:tcPr>
          <w:p>
            <w:pPr>
              <w:spacing w:after="0"/>
              <w:rPr>
                <w:sz w:val="24"/>
                <w:szCs w:val="24"/>
                <w:color w:val="auto"/>
              </w:rPr>
            </w:pPr>
          </w:p>
        </w:tc>
      </w:tr>
      <w:tr>
        <w:trPr>
          <w:trHeight w:val="682"/>
        </w:trPr>
        <w:tc>
          <w:tcPr>
            <w:tcW w:w="1300" w:type="dxa"/>
            <w:vAlign w:val="bottom"/>
            <w:tcBorders>
              <w:bottom w:val="single" w:sz="8" w:color="auto"/>
            </w:tcBorders>
          </w:tcPr>
          <w:p>
            <w:pPr>
              <w:spacing w:after="0"/>
              <w:rPr>
                <w:sz w:val="24"/>
                <w:szCs w:val="24"/>
                <w:color w:val="auto"/>
              </w:rPr>
            </w:pPr>
          </w:p>
        </w:tc>
        <w:tc>
          <w:tcPr>
            <w:tcW w:w="9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156845</wp:posOffset>
            </wp:positionV>
            <wp:extent cx="2031365"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Bitfarms Seeks Modification of Equipment Loan Facility to Align with Market Conditions</w:t>
      </w:r>
    </w:p>
    <w:p>
      <w:pPr>
        <w:spacing w:after="0" w:line="200" w:lineRule="exact"/>
        <w:rPr>
          <w:sz w:val="20"/>
          <w:szCs w:val="20"/>
          <w:color w:val="auto"/>
        </w:rPr>
      </w:pPr>
    </w:p>
    <w:p>
      <w:pPr>
        <w:spacing w:after="0" w:line="243" w:lineRule="exact"/>
        <w:rPr>
          <w:sz w:val="20"/>
          <w:szCs w:val="20"/>
          <w:color w:val="auto"/>
        </w:rPr>
      </w:pPr>
    </w:p>
    <w:p>
      <w:pPr>
        <w:ind w:left="660" w:right="760" w:hanging="8"/>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prospectus supplement dated August 16, 2021 to its short form base shelf prospectus dated August 12, 2021.</w:t>
      </w:r>
    </w:p>
    <w:p>
      <w:pPr>
        <w:spacing w:after="0" w:line="15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(January 13, 2023) </w:t>
      </w:r>
      <w:r>
        <w:rPr>
          <w:rFonts w:ascii="Times New Roman" w:cs="Times New Roman" w:eastAsia="Times New Roman" w:hAnsi="Times New Roman"/>
          <w:sz w:val="18"/>
          <w:szCs w:val="18"/>
          <w:color w:val="auto"/>
        </w:rPr>
        <w:t>- Bitfarms Ltd. (“</w:t>
      </w:r>
      <w:r>
        <w:rPr>
          <w:rFonts w:ascii="Times New Roman" w:cs="Times New Roman" w:eastAsia="Times New Roman" w:hAnsi="Times New Roman"/>
          <w:sz w:val="18"/>
          <w:szCs w:val="18"/>
          <w:b w:val="1"/>
          <w:bCs w:val="1"/>
          <w:color w:val="auto"/>
        </w:rPr>
        <w:t>Bitfarms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NASDAQ: BITF // TSX: BITF</w:t>
      </w:r>
      <w:r>
        <w:rPr>
          <w:rFonts w:ascii="Times New Roman" w:cs="Times New Roman" w:eastAsia="Times New Roman" w:hAnsi="Times New Roman"/>
          <w:sz w:val="18"/>
          <w:szCs w:val="18"/>
          <w:color w:val="auto"/>
        </w:rPr>
        <w:t>), a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Bitcoin self-mining company, is working to modify and reduce indebtedness at one of its wholly-owned corporate subsidiaries.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Jeff Lucas, Chief Financial Officer of Bitfarms, stated, “During 2022, Bitfarms began taking proactive actions to increase financial flexibility and to reduce indebtedness and capital expenditure obligations. Considering today’s challenging market conditions, we are seeking to modify our Washington state debt facility to achieve terms that are better aligned with the market outlook and our business strategy.”</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18, 2022, Bitfarms’ Backbone Mining Solutions, Inc. (</w:t>
      </w:r>
      <w:r>
        <w:rPr>
          <w:rFonts w:ascii="Times New Roman" w:cs="Times New Roman" w:eastAsia="Times New Roman" w:hAnsi="Times New Roman"/>
          <w:sz w:val="18"/>
          <w:szCs w:val="18"/>
          <w:b w:val="1"/>
          <w:bCs w:val="1"/>
          <w:color w:val="auto"/>
        </w:rPr>
        <w:t>“BMS”</w:t>
      </w:r>
      <w:r>
        <w:rPr>
          <w:rFonts w:ascii="Times New Roman" w:cs="Times New Roman" w:eastAsia="Times New Roman" w:hAnsi="Times New Roman"/>
          <w:sz w:val="18"/>
          <w:szCs w:val="18"/>
          <w:color w:val="auto"/>
        </w:rPr>
        <w:t>) entered into a $32 million equipment financing facility with BlockFi Lending LLC (“</w:t>
      </w:r>
      <w:r>
        <w:rPr>
          <w:rFonts w:ascii="Times New Roman" w:cs="Times New Roman" w:eastAsia="Times New Roman" w:hAnsi="Times New Roman"/>
          <w:sz w:val="18"/>
          <w:szCs w:val="18"/>
          <w:b w:val="1"/>
          <w:bCs w:val="1"/>
          <w:color w:val="auto"/>
        </w:rPr>
        <w:t>BlockFi</w:t>
      </w:r>
      <w:r>
        <w:rPr>
          <w:rFonts w:ascii="Times New Roman" w:cs="Times New Roman" w:eastAsia="Times New Roman" w:hAnsi="Times New Roman"/>
          <w:sz w:val="18"/>
          <w:szCs w:val="18"/>
          <w:color w:val="auto"/>
        </w:rPr>
        <w:t>”). BMS owns and operates the assets of Bitfarms’ 20-megawatt active crypto mining facility in the State of Washington. The loan is secured by certain assets of BMS, including its miners and certain Bitcoin produced by those miners and is recourse only against BMS. The current market value of the assets securing the loan is estimated by BMS to be approximately $5 million, while the outstanding principal and interest is approximately $20 million. As a result, the Company determined that it would be advisable to seek more favorable terms from BlockFi and potentially take other steps to reduce the BMS obligations. The Company has taken certain actions, and may in the future take other actions, including not making installment payments, that constitute defaults under the loan agreement and entitle BlockFi to exercise various rights and remedies against BMS and in respect of the collateral. Neither a restructuring on more beneficial loan terms nor a reduction in BMS’s indebtedness is assured. BlockFi’s exercise of its rights and remedies against BMS and its collateral could result in additional charges to the Company and potentially even the cessation of operations at the State of Washington facilities.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2022, Bitfarms and its subsidiaries had cash and unencumbered crypto assets with a value of approximately $36 million, which the Company believes provides sufficient liquidity to support ongoing operations for the foreseeable future and to make future payments under its various other loan agreements. Bitfarms and its subsidiaries have approximately $47 million of outstanding indebtedness, including approximately $20 million indebtedness under the BlockFi loan.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-116840</wp:posOffset>
            </wp:positionV>
            <wp:extent cx="7123430"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23430" cy="274320"/>
                    </a:xfrm>
                    <a:prstGeom prst="rect">
                      <a:avLst/>
                    </a:prstGeom>
                    <a:noFill/>
                  </pic:spPr>
                </pic:pic>
              </a:graphicData>
            </a:graphic>
          </wp:anchor>
        </w:drawing>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Founded in 2017, Bitfarms is a global, publicly traded (NASDAQ/TSX: BITF) Bitcoin self-mining company. Bitfarms runs vertically integrated mining operations with in-house management and company-owned electrical engineering, installation service, and onsite technical repair. The Company’s proprietary data analytics system delivers best-in-class operational performance and uptime.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3557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3557905"/>
                    </a:xfrm>
                    <a:prstGeom prst="rect">
                      <a:avLst/>
                    </a:prstGeom>
                    <a:noFill/>
                  </pic:spPr>
                </pic:pic>
              </a:graphicData>
            </a:graphic>
          </wp:anchor>
        </w:drawing>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has 10 mining facilities around the world, which are housed in four countries: Canada, the United States, Paraguay, and Argentina. Powered by predominantly environmentally friendly hydro-electric and long-term power contracts, Bitfarms is committed to using renewable, locally based,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This news release contains certain “forward-looking information” and “forward-looking statements” (collectively, “forward-looking information”) that </w:t>
      </w:r>
      <w:r>
        <w:rPr>
          <w:rFonts w:ascii="Times New Roman" w:cs="Times New Roman" w:eastAsia="Times New Roman" w:hAnsi="Times New Roman"/>
          <w:sz w:val="18"/>
          <w:szCs w:val="18"/>
          <w:i w:val="1"/>
          <w:iCs w:val="1"/>
          <w:color w:val="auto"/>
          <w:highlight w:val="white"/>
        </w:rPr>
        <w:t>are based on expectations, estimates and projections as at the date of this news release and are covered by safe harbors under Canadian and United States securities laws. The statements and information in this release regarding the strategy taken in respect of the BlockFi loan, the benefits of the restructuring of the terms of the BlockFi loan, the ability to service the outstanding indebtedness of the Company, and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highlight w:val="white"/>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BlockFi’s potential exercise of rights and remedies against BMS as a result of defaults under the loan agreement and applicable law, including remedies in respect of its collateral, which could result in additional charges to the Company and the cessation of operations at the State of Washington facilities; potential cross-defaults under other indebtedness of the Company as a result of events of default under the BlockFi loan; the Company’s liquidity generally;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color w:val="auto"/>
          <w:highlight w:val="white"/>
        </w:rPr>
        <w:t xml:space="preserve">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year-ended December 31, 2021, filed on March 28, 2022.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LHA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Barnard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+1 415-433-3777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Actual Agency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 Weaver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+1 339-234-3332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mediarelations@bitfarms.com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Media: 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jpe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19" Type="http://schemas.openxmlformats.org/officeDocument/2006/relationships/hyperlink" Target="http://www.sec.gov/Archives/edgar/data/1812477/000121390021042378/ea145070-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2023-01-13T15:13:51Z</dcterms:created>
  <dcterms:modified xsi:type="dcterms:W3CDTF">2023-01-13T15:13:51Z</dcterms:modified>
</cp:coreProperties>
</file>