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7"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RULE 13a-16 OR 15d-16</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18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For the month of March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BITFARMS LTD.</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110 Yonge Street, Suite 1601, Toronto, Ontario, Canada M5C 1T4</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63" w:lineRule="exact"/>
        <w:rPr>
          <w:sz w:val="24"/>
          <w:szCs w:val="24"/>
          <w:color w:val="auto"/>
        </w:rPr>
      </w:pPr>
    </w:p>
    <w:p>
      <w:pPr>
        <w:ind w:left="4660"/>
        <w:spacing w:after="0" w:line="184" w:lineRule="exact"/>
        <w:tabs>
          <w:tab w:leader="none" w:pos="570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71481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182245</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561340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BITFARMS LTD.</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i w:val="1"/>
          <w:iCs w:val="1"/>
          <w:color w:val="auto"/>
        </w:rPr>
        <w:t>/s/ Rachel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16510</wp:posOffset>
            </wp:positionV>
            <wp:extent cx="257238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8"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Rachel Silverstein</w:t>
      </w:r>
    </w:p>
    <w:p>
      <w:pPr>
        <w:spacing w:after="0" w:line="19"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General Counsel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6, 2026</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6-K EXHIBIT INDEX</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240" w:type="dxa"/>
            <w:vAlign w:val="bottom"/>
          </w:tcPr>
          <w:p>
            <w:pPr>
              <w:spacing w:after="0"/>
              <w:rPr>
                <w:sz w:val="18"/>
                <w:szCs w:val="18"/>
                <w:color w:val="auto"/>
              </w:rPr>
            </w:pPr>
          </w:p>
        </w:tc>
      </w:tr>
      <w:tr>
        <w:trPr>
          <w:trHeight w:val="38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Exhibit No.</w:t>
            </w:r>
          </w:p>
        </w:tc>
        <w:tc>
          <w:tcPr>
            <w:tcW w:w="14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155"/>
        </w:trPr>
        <w:tc>
          <w:tcPr>
            <w:tcW w:w="102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10100" w:type="dxa"/>
            <w:vAlign w:val="bottom"/>
            <w:tcBorders>
              <w:top w:val="single" w:sz="8" w:color="auto"/>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Voting Reminder</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724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40" w:type="dxa"/>
            <w:vAlign w:val="bottom"/>
          </w:tcPr>
          <w:p>
            <w:pPr>
              <w:spacing w:after="0"/>
              <w:rPr>
                <w:sz w:val="13"/>
                <w:szCs w:val="13"/>
                <w:color w:val="auto"/>
              </w:rPr>
            </w:pPr>
          </w:p>
        </w:tc>
        <w:tc>
          <w:tcPr>
            <w:tcW w:w="1010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color w:val="0000EE"/>
              </w:rPr>
              <w:t>Material Change Report dated March 5, 2026</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bl>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 w:name="page4"/>
    <w:bookmarkEnd w:id="3"/>
    <w:p>
      <w:pPr>
        <w:ind w:left="914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925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9250045"/>
                    </a:xfrm>
                    <a:prstGeom prst="rect">
                      <a:avLst/>
                    </a:prstGeom>
                    <a:noFill/>
                  </pic:spPr>
                </pic:pic>
              </a:graphicData>
            </a:graphic>
          </wp:anchor>
        </w:drawing>
      </w:r>
    </w:p>
    <w:p>
      <w:pPr>
        <w:sectPr>
          <w:pgSz w:w="11900" w:h="16838" w:orient="portrait"/>
          <w:cols w:equalWidth="0" w:num="1">
            <w:col w:w="10140"/>
          </w:cols>
          <w:pgMar w:left="1440" w:top="112"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286385</wp:posOffset>
            </wp:positionV>
            <wp:extent cx="7203440" cy="925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03440" cy="925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FORM 51-102F3</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MATERIAL CHANGE REPORT</w:t>
      </w:r>
    </w:p>
    <w:p>
      <w:pPr>
        <w:spacing w:after="0" w:line="18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Item 1</w:t>
        <w:tab/>
        <w:t>Name and Address of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Bitfarms Ltd. (“Bitfarms” or the “Company”)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110 Yonge Street, Suite 1601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Toronto, Ontario M5C 1T4</w:t>
      </w:r>
    </w:p>
    <w:p>
      <w:pPr>
        <w:spacing w:after="0" w:line="18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Item 2</w:t>
        <w:tab/>
        <w:t>Date of Material Change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19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News Release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press release attached as Schedule “A” was released on March 5, 2026 by a newswire company in Canada.</w:t>
      </w:r>
    </w:p>
    <w:p>
      <w:pPr>
        <w:spacing w:after="0" w:line="19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Summary of Material Change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material change is described in the press release attached as Schedule “A”.</w:t>
      </w:r>
    </w:p>
    <w:p>
      <w:pPr>
        <w:spacing w:after="0" w:line="19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Full Description of Material Change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material change is described in the press release attached as Schedule “A”.</w:t>
      </w:r>
    </w:p>
    <w:p>
      <w:pPr>
        <w:spacing w:after="0" w:line="19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Reliance of subsection 7.1(2) of National Instrument 51-102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5"/>
          <w:szCs w:val="15"/>
          <w:b w:val="1"/>
          <w:bCs w:val="1"/>
          <w:color w:val="auto"/>
        </w:rPr>
        <w:t>Omitted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Item 8</w:t>
        <w:tab/>
        <w:t>Executive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Ben Gagnon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Bitfarms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Bgagnon@bitfarms.com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(647) 259-1790</w:t>
      </w:r>
    </w:p>
    <w:p>
      <w:pPr>
        <w:spacing w:after="0" w:line="18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Item 9</w:t>
        <w:tab/>
        <w:t>Date of Report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257810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136525</wp:posOffset>
            </wp:positionV>
            <wp:extent cx="2200275" cy="364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00275" cy="36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Independent Proxy Advisory Firms, Including ISS, Recommend Bitfarms Shareholders Vote FOR U.S. Redomiciliation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Recommendation Highlights Compelling Strategic Rationale for U.S. Redomiciliation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Board of Directors Encourages Shareholders to Vote FOR the Arrangement Resolution Today</w:t>
      </w:r>
    </w:p>
    <w:p>
      <w:pPr>
        <w:spacing w:after="0" w:line="19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TORONTO, Ontario and NEW YORK, March 5, 2026 </w:t>
      </w:r>
      <w:r>
        <w:rPr>
          <w:rFonts w:ascii="Times New Roman" w:cs="Times New Roman" w:eastAsia="Times New Roman" w:hAnsi="Times New Roman"/>
          <w:sz w:val="16"/>
          <w:szCs w:val="16"/>
          <w:color w:val="auto"/>
        </w:rPr>
        <w:t>-- Bitfarms Ltd. (NASDAQ/TSX: BITF) (“Bitfarms” or the “Company”), a North American digital infrastructure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energy company, today announced that the leading independent proxy advisory firms, including Institutional Shareholder Services Inc. (“ISS”), have recommended shareholders vote FOR the special resolution (the “Arrangement Resolution”) to approve Bitfarms’ U.S. redomiciliation (the “U.S. Redomiciliation”) ahead of the Company’s upcoming special meeting of shareholders (the “Meeting”) to be held at 9:00 a.m. (Eastern Time) on March 20,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its report, ISS noted*:</w:t>
      </w:r>
    </w:p>
    <w:p>
      <w:pPr>
        <w:spacing w:after="0" w:line="198" w:lineRule="exact"/>
        <w:rPr>
          <w:sz w:val="20"/>
          <w:szCs w:val="20"/>
          <w:color w:val="auto"/>
        </w:rPr>
      </w:pPr>
    </w:p>
    <w:p>
      <w:pPr>
        <w:ind w:left="560" w:right="20"/>
        <w:spacing w:after="0" w:line="280" w:lineRule="auto"/>
        <w:rPr>
          <w:sz w:val="20"/>
          <w:szCs w:val="20"/>
          <w:color w:val="auto"/>
        </w:rPr>
      </w:pPr>
      <w:r>
        <w:rPr>
          <w:rFonts w:ascii="Times New Roman" w:cs="Times New Roman" w:eastAsia="Times New Roman" w:hAnsi="Times New Roman"/>
          <w:sz w:val="16"/>
          <w:szCs w:val="16"/>
          <w:color w:val="auto"/>
        </w:rPr>
        <w:t>“The company presents a strong economic rationale for the Redomiciliation: better access to U.S. capital, potential inclusion in additional indices, mitigation of regulatory and political risk, alignment with U.S. shareholder and customer requirements, and the transition from foreign private issuer to domestic SEC filer status.”</w:t>
      </w:r>
    </w:p>
    <w:p>
      <w:pPr>
        <w:spacing w:after="0" w:line="14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CEO Ben Gagnon said, “We are pleased that ISS supports our Board’s unanimous recommendation that shareholders vote to approve our U.S. redomiciliation plan. ISS’s report is an endorsement of the compelling strategic rationale for this transition and the value creation opportunities it will unlock as we complete our transformation from an international Bitcoin miner to a North American digital infrastructure and energy company, Keel Infrastructure. With the Meeting fast approaching, the Board urges shareholders to cast their votes FOR the Arrangement Resolution today.”</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Your Vote is Important – No Matter How Many Shares You Own</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Arrangement Resolution requires approval by at least two-thirds of the votes cast at the Meeting. Shareholders can access the Meeting by visiting https://virtual-meetings.tsxtrust.com/1891 (password: bitfarms2026). The Company has fixed the close of business on February 13, 2026, as the record date for determining those shareholders entitled to receive notice of and to vote at the Meeting. Even if you plan to attend the Meeting, the Company recommends that you vote your shares in advance of the proxy deadline of 9:00 a.m. (Eastern Time) on March 18, 2026.</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Additional details about how to vote can be found in the management information circular (the “Circular”) and related documents that have been mailed to shareholders, filed with the Canadian securities regulatory authorities and made available under the Company’s SEDAR+ and EDGAR profiles at www.sedarplus.com, and www.sec.gov. The Circular can also be accessed at investor.bitfarms.com/bitfarms-us-redomiciliation.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 w:name="page8"/>
    <w:bookmarkEnd w:id="7"/>
    <w:p>
      <w:pPr>
        <w:jc w:val="both"/>
        <w:ind w:left="4"/>
        <w:spacing w:after="0" w:line="259" w:lineRule="auto"/>
        <w:rPr>
          <w:sz w:val="20"/>
          <w:szCs w:val="20"/>
          <w:color w:val="auto"/>
        </w:rPr>
      </w:pPr>
      <w:r>
        <w:rPr>
          <w:rFonts w:ascii="Times New Roman" w:cs="Times New Roman" w:eastAsia="Times New Roman" w:hAnsi="Times New Roman"/>
          <w:sz w:val="16"/>
          <w:szCs w:val="16"/>
          <w:color w:val="auto"/>
        </w:rPr>
        <w:t>If you need assistance or have questions about how to vote your shares, Bitfarms’ proxy solicitation agents are standing by to help. Shareholders in Canada can contact Laurel Hill Advisory Group by phone at 1-877-452-7184 (North American toll free) or 416-304-0211 (outside North America), by texting “INFO” to either number, or by email at assistance@laurelhill.com. Shareholders outside of Canada can contact Innisfree M&amp;A Incorporated by phone at 1-877-687-1871 (for U.S. and Canada toll free) or 412-232-3651 (other countries).</w:t>
      </w:r>
    </w:p>
    <w:p>
      <w:pPr>
        <w:spacing w:after="0" w:line="162"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 terms and conditions of the U.S. Redomiciliation have been disclosed in further detail in the Circular. Shareholders are encouraged to carefully read the Circular in its entirety.</w:t>
      </w:r>
    </w:p>
    <w:p>
      <w:pPr>
        <w:spacing w:after="0" w:line="144" w:lineRule="exact"/>
        <w:rPr>
          <w:sz w:val="20"/>
          <w:szCs w:val="20"/>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Permission to use quotations was neither sought nor obtained.</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About Bitfarms Ltd.</w:t>
      </w:r>
    </w:p>
    <w:p>
      <w:pPr>
        <w:spacing w:after="0" w:line="200"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Bitfarms is a North American digital infrastructure and energy company that develops, owns, and operates data centers and energy infrastructure for high-performance computing and next-generation-technology applications, including artificial intelligence. We currently maintain our legacy North American Bitcoin mining operations to fund our development.</w:t>
      </w:r>
    </w:p>
    <w:p>
      <w:pPr>
        <w:spacing w:after="0" w:line="155"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Bitfarms’ 2.1 GW North American energy portfolio is comprised of energized, under development, and pipeline MW, located in established data center clusters, with robust access to power and fiber infrastructure.</w:t>
      </w: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Bitfarms is headquartered in New York, NY and Toronto, ON and traded on the Nasdaq and Toronto Stock Exchange.</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To learn more about Bitfarms’ events, developments, and online communities:</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www.bitfarms.com</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http://x.com/Bitfarms io</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https://www.linkedin.com/company/bitfarms/</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20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U.S. Redomiciliation, the benefits of the U.S. Redomiciliation, the timing of the Meeting, and other statements regarding future growth, plans and objectives of Bitfarms are forward-looking information.</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anticipated benefits of the U.S. Redomiciliation, including, but not limited to, expanded access to new capital pools, increased eligibility for index inclusion, strengthened commercial positioning with governmental bodies, utility partners and potential customers, enhanced alignment with U.S. customer requirements for data centers, reduced regulatory and political risk related to critical infrastructure and sensitive-data businesses, greater familiarity of Delaware law to U.S. investors and simplified comparison to other U.S. companies and peers, may not be realized or may not meet the expectations of the Company, may not occur at all, and may have unanticipated costs for the Company; the anticipated benefits of a recommendation of ISS in favor of the Arrangement Resolution may not be realized; failure to obtain required shareholder, and court approval in a timely manner or on conditions acceptable to the Company or the failure of the U.S. Redomiciliation to be completed for any other reasons (or to be completed in a timely manner); incurrence of costs associated with the U.S. Redomiciliation beyond those estimated; unanticipated adverse tax consequences to the Company and Keel Infrastructure in connection with the U.S. Redomiciliation; the impact on the announcement and pendency of the U.S. Redomiciliation on the Company’s business, results of operations and financial conditions; the anticipated benefits of the rebalancing of operations to North America and the North American energy and compute infrastructure strategy may not be realized or the realization of such benefits may be delayed; an inability to apply the Company’s data centers to HPC/AI opportunities on a profitable basis; a failure to secure long-term contracts associated with HPC/AI customers on terms which are economic or at all; the construction and operation of new facilities may not occur as currently planned, or at all; expansion of existing facilities may not materialize as currently anticipated, or at all; the construction and operation of new facilities may not occur as currently planned, or at all; expansion of existing facilities may not materialize as currently anticipated, or at all;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as well as capital market conditions in general; share dilution resulting from equity issuances;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at www.sec.gov), including the Company’s annual information form for the year ended December 31, 2024, management’s discussion &amp; analysis for the year-ended December 31, 2024 and management’s discussion and analysis for the three and nine months ended September 30, 2025.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TSX, Nasdaq, or any other securities exchange or regulatory authority accepts responsibility for the adequacy or accuracy of this release.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tc>
        <w:tc>
          <w:tcPr>
            <w:tcW w:w="754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Media Contact:</w:t>
            </w:r>
          </w:p>
        </w:tc>
      </w:tr>
      <w:tr>
        <w:trPr>
          <w:trHeight w:val="366"/>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Laine Yonker</w:t>
            </w:r>
          </w:p>
        </w:tc>
        <w:tc>
          <w:tcPr>
            <w:tcW w:w="754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Tara Goldstein</w:t>
            </w:r>
          </w:p>
        </w:tc>
      </w:tr>
      <w:tr>
        <w:trPr>
          <w:trHeight w:val="208"/>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investors@bitfarms.com</w:t>
            </w:r>
          </w:p>
        </w:tc>
        <w:tc>
          <w:tcPr>
            <w:tcW w:w="754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media@bitfarms.com</w:t>
            </w:r>
          </w:p>
        </w:tc>
      </w:tr>
      <w:tr>
        <w:trPr>
          <w:trHeight w:val="577"/>
        </w:trPr>
        <w:tc>
          <w:tcPr>
            <w:tcW w:w="372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jc w:val="right"/>
              <w:ind w:right="5520"/>
              <w:spacing w:after="0"/>
              <w:rPr>
                <w:sz w:val="20"/>
                <w:szCs w:val="20"/>
                <w:color w:val="auto"/>
              </w:rPr>
            </w:pPr>
            <w:r>
              <w:rPr>
                <w:rFonts w:ascii="Times New Roman" w:cs="Times New Roman" w:eastAsia="Times New Roman" w:hAnsi="Times New Roman"/>
                <w:sz w:val="16"/>
                <w:szCs w:val="16"/>
                <w:color w:val="auto"/>
              </w:rPr>
              <w:t>4</w:t>
            </w:r>
          </w:p>
        </w:tc>
      </w:tr>
    </w:tbl>
    <w:p>
      <w:pPr>
        <w:spacing w:after="0" w:line="1" w:lineRule="exact"/>
        <w:rPr>
          <w:sz w:val="20"/>
          <w:szCs w:val="20"/>
          <w:color w:val="auto"/>
        </w:rPr>
      </w:pPr>
    </w:p>
    <w:sectPr>
      <w:pgSz w:w="11900" w:h="16838" w:orient="portrait"/>
      <w:cols w:equalWidth="0" w:num="1">
        <w:col w:w="11260"/>
      </w:cols>
      <w:pgMar w:left="320" w:top="8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2026-03-06T16:13:53Z</dcterms:created>
  <dcterms:modified xsi:type="dcterms:W3CDTF">2026-03-06T16:13:53Z</dcterms:modified>
</cp:coreProperties>
</file>