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SECURITIES AND EXCHANGE COMMISSION</w:t>
      </w: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For the month of March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BITFARMS LTD.</w:t>
      </w:r>
    </w:p>
    <w:p>
      <w:pPr>
        <w:spacing w:after="0" w:line="1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320"/>
        <w:spacing w:after="0" w:line="207" w:lineRule="exact"/>
        <w:tabs>
          <w:tab w:leader="none" w:pos="58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4"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11, 2022,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Form F-10 (File No. 333-258788).</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Exhibits</w:t>
      </w:r>
    </w:p>
    <w:p>
      <w:pPr>
        <w:spacing w:after="0" w:line="225"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20"/>
        <w:spacing w:after="0"/>
        <w:tabs>
          <w:tab w:leader="none" w:pos="12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Material Change Report dated March 11,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2022</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904" w:right="9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51-102F3</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ectPr>
          <w:pgSz w:w="11900" w:h="16838" w:orient="portrait"/>
          <w:cols w:equalWidth="0" w:num="1">
            <w:col w:w="11240"/>
          </w:cols>
          <w:pgMar w:left="320" w:top="112" w:right="3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 of Material Change</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March 11, 2022.</w:t>
      </w:r>
    </w:p>
    <w:p>
      <w:pPr>
        <w:sectPr>
          <w:pgSz w:w="11900" w:h="16838" w:orient="portrait"/>
          <w:cols w:equalWidth="0" w:num="1">
            <w:col w:w="11240"/>
          </w:cols>
          <w:pgMar w:left="320" w:top="112"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News Release</w:t>
      </w:r>
    </w:p>
    <w:p>
      <w:pPr>
        <w:spacing w:after="0" w:line="222"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The press release attached as Schedule “A” was released on March 11, 2022 by a newswire company in Canada.</w:t>
      </w:r>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ectPr>
          <w:pgSz w:w="11900" w:h="16838" w:orient="portrait"/>
          <w:cols w:equalWidth="0" w:num="1">
            <w:col w:w="11240"/>
          </w:cols>
          <w:pgMar w:left="320" w:top="112"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Reliance of subsection 7.1(2) of National Instrument 51-102</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12"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Omitted Information</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12"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Executive Chairman &amp; Director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nbonta@bitfarms.com</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March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 w:name="page5"/>
    <w:bookmarkEnd w:id="4"/>
    <w:p>
      <w:pPr>
        <w:jc w:val="center"/>
        <w:ind w:right="-99"/>
        <w:spacing w:after="0"/>
        <w:rPr>
          <w:sz w:val="20"/>
          <w:szCs w:val="20"/>
          <w:color w:val="auto"/>
        </w:rPr>
      </w:pPr>
      <w:r>
        <w:rPr>
          <w:rFonts w:ascii="Arial" w:cs="Arial" w:eastAsia="Arial" w:hAnsi="Arial"/>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151765</wp:posOffset>
            </wp:positionV>
            <wp:extent cx="2065655" cy="5575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6565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Bitfarms Acquires Additional Location in Sherbrooke, Québec</w:t>
      </w:r>
    </w:p>
    <w:p>
      <w:pPr>
        <w:spacing w:after="0" w:line="229" w:lineRule="exact"/>
        <w:rPr>
          <w:sz w:val="20"/>
          <w:szCs w:val="20"/>
          <w:color w:val="auto"/>
        </w:rPr>
      </w:pPr>
    </w:p>
    <w:p>
      <w:pPr>
        <w:jc w:val="center"/>
        <w:ind w:right="760"/>
        <w:spacing w:after="0" w:line="277" w:lineRule="auto"/>
        <w:rPr>
          <w:sz w:val="20"/>
          <w:szCs w:val="20"/>
          <w:color w:val="auto"/>
        </w:rPr>
      </w:pPr>
      <w:r>
        <w:rPr>
          <w:rFonts w:ascii="Arial" w:cs="Arial" w:eastAsia="Arial" w:hAnsi="Arial"/>
          <w:sz w:val="18"/>
          <w:szCs w:val="18"/>
          <w:i w:val="1"/>
          <w:iCs w:val="1"/>
          <w:color w:val="auto"/>
        </w:rPr>
        <w:t>This news release constitutes a “designated news release” for the purposes of the Company’s prospectus supplement dated August 16, 2021 to its short form base shelf prospectus dated August 12, 2021.</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Toronto, Ontario and Brossard, Québec (March 11, 2022) </w:t>
      </w:r>
      <w:r>
        <w:rPr>
          <w:rFonts w:ascii="Arial" w:cs="Arial" w:eastAsia="Arial" w:hAnsi="Arial"/>
          <w:sz w:val="18"/>
          <w:szCs w:val="18"/>
          <w:color w:val="auto"/>
        </w:rPr>
        <w:t>- Bitfarms Ltd. (“</w:t>
      </w:r>
      <w:r>
        <w:rPr>
          <w:rFonts w:ascii="Arial" w:cs="Arial" w:eastAsia="Arial" w:hAnsi="Arial"/>
          <w:sz w:val="18"/>
          <w:szCs w:val="18"/>
          <w:b w:val="1"/>
          <w:bCs w:val="1"/>
          <w:color w:val="auto"/>
        </w:rPr>
        <w:t>Bitfarms</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w:t>
      </w:r>
      <w:r>
        <w:rPr>
          <w:rFonts w:ascii="Arial" w:cs="Arial" w:eastAsia="Arial" w:hAnsi="Arial"/>
          <w:sz w:val="18"/>
          <w:szCs w:val="18"/>
          <w:u w:val="single" w:color="auto"/>
          <w:color w:val="auto"/>
        </w:rPr>
        <w:t>NASDAQ: BITF // TSXV: BITF</w:t>
      </w:r>
      <w:r>
        <w:rPr>
          <w:rFonts w:ascii="Arial" w:cs="Arial" w:eastAsia="Arial" w:hAnsi="Arial"/>
          <w:sz w:val="18"/>
          <w:szCs w:val="18"/>
          <w:color w:val="auto"/>
        </w:rPr>
        <w:t>), a global</w:t>
      </w:r>
      <w:r>
        <w:rPr>
          <w:rFonts w:ascii="Arial" w:cs="Arial" w:eastAsia="Arial" w:hAnsi="Arial"/>
          <w:sz w:val="18"/>
          <w:szCs w:val="18"/>
          <w:b w:val="1"/>
          <w:bCs w:val="1"/>
          <w:color w:val="auto"/>
        </w:rPr>
        <w:t xml:space="preserve"> </w:t>
      </w:r>
      <w:r>
        <w:rPr>
          <w:rFonts w:ascii="Arial" w:cs="Arial" w:eastAsia="Arial" w:hAnsi="Arial"/>
          <w:sz w:val="18"/>
          <w:szCs w:val="18"/>
          <w:color w:val="auto"/>
        </w:rPr>
        <w:t>Bitcoin self-mining company, has acquired land and a building in Sherbrooke, Québec. This new location, known as Garlock, is expected to have a power capacity of 18 megawatts (MW) and will replace the existing de la Pointe facility, which will eventually be retired as previously announced in the Company’s press release dated September 7, 2021. Farms in development increases from three to four.</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“When completed, total planned capacity of our three Sherbrooke farms, which also include Leger and The Bunker, will fully utilize Hydro-Sherbrooke’s contracted power of 96 MW. The new farm is part of our commitment with the City of Sherbrooke to re-locate production and phase out our de la Pointe facility,” said Geoff Morphy, President and COO of Bitfarms. “As we have done with our other locations, Garlock will be outfitted with the latest in sound reduction and monitoring technology. We expect a smooth transition in production as we work to bring the farm fully online in the first quarter of 2023, at which point operations at the de la Pointe facility will be closed and the facility will be sold.”</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total purchase price of the Garlock location consists of cash in the amount of C$2.25 million and 25,000 common share purchase warrants (the “</w:t>
      </w:r>
      <w:r>
        <w:rPr>
          <w:rFonts w:ascii="Arial" w:cs="Arial" w:eastAsia="Arial" w:hAnsi="Arial"/>
          <w:sz w:val="18"/>
          <w:szCs w:val="18"/>
          <w:b w:val="1"/>
          <w:bCs w:val="1"/>
          <w:color w:val="auto"/>
        </w:rPr>
        <w:t>Warrants</w:t>
      </w:r>
      <w:r>
        <w:rPr>
          <w:rFonts w:ascii="Arial" w:cs="Arial" w:eastAsia="Arial" w:hAnsi="Arial"/>
          <w:sz w:val="18"/>
          <w:szCs w:val="18"/>
          <w:color w:val="auto"/>
        </w:rPr>
        <w:t>”). Each Warrant will entitle the holder there of to purchase one common share of Bitfarms at a price of US$3.47 (CAD$4.43) for two years from the date of issuance.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new facility will benefit from Bitfarms’ existing cost-effective contracts that supply green hydro power at an average cost of US four cents per kilowatt hour.</w:t>
      </w: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Bitfarms Ltd.</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Founded in 2017, Bitfarms is a global Bitcoin self-mining company, running vertically integrated mining operations with onsite technical repair, proprietary data analytics and Company-owned electrical engineering and installation services to deliver high operational performance and uptime.</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 On June 21, 2021, Bitfarms started trading on the Nasdaq Stock Market. On February 24, 2022, the Company was further honoured by the TSX-V as a Venture 50 Winner, placing first in the Technology sector.</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Operationally, Bitfarms has a diversified production platform with five industrial scale facilities located in Québec, one in Washington state, and one in Paraguay. Each facility is over 99% powered with environmentally friendly hydro power and secured with long-term power contracts. Bitfarms is currently the only publicly traded pure-play crypto mining company audited by a Big Four accounting firm.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Nasdaq, or any other securities exchange or regulatory authority accepts responsibility for the adequacy or accuracy of this release.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information in this release regarding the completion and operation of the Garlock facility, its future rate of Bitcoin production, including the rate of production from any prospective property or properties not yet brought into operation, its future accumulation of Bitcoin, its expansion plans, and about other future plans and objectives of the Company are forward-looking information. Other forward-looking information includes, but is not limited to, information concerning: the intentions, plans and future actions of the Company, as well as Bitfarms’ ability to successfully mine Bitcoin, both from its currently operational facilities and not yet operational acquisitions,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6" w:name="page7"/>
    <w:bookmarkEnd w:id="6"/>
    <w:p>
      <w:pPr>
        <w:jc w:val="both"/>
        <w:spacing w:after="0" w:line="257"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18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inability to establish operations at the recently acquired land and building on a timely basis or at all with the expected rates of production,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 ended December 31, 2020, filed on April 7, 2021.</w:t>
      </w:r>
    </w:p>
    <w:p>
      <w:pPr>
        <w:spacing w:after="0" w:line="3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7" w:name="page8"/>
    <w:bookmarkEnd w:id="7"/>
    <w:p>
      <w:pPr>
        <w:jc w:val="both"/>
        <w:spacing w:after="0" w:line="255" w:lineRule="auto"/>
        <w:rPr>
          <w:sz w:val="20"/>
          <w:szCs w:val="20"/>
          <w:color w:val="auto"/>
        </w:rPr>
      </w:pPr>
      <w:r>
        <w:rPr>
          <w:rFonts w:ascii="Arial" w:cs="Arial" w:eastAsia="Arial" w:hAnsi="Arial"/>
          <w:sz w:val="18"/>
          <w:szCs w:val="18"/>
          <w:color w:val="auto"/>
        </w:rPr>
        <w:t>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applicable securities law.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LHA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Barnard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+1 415-433-3777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Mia Grodsky, Account Executive mia@yapglobal.com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Valérie Pomerleau, Public Affairs and Communications valerie@ryanap.com</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40"/>
      </w:cols>
      <w:pgMar w:left="320" w:top="90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2022-03-14T05:18:25Z</dcterms:created>
  <dcterms:modified xsi:type="dcterms:W3CDTF">2022-03-14T05:18:25Z</dcterms:modified>
</cp:coreProperties>
</file>