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165735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71120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3"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151765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360680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386080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746125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56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ind w:right="280"/>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July 28,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w:t>
      </w:r>
      <w:hyperlink r:id="rId19">
        <w:r>
          <w:rPr>
            <w:rFonts w:ascii="Times New Roman" w:cs="Times New Roman" w:eastAsia="Times New Roman" w:hAnsi="Times New Roman"/>
            <w:sz w:val="18"/>
            <w:szCs w:val="18"/>
            <w:color w:val="auto"/>
          </w:rPr>
          <w:t xml:space="preserve">reference into the Registration Statements of Bitfarms Ltd. on </w:t>
        </w:r>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color w:val="auto"/>
          </w:rPr>
          <w:t xml:space="preserve"> (File No. 333-272989) and Form S-8 (File No. </w:t>
        </w:r>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color w:val="auto"/>
          </w:rPr>
          <w:t xml:space="preserve"> and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285894</w:t>
        </w:r>
        <w:r>
          <w:rPr>
            <w:rFonts w:ascii="Times New Roman" w:cs="Times New Roman" w:eastAsia="Times New Roman" w:hAnsi="Times New Roman"/>
            <w:sz w:val="18"/>
            <w:szCs w:val="18"/>
            <w:color w:val="000000"/>
          </w:rPr>
          <w:t>), each as amended or supplemented.</w:t>
        </w:r>
      </w:hyperlink>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200" w:type="dxa"/>
            <w:vAlign w:val="bottom"/>
          </w:tcPr>
          <w:p>
            <w:pPr>
              <w:spacing w:after="0"/>
              <w:rPr>
                <w:sz w:val="20"/>
                <w:szCs w:val="20"/>
                <w:color w:val="auto"/>
              </w:rPr>
            </w:pPr>
          </w:p>
        </w:tc>
        <w:tc>
          <w:tcPr>
            <w:tcW w:w="668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July 28, 2025</w:t>
            </w:r>
          </w:p>
        </w:tc>
      </w:tr>
      <w:tr>
        <w:trPr>
          <w:trHeight w:val="412"/>
        </w:trPr>
        <w:tc>
          <w:tcPr>
            <w:tcW w:w="1360" w:type="dxa"/>
            <w:vAlign w:val="bottom"/>
            <w:tcBorders>
              <w:top w:val="single" w:sz="8" w:color="CCEEFF"/>
              <w:bottom w:val="single" w:sz="8" w:color="auto"/>
            </w:tcBorders>
          </w:tcPr>
          <w:p>
            <w:pPr>
              <w:spacing w:after="0"/>
              <w:rPr>
                <w:sz w:val="24"/>
                <w:szCs w:val="24"/>
                <w:color w:val="auto"/>
              </w:rPr>
            </w:pPr>
          </w:p>
        </w:tc>
        <w:tc>
          <w:tcPr>
            <w:tcW w:w="3200" w:type="dxa"/>
            <w:vAlign w:val="bottom"/>
            <w:tcBorders>
              <w:top w:val="single" w:sz="8" w:color="0000EE"/>
              <w:bottom w:val="single" w:sz="8" w:color="auto"/>
            </w:tcBorders>
          </w:tcPr>
          <w:p>
            <w:pPr>
              <w:spacing w:after="0"/>
              <w:rPr>
                <w:sz w:val="24"/>
                <w:szCs w:val="24"/>
                <w:color w:val="auto"/>
              </w:rPr>
            </w:pPr>
          </w:p>
        </w:tc>
        <w:tc>
          <w:tcPr>
            <w:tcW w:w="66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0" w:right="3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1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864" w:right="11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28,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July 28, 2025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46888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4688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Announces Second Principal Executive Office in NYC and Initiates Conversion to U.S. GAAP</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Toronto, Ontario and New York, New York (July 28, 2025) </w:t>
      </w:r>
      <w:r>
        <w:rPr>
          <w:rFonts w:ascii="Times New Roman" w:cs="Times New Roman" w:eastAsia="Times New Roman" w:hAnsi="Times New Roman"/>
          <w:sz w:val="18"/>
          <w:szCs w:val="18"/>
          <w:color w:val="auto"/>
        </w:rPr>
        <w:t>- Bitfarms Ltd. (Nasdaq/TSX: BITF) (the “Company”), a global energy and compute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company, today announced that the New York City office it acquired as part of the previous acquisition of Stronghold Digital Mining, Inc. will be identified as Bitfarms’ second Principal Executive Office (“PEO”) in its filings with the securities commissions in Canada and with the United States Securities and Exchange Commission. The Company is also planning to prepare its financial statements under U.S. Generally Accepted Accounting Principles (“U.S. GAAP”) to better align with other companies within their industry. This transition from IFRS Accounting Standards to U.S. GAAP is expected to commence with the annual consolidated financial statements for the fiscal year ending December 31, 2025.</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CEO Ben Gagnon stated, “I am excited to announce Bitfarms’ Principal Executive Office in New York City and our conversion to U.S. GAAP reporting. Building off the successful rebalancing of our energy portfolio to ~70% North American MWs in Q1, these initiatives further advance our U.S. pivot and align with our HPC/AI growth strategy. Maintaining a U.S.-based PEO and transitioning to U.S. GAAP is expected to simplify our reporting processes, reduce administrative and legal costs, broaden our U.S. investor base, and improve our eligibility for inclusion in certain stock indices, among other potential benefits. We believe this strategic transition will better position Bitfarms to execute our HPC/AI growth strategy, driving improved operational efficiencies and maximizing shareholder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is a North American energy and compute infrastructure company that develops, owns, and operates vertically integrated data centers. Bitfarms currently operates 15 data centers situated in four countries, which currently mine Bitcoin: the United States, Canada, Argentina and Paraguay.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benefits of a second Principal Executive Office in the U.S. and the transition to reporting financial results under U.S. Generally Accepted Accounting Principles, the North American energy and compute infrastructure strategy, opportunities relating to the Company’s HPC/AI strategy, the Company’s ability to drive greater shareholder value, growth opportunities and prospects for the Company, and other statements regarding future growth, plans and objectives of the Company are forward-looking information.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the risk that the anticipated benefits of a second Principal Executive Office fail to materialize in a timely manner or at all; the risk that the Company’s transition to reporting financial results under U.S. GAAP will require more time or cost more than anticipated, or fail to occur at all;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Panther Creek location related milestones which are conditions to loan drawdowns under the Macquarie Group financing facility; an inability to deploy the proceeds of the Macquarie Group financing facility to generate positive returns at the Panther Creek location;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risks relating to lawsuits and other legal proceedings and challenges;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three months ended March 31,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lyonker@bitfarms.com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38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19" Type="http://schemas.openxmlformats.org/officeDocument/2006/relationships/hyperlink" Target="https://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2025-07-29T05:17:27Z</dcterms:created>
  <dcterms:modified xsi:type="dcterms:W3CDTF">2025-07-29T05:17:27Z</dcterms:modified>
</cp:coreProperties>
</file>