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8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For the month of July,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001-40370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BITFARMS LTD.</w:t>
      </w:r>
    </w:p>
    <w:p>
      <w:pPr>
        <w:spacing w:after="0" w:line="39"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18 King Street East, Suite 902, Toronto, Ontario, Canada M5C 1C4</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320"/>
        <w:spacing w:after="0" w:line="207" w:lineRule="exact"/>
        <w:tabs>
          <w:tab w:leader="none" w:pos="588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556260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490" w:right="1440" w:bottom="1440" w:gutter="0" w:footer="0" w:header="0"/>
        </w:sectPr>
      </w:pPr>
    </w:p>
    <w:bookmarkStart w:id="1" w:name="page2"/>
    <w:bookmarkEnd w:id="1"/>
    <w:p>
      <w:pPr>
        <w:ind w:right="540"/>
        <w:spacing w:after="0" w:line="308" w:lineRule="auto"/>
        <w:rPr>
          <w:sz w:val="20"/>
          <w:szCs w:val="20"/>
          <w:color w:val="auto"/>
        </w:rPr>
      </w:pPr>
      <w:r>
        <w:rPr>
          <w:rFonts w:ascii="Arial" w:cs="Arial" w:eastAsia="Arial" w:hAnsi="Arial"/>
          <w:sz w:val="17"/>
          <w:szCs w:val="17"/>
          <w:color w:val="auto"/>
        </w:rPr>
        <w:t>On July 14, 2021, the Registrant filed with the Canadian Securities Regulatory Authorities on the System for Electronic Data Analysis and Retrieval (SEDAR) a press release, a copy of which is attached hereto as Exhibit 99.1, and which is incorporated herein by reference.</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tcPr>
          <w:p>
            <w:pPr>
              <w:spacing w:after="0"/>
              <w:rPr>
                <w:sz w:val="20"/>
                <w:szCs w:val="20"/>
                <w:color w:val="auto"/>
              </w:rPr>
            </w:pPr>
            <w:r>
              <w:rPr>
                <w:rFonts w:ascii="Arial" w:cs="Arial" w:eastAsia="Arial" w:hAnsi="Arial"/>
                <w:sz w:val="18"/>
                <w:szCs w:val="18"/>
                <w:b w:val="1"/>
                <w:bCs w:val="1"/>
                <w:color w:val="auto"/>
              </w:rPr>
              <w:t>Exhibits</w:t>
            </w:r>
          </w:p>
        </w:tc>
        <w:tc>
          <w:tcPr>
            <w:tcW w:w="2440" w:type="dxa"/>
            <w:vAlign w:val="bottom"/>
          </w:tcPr>
          <w:p>
            <w:pPr>
              <w:spacing w:after="0"/>
              <w:rPr>
                <w:sz w:val="20"/>
                <w:szCs w:val="20"/>
                <w:color w:val="auto"/>
              </w:rPr>
            </w:pPr>
          </w:p>
        </w:tc>
        <w:tc>
          <w:tcPr>
            <w:tcW w:w="7440" w:type="dxa"/>
            <w:vAlign w:val="bottom"/>
          </w:tcPr>
          <w:p>
            <w:pPr>
              <w:spacing w:after="0"/>
              <w:rPr>
                <w:sz w:val="20"/>
                <w:szCs w:val="20"/>
                <w:color w:val="auto"/>
              </w:rPr>
            </w:pPr>
          </w:p>
        </w:tc>
      </w:tr>
      <w:tr>
        <w:trPr>
          <w:trHeight w:val="432"/>
        </w:trPr>
        <w:tc>
          <w:tcPr>
            <w:tcW w:w="1360" w:type="dxa"/>
            <w:vAlign w:val="bottom"/>
          </w:tcPr>
          <w:p>
            <w:pPr>
              <w:spacing w:after="0"/>
              <w:rPr>
                <w:sz w:val="20"/>
                <w:szCs w:val="20"/>
                <w:color w:val="auto"/>
              </w:rPr>
            </w:pPr>
            <w:r>
              <w:rPr>
                <w:rFonts w:ascii="Arial" w:cs="Arial" w:eastAsia="Arial" w:hAnsi="Arial"/>
                <w:sz w:val="18"/>
                <w:szCs w:val="18"/>
                <w:color w:val="auto"/>
              </w:rPr>
              <w:t>Exhibit No.</w:t>
            </w:r>
          </w:p>
        </w:tc>
        <w:tc>
          <w:tcPr>
            <w:tcW w:w="98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16"/>
        </w:trPr>
        <w:tc>
          <w:tcPr>
            <w:tcW w:w="13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7440" w:type="dxa"/>
            <w:vAlign w:val="bottom"/>
          </w:tcPr>
          <w:p>
            <w:pPr>
              <w:spacing w:after="0"/>
              <w:rPr>
                <w:sz w:val="18"/>
                <w:szCs w:val="18"/>
                <w:color w:val="auto"/>
              </w:rPr>
            </w:pPr>
          </w:p>
        </w:tc>
      </w:tr>
      <w:tr>
        <w:trPr>
          <w:trHeight w:val="196"/>
        </w:trPr>
        <w:tc>
          <w:tcPr>
            <w:tcW w:w="13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99.1</w:t>
            </w:r>
          </w:p>
        </w:tc>
        <w:tc>
          <w:tcPr>
            <w:tcW w:w="9880" w:type="dxa"/>
            <w:vAlign w:val="bottom"/>
            <w:gridSpan w:val="2"/>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Press Release dated July 14, 2021</w:t>
              </w:r>
            </w:hyperlink>
          </w:p>
        </w:tc>
      </w:tr>
      <w:tr>
        <w:trPr>
          <w:trHeight w:val="574"/>
        </w:trPr>
        <w:tc>
          <w:tcPr>
            <w:tcW w:w="1360" w:type="dxa"/>
            <w:vAlign w:val="bottom"/>
            <w:tcBorders>
              <w:top w:val="single" w:sz="8" w:color="CCEEFF"/>
              <w:bottom w:val="single" w:sz="8" w:color="auto"/>
            </w:tcBorders>
          </w:tcPr>
          <w:p>
            <w:pPr>
              <w:spacing w:after="0"/>
              <w:rPr>
                <w:sz w:val="24"/>
                <w:szCs w:val="24"/>
                <w:color w:val="auto"/>
              </w:rPr>
            </w:pPr>
          </w:p>
        </w:tc>
        <w:tc>
          <w:tcPr>
            <w:tcW w:w="2440" w:type="dxa"/>
            <w:vAlign w:val="bottom"/>
            <w:tcBorders>
              <w:top w:val="single" w:sz="8" w:color="0000EE"/>
              <w:bottom w:val="single" w:sz="8" w:color="auto"/>
            </w:tcBorders>
          </w:tcPr>
          <w:p>
            <w:pPr>
              <w:spacing w:after="0"/>
              <w:rPr>
                <w:sz w:val="24"/>
                <w:szCs w:val="24"/>
                <w:color w:val="auto"/>
              </w:rPr>
            </w:pPr>
          </w:p>
        </w:tc>
        <w:tc>
          <w:tcPr>
            <w:tcW w:w="74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800" w:right="33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BITFARMS LTD.</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L. Geoffrey Morphy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314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L. Geoffrey Morphy</w:t>
      </w:r>
    </w:p>
    <w:p>
      <w:pPr>
        <w:spacing w:after="0" w:line="23" w:lineRule="exact"/>
        <w:rPr>
          <w:sz w:val="20"/>
          <w:szCs w:val="20"/>
          <w:color w:val="auto"/>
        </w:rPr>
      </w:pPr>
    </w:p>
    <w:p>
      <w:pPr>
        <w:ind w:left="7100"/>
        <w:spacing w:after="0"/>
        <w:tabs>
          <w:tab w:leader="none" w:pos="7680" w:val="left"/>
        </w:tabs>
        <w:rPr>
          <w:sz w:val="20"/>
          <w:szCs w:val="20"/>
          <w:color w:val="auto"/>
        </w:rPr>
      </w:pPr>
      <w:r>
        <w:rPr>
          <w:rFonts w:ascii="Arial" w:cs="Arial" w:eastAsia="Arial" w:hAnsi="Arial"/>
          <w:sz w:val="18"/>
          <w:szCs w:val="18"/>
          <w:color w:val="auto"/>
        </w:rPr>
        <w:t>Title:</w:t>
        <w:tab/>
        <w:t>President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July 15,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00"/>
          </w:cols>
          <w:pgMar w:left="320" w:top="800" w:right="9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16"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Bitfarms to Present at Sequire Blockchain Event on July 15</w:t>
      </w:r>
      <w:r>
        <w:rPr>
          <w:rFonts w:ascii="Arial" w:cs="Arial" w:eastAsia="Arial" w:hAnsi="Arial"/>
          <w:sz w:val="53"/>
          <w:szCs w:val="53"/>
          <w:b w:val="1"/>
          <w:bCs w:val="1"/>
          <w:color w:val="auto"/>
          <w:vertAlign w:val="superscript"/>
        </w:rPr>
        <w:t>th</w:t>
      </w:r>
    </w:p>
    <w:p>
      <w:pPr>
        <w:spacing w:after="0" w:line="210" w:lineRule="exact"/>
        <w:rPr>
          <w:sz w:val="20"/>
          <w:szCs w:val="20"/>
          <w:color w:val="auto"/>
        </w:rPr>
      </w:pPr>
    </w:p>
    <w:p>
      <w:pPr>
        <w:jc w:val="both"/>
        <w:ind w:hanging="8"/>
        <w:spacing w:after="0" w:line="261" w:lineRule="auto"/>
        <w:rPr>
          <w:sz w:val="20"/>
          <w:szCs w:val="20"/>
          <w:color w:val="auto"/>
        </w:rPr>
      </w:pPr>
      <w:r>
        <w:rPr>
          <w:rFonts w:ascii="Arial" w:cs="Arial" w:eastAsia="Arial" w:hAnsi="Arial"/>
          <w:sz w:val="18"/>
          <w:szCs w:val="18"/>
          <w:b w:val="1"/>
          <w:bCs w:val="1"/>
          <w:color w:val="auto"/>
        </w:rPr>
        <w:t xml:space="preserve">Toronto, Ontario and Brossard, Québec (July 14, 2021) </w:t>
      </w:r>
      <w:r>
        <w:rPr>
          <w:rFonts w:ascii="Arial" w:cs="Arial" w:eastAsia="Arial" w:hAnsi="Arial"/>
          <w:sz w:val="18"/>
          <w:szCs w:val="18"/>
          <w:color w:val="auto"/>
        </w:rPr>
        <w:t>- Bitfarms Ltd. (“</w:t>
      </w:r>
      <w:r>
        <w:rPr>
          <w:rFonts w:ascii="Arial" w:cs="Arial" w:eastAsia="Arial" w:hAnsi="Arial"/>
          <w:sz w:val="18"/>
          <w:szCs w:val="18"/>
          <w:b w:val="1"/>
          <w:bCs w:val="1"/>
          <w:color w:val="auto"/>
        </w:rPr>
        <w:t>Bitfarms</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w:t>
      </w:r>
      <w:r>
        <w:rPr>
          <w:rFonts w:ascii="Arial" w:cs="Arial" w:eastAsia="Arial" w:hAnsi="Arial"/>
          <w:sz w:val="18"/>
          <w:szCs w:val="18"/>
          <w:u w:val="single" w:color="auto"/>
          <w:color w:val="auto"/>
        </w:rPr>
        <w:t>NASDAQ: BITF // TSXV: BITF</w:t>
      </w:r>
      <w:r>
        <w:rPr>
          <w:rFonts w:ascii="Arial" w:cs="Arial" w:eastAsia="Arial" w:hAnsi="Arial"/>
          <w:sz w:val="18"/>
          <w:szCs w:val="18"/>
          <w:color w:val="auto"/>
        </w:rPr>
        <w:t>), a publicly</w:t>
      </w:r>
      <w:r>
        <w:rPr>
          <w:rFonts w:ascii="Arial" w:cs="Arial" w:eastAsia="Arial" w:hAnsi="Arial"/>
          <w:sz w:val="18"/>
          <w:szCs w:val="18"/>
          <w:b w:val="1"/>
          <w:bCs w:val="1"/>
          <w:color w:val="auto"/>
        </w:rPr>
        <w:t xml:space="preserve"> </w:t>
      </w:r>
      <w:r>
        <w:rPr>
          <w:rFonts w:ascii="Arial" w:cs="Arial" w:eastAsia="Arial" w:hAnsi="Arial"/>
          <w:sz w:val="18"/>
          <w:szCs w:val="18"/>
          <w:color w:val="auto"/>
        </w:rPr>
        <w:t>traded Bitcoin mining company, currently powering an estimated 1.5% of the Bitcoin network with greater than 99% green hydroelectricity, today announces that is will be presenting virtually at the upcoming Sequire Blockchain Conference on Thursday, July 15, at 4:00 PM ET. Ben Gagnon, Chief Mining Officer, will be delivering the corporate presentation.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Investors can register to watch the presentation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-121920</wp:posOffset>
            </wp:positionV>
            <wp:extent cx="7123430" cy="39776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397764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https://blockchain21.mysequire.com/</w:t>
      </w:r>
    </w:p>
    <w:p>
      <w:pPr>
        <w:spacing w:after="0" w:line="211" w:lineRule="exact"/>
        <w:rPr>
          <w:sz w:val="20"/>
          <w:szCs w:val="20"/>
          <w:color w:val="auto"/>
        </w:rPr>
      </w:pPr>
    </w:p>
    <w:p>
      <w:pPr>
        <w:jc w:val="both"/>
        <w:ind w:left="20" w:hanging="9"/>
        <w:spacing w:after="0" w:line="263" w:lineRule="auto"/>
        <w:rPr>
          <w:sz w:val="20"/>
          <w:szCs w:val="20"/>
          <w:color w:val="auto"/>
        </w:rPr>
      </w:pPr>
      <w:r>
        <w:rPr>
          <w:rFonts w:ascii="Arial" w:cs="Arial" w:eastAsia="Arial" w:hAnsi="Arial"/>
          <w:sz w:val="18"/>
          <w:szCs w:val="18"/>
          <w:color w:val="auto"/>
        </w:rPr>
        <w:t>We invite you to visit our web site to learn more about Bitfarms and for a convenient link to watch the presentation at a later time, which will be made available shortly after the presentation has aired. The link to the recorded presentation will be found under the tab titled Presentation &amp; Events at: https://bitfarms.com/investors/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Bitfarms Ltd.</w:t>
      </w:r>
    </w:p>
    <w:p>
      <w:pPr>
        <w:spacing w:after="0" w:line="229" w:lineRule="exact"/>
        <w:rPr>
          <w:sz w:val="20"/>
          <w:szCs w:val="20"/>
          <w:color w:val="auto"/>
        </w:rPr>
      </w:pPr>
    </w:p>
    <w:p>
      <w:pPr>
        <w:jc w:val="both"/>
        <w:ind w:left="20" w:hanging="8"/>
        <w:spacing w:after="0" w:line="308" w:lineRule="auto"/>
        <w:rPr>
          <w:sz w:val="20"/>
          <w:szCs w:val="20"/>
          <w:color w:val="auto"/>
        </w:rPr>
      </w:pPr>
      <w:r>
        <w:rPr>
          <w:rFonts w:ascii="Arial" w:cs="Arial" w:eastAsia="Arial" w:hAnsi="Arial"/>
          <w:sz w:val="17"/>
          <w:szCs w:val="17"/>
          <w:color w:val="auto"/>
        </w:rPr>
        <w:t>Founded in 2017, Bitfarms is a Bitcoin mining company, running vertically integrated mining operations with onsite technical repair, proprietary data analytics and Company-owned electrical engineering and installation services to deliver high operational performance and uptime.</w:t>
      </w:r>
    </w:p>
    <w:p>
      <w:pPr>
        <w:spacing w:after="0" w:line="146" w:lineRule="exact"/>
        <w:rPr>
          <w:sz w:val="20"/>
          <w:szCs w:val="20"/>
          <w:color w:val="auto"/>
        </w:rPr>
      </w:pPr>
    </w:p>
    <w:p>
      <w:pPr>
        <w:jc w:val="both"/>
        <w:ind w:left="20" w:right="20" w:hanging="8"/>
        <w:spacing w:after="0" w:line="263" w:lineRule="auto"/>
        <w:rPr>
          <w:sz w:val="20"/>
          <w:szCs w:val="20"/>
          <w:color w:val="auto"/>
        </w:rPr>
      </w:pPr>
      <w:r>
        <w:rPr>
          <w:rFonts w:ascii="Arial" w:cs="Arial" w:eastAsia="Arial" w:hAnsi="Arial"/>
          <w:sz w:val="18"/>
          <w:szCs w:val="18"/>
          <w:color w:val="auto"/>
        </w:rPr>
        <w:t>Having demonstrated rapid growth and stellar operations, Bitfarms became the first Bitcoin mining company to complete its long form prospectus with the Ontario Securities Commission and started trading on the TSX-V in July 2019. On February 24, 2021 Bitfarms was honoured to be announced as a Rising Star by the TSX-V. On June 21, 2021, Bitfarms started trading on the Nasdaq Stock Market.</w:t>
      </w:r>
    </w:p>
    <w:p>
      <w:pPr>
        <w:spacing w:after="0" w:line="184" w:lineRule="exact"/>
        <w:rPr>
          <w:sz w:val="20"/>
          <w:szCs w:val="20"/>
          <w:color w:val="auto"/>
        </w:rPr>
      </w:pPr>
    </w:p>
    <w:p>
      <w:pPr>
        <w:jc w:val="both"/>
        <w:ind w:left="20" w:hanging="8"/>
        <w:spacing w:after="0" w:line="263" w:lineRule="auto"/>
        <w:rPr>
          <w:sz w:val="20"/>
          <w:szCs w:val="20"/>
          <w:color w:val="auto"/>
        </w:rPr>
      </w:pPr>
      <w:r>
        <w:rPr>
          <w:rFonts w:ascii="Arial" w:cs="Arial" w:eastAsia="Arial" w:hAnsi="Arial"/>
          <w:sz w:val="18"/>
          <w:szCs w:val="18"/>
          <w:color w:val="auto"/>
        </w:rPr>
        <w:t>Bitfarms has a diversified production platform with five industrial scale facilities located in Québec. Each facility is over 99% powered with environmentally friendly hydro power and secured with long-term power contracts. Bitfarms is currently the only publicly traded pure-play mining company audited by a Big Four audit firm.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To learn more about Bitfarms’ events, developments, and online communities: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Website: www.bitfarms.com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https://www.facebook.com/bitfarms/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https://twitter.com/Bitfarms_io</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https://www.instagram.com/bitfarms/</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https://www.linkedin.com/company/bitfarms/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3716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371600"/>
                    </a:xfrm>
                    <a:prstGeom prst="rect">
                      <a:avLst/>
                    </a:prstGeom>
                    <a:noFill/>
                  </pic:spPr>
                </pic:pic>
              </a:graphicData>
            </a:graphic>
          </wp:anchor>
        </w:drawing>
        <w:t>Cautionary Statement</w:t>
      </w:r>
    </w:p>
    <w:p>
      <w:pPr>
        <w:spacing w:after="0" w:line="225" w:lineRule="exact"/>
        <w:rPr>
          <w:sz w:val="20"/>
          <w:szCs w:val="20"/>
          <w:color w:val="auto"/>
        </w:rPr>
      </w:pPr>
    </w:p>
    <w:p>
      <w:pPr>
        <w:jc w:val="both"/>
        <w:ind w:left="20" w:hanging="8"/>
        <w:spacing w:after="0" w:line="259" w:lineRule="auto"/>
        <w:rPr>
          <w:sz w:val="20"/>
          <w:szCs w:val="20"/>
          <w:color w:val="auto"/>
        </w:rPr>
      </w:pPr>
      <w:r>
        <w:rPr>
          <w:rFonts w:ascii="Arial" w:cs="Arial" w:eastAsia="Arial" w:hAnsi="Arial"/>
          <w:sz w:val="18"/>
          <w:szCs w:val="18"/>
          <w:i w:val="1"/>
          <w:iCs w:val="1"/>
          <w:color w:val="auto"/>
        </w:rPr>
        <w:t>Trading in the securities of the Company should be considered highly speculative. No stock exchange, securities commission or other regulatory authority has approved or disapproved the information contained herein. Neither the TSX Venture Exchange nor its Regulation Services Provider (as that term is defined in the policies of the TSX Venture Exchange) nor any other securities exchange or regulatory authority accepts responsibility for the adequacy or accuracy of this release.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5" w:lineRule="exact"/>
        <w:rPr>
          <w:sz w:val="20"/>
          <w:szCs w:val="20"/>
          <w:color w:val="auto"/>
        </w:rPr>
      </w:pPr>
    </w:p>
    <w:p>
      <w:pPr>
        <w:jc w:val="both"/>
        <w:ind w:left="20" w:hanging="8"/>
        <w:spacing w:after="0" w:line="291" w:lineRule="auto"/>
        <w:rPr>
          <w:sz w:val="20"/>
          <w:szCs w:val="20"/>
          <w:color w:val="auto"/>
        </w:rPr>
      </w:pPr>
      <w:r>
        <w:rPr>
          <w:rFonts w:ascii="Arial" w:cs="Arial" w:eastAsia="Arial" w:hAnsi="Arial"/>
          <w:sz w:val="16"/>
          <w:szCs w:val="16"/>
          <w:i w:val="1"/>
          <w:iCs w:val="1"/>
          <w:color w:val="auto"/>
        </w:rPr>
        <w:t>This news release contains certain “forward-looking information” and “forward-looking statements” (collectively, “forward-looking information”) that are based on expectations, estimates and projections as at the date of this news release. Certain statements in the virtual presentation regarding expectations in respect to Bitfarms’ future plans and objectives of the Company are forward-looking information. Other forward-looking information includes, but is not limited to, information concerning: the intentions, plans and future actions of the Company, as well as Bitfarms’ ability to successfully mine digital currency, revenue increasing as currently anticipated, the ability to profitably liquidate current and future digital currency inventory, volatility of network difficulty and digital currency prices and the potential resulting significant negative impact on the Company’s operations, the construction and operation of expanded blockchain infrastructure as currently planned, and the regulatory environment for cryptocurrency in the applicable jurisdictions.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-21590</wp:posOffset>
            </wp:positionV>
            <wp:extent cx="7123430" cy="9601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960120"/>
                    </a:xfrm>
                    <a:prstGeom prst="rect">
                      <a:avLst/>
                    </a:prstGeom>
                    <a:noFill/>
                  </pic:spPr>
                </pic:pic>
              </a:graphicData>
            </a:graphic>
          </wp:anchor>
        </w:drawing>
      </w:r>
    </w:p>
    <w:p>
      <w:pPr>
        <w:spacing w:after="0" w:line="146" w:lineRule="exact"/>
        <w:rPr>
          <w:sz w:val="20"/>
          <w:szCs w:val="20"/>
          <w:color w:val="auto"/>
        </w:rPr>
      </w:pPr>
    </w:p>
    <w:p>
      <w:pPr>
        <w:jc w:val="both"/>
        <w:ind w:left="20" w:hanging="8"/>
        <w:spacing w:after="0" w:line="257" w:lineRule="auto"/>
        <w:rPr>
          <w:sz w:val="20"/>
          <w:szCs w:val="20"/>
          <w:color w:val="auto"/>
        </w:rPr>
      </w:pPr>
      <w:r>
        <w:rPr>
          <w:rFonts w:ascii="Arial" w:cs="Arial" w:eastAsia="Arial" w:hAnsi="Arial"/>
          <w:sz w:val="18"/>
          <w:szCs w:val="18"/>
          <w:i w:val="1"/>
          <w:iCs w:val="1"/>
          <w:color w:val="auto"/>
        </w:rPr>
        <w:t>Any statements that involve discussions with respect to predictions, expectations, beliefs, plans, projections, objectives, assumptions, future events or performance (often but not always using phrases such as “expects”, or “does not expect”, “is expected”, “anticipates” or “does not anticipate”, “plans”, “budget”, “scheduled”, “forecasts”, “estimates”, “believes” or “intends” or variations of such words and phrases or stating that certain actions, events or results “may” or “could”, “should”, “would”, “might” or “will” be taken to occur or be achieved) are not statements of historical fact and may be forward-looking information.</w:t>
      </w:r>
    </w:p>
    <w:p>
      <w:pPr>
        <w:spacing w:after="0" w:line="188" w:lineRule="exact"/>
        <w:rPr>
          <w:sz w:val="20"/>
          <w:szCs w:val="20"/>
          <w:color w:val="auto"/>
        </w:rPr>
      </w:pPr>
    </w:p>
    <w:p>
      <w:pPr>
        <w:jc w:val="both"/>
        <w:ind w:left="20" w:hanging="9"/>
        <w:spacing w:after="0" w:line="266" w:lineRule="auto"/>
        <w:rPr>
          <w:sz w:val="20"/>
          <w:szCs w:val="20"/>
          <w:color w:val="auto"/>
        </w:rPr>
      </w:pPr>
      <w:r>
        <w:rPr>
          <w:rFonts w:ascii="Arial" w:cs="Arial" w:eastAsia="Arial" w:hAnsi="Arial"/>
          <w:sz w:val="17"/>
          <w:szCs w:val="17"/>
          <w:i w:val="1"/>
          <w:iCs w:val="1"/>
          <w:color w:val="auto"/>
        </w:rPr>
        <w:t>This forward-looking information is based on assumptions and estimates of management of the Company at the time they were made, and involves known and unknown risks, uncertainties and other factors which may cause the actual results, performance or achievements of the Company to be materially different from any future results, performance or achievements expressed or implied by such forward-looking information. Such factors include, among others, risks relating to: the global economic climate; dilution; the Company’s limited operating history; future capital needs and uncertainty of additional financing; the competitive nature of the industry; currency exchange risks; the need for the Company to manage its planned growth and expansion; the effects of product development and need for continued technology change; protection of proprietary rights; the effect of government regulation and compliance on the Company and the industry; network security risks; the ability of the Company to maintain properly working systems; reliance on key personnel; global economic and financial market deterioration impeding access to capital or increasing the cost of capital; and volatile securities markets impacting security pricing unrelated to operating performance. In addition, particular factors that could impact future results of the business of Bitfarms include, but are not limited to: the construction and operation of blockchain infrastructure may not occur as currently planned, or at all; expansion may not materialize as currently anticipated, or at all; the digital currency market; the ability to successfully mine digital currency; revenue may not increase as currently anticipated, or at all; it may not be possible to profitably liquidate the current digital currency inventory, or at all; a decline in digital currency prices may have a significant negative impact on operations; an increase in network difficulty may have a significant negative impact on operations; the volatility of digital currency prices; the anticipated growth and sustainability of hydroelectricity for the purposes of cryptocurrency mining in the applicable jurisdictions, the ability to complete current and future financings, any regulations or laws that will prevent Bitfarms from operating its business; historical prices of digital currencies and the ability to mine digital currencies that will be consistent with historical prices; an inability to predict and counteract the effects of COVID-19 on the business of the Company, including but not limited to the effects of COVID-19 on the price of digital currencies, capital market conditions, restriction on labour and international travel and supply chains; and, the adoption or expansion of any regulation or law that will prevent Bitfarms from operating its business, or make it more costly to do so. For further information concerning these and other risks and uncertainties, refer to the Company’s filings on www.SEDAR.com including the annual information form for the year ended December 31, 2020, filed on April 7, 2021. The Company has also assumed that no significant events occur outside of Bitfarms’ normal course of business. Although the Company has attempted to identify important factors that could cause actual results to differ materially from those expressed in forward-looking statements, there may be other factors that cause results not to be as anticipated, estimated or intended. There can be no assurance that such statements will prove to be accurate as actual results and future events could differ materially from those anticipated in such statements. Accordingly, readers should not place undue reliance on any forward-looking information. The Company undertakes no obligation to revise or update any forward-looking information other than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ind w:left="53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380365</wp:posOffset>
            </wp:positionV>
            <wp:extent cx="7123430" cy="146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46050"/>
                    </a:xfrm>
                    <a:prstGeom prst="rect">
                      <a:avLst/>
                    </a:prstGeom>
                    <a:noFill/>
                  </pic:spPr>
                </pic:pic>
              </a:graphicData>
            </a:graphic>
          </wp:anchor>
        </w:drawing>
        <w:t>Contacts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575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5575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5575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55753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+1 516 222 2560</w:t>
      </w:r>
    </w:p>
    <w:p>
      <w:pPr>
        <w:spacing w:after="0" w:line="9" w:lineRule="exact"/>
        <w:rPr>
          <w:sz w:val="20"/>
          <w:szCs w:val="20"/>
          <w:color w:val="auto"/>
        </w:rPr>
      </w:pPr>
    </w:p>
    <w:p>
      <w:pPr>
        <w:jc w:val="right"/>
        <w:ind w:right="3619"/>
        <w:spacing w:after="0"/>
        <w:rPr>
          <w:sz w:val="20"/>
          <w:szCs w:val="20"/>
          <w:color w:val="auto"/>
        </w:rPr>
      </w:pPr>
      <w:r>
        <w:rPr>
          <w:rFonts w:ascii="Arial" w:cs="Arial" w:eastAsia="Arial" w:hAnsi="Arial"/>
          <w:sz w:val="18"/>
          <w:szCs w:val="18"/>
          <w:color w:val="auto"/>
        </w:rPr>
        <w:t>Investors@bitfarms.com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2743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 IR</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Jules Abraham, Director of Public Relations</w:t>
      </w:r>
    </w:p>
    <w:p>
      <w:pPr>
        <w:spacing w:after="0" w:line="9" w:lineRule="exact"/>
        <w:rPr>
          <w:sz w:val="20"/>
          <w:szCs w:val="20"/>
          <w:color w:val="auto"/>
        </w:rPr>
      </w:pPr>
    </w:p>
    <w:p>
      <w:pPr>
        <w:ind w:left="4940"/>
        <w:spacing w:after="0"/>
        <w:rPr>
          <w:sz w:val="20"/>
          <w:szCs w:val="20"/>
          <w:color w:val="auto"/>
        </w:rPr>
      </w:pPr>
      <w:r>
        <w:rPr>
          <w:rFonts w:ascii="Arial" w:cs="Arial" w:eastAsia="Arial" w:hAnsi="Arial"/>
          <w:sz w:val="18"/>
          <w:szCs w:val="18"/>
          <w:color w:val="auto"/>
        </w:rPr>
        <w:t>julesa@coreir.com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YAP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Mia Grodsky, Account Executive</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mia@yapglobal.com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Québec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-119380</wp:posOffset>
            </wp:positionV>
            <wp:extent cx="712343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41148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Ryan Affaires publiques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Valérie Pomerleau, Public Affairs and Communications</w:t>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valerie@ryanap.com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139"/>
      </w:cols>
      <w:pgMar w:left="320" w:top="8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2021-07-15T05:59:28Z</dcterms:created>
  <dcterms:modified xsi:type="dcterms:W3CDTF">2021-07-15T05:59:28Z</dcterms:modified>
</cp:coreProperties>
</file>