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For the month of October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BITFARMS LTD.</w:t>
      </w:r>
    </w:p>
    <w:p>
      <w:pPr>
        <w:spacing w:after="0" w:line="4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18 King Street East, Suite 902, Toronto, Ontario, Canada M5C 1C4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32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0"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October 3, 2022,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333-258788).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52"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3"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Material Change Report dated October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L. Geoffrey Morphy</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1C4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October 3, 2022 by a newswire company in Canada.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Nicolas Bonta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Chairman &amp;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nbonta@bitfarms.com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154305</wp:posOffset>
            </wp:positionV>
            <wp:extent cx="2031365"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Provides September 2022 Production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Mining Operations Update</w:t>
      </w:r>
    </w:p>
    <w:p>
      <w:pPr>
        <w:spacing w:after="0" w:line="207"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- 3,733 BTC mined in first nine months of 2022, exceeding full year 2021 production - - Achieves September 30, 2022 target of 4.2 Exahash/second - - Initiates production and continues build out at first warehouse in Argentina -</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purposes of the Company’s prospectus supplement dated August 16, 2021, to its short form base shelf prospectus dated August 12, 2021.</w:t>
      </w:r>
    </w:p>
    <w:p>
      <w:pPr>
        <w:spacing w:after="0" w:line="15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(October 3, 2022) </w:t>
      </w:r>
      <w:r>
        <w:rPr>
          <w:rFonts w:ascii="Times New Roman" w:cs="Times New Roman" w:eastAsia="Times New Roman" w:hAnsi="Times New Roman"/>
          <w:sz w:val="18"/>
          <w:szCs w:val="18"/>
          <w:color w:val="auto"/>
        </w:rPr>
        <w:t>- Bitfarms Ltd. (</w:t>
      </w:r>
      <w:r>
        <w:rPr>
          <w:rFonts w:ascii="Times New Roman" w:cs="Times New Roman" w:eastAsia="Times New Roman" w:hAnsi="Times New Roman"/>
          <w:sz w:val="18"/>
          <w:szCs w:val="18"/>
          <w:u w:val="single" w:color="auto"/>
          <w:color w:val="auto"/>
        </w:rPr>
        <w:t>NASDAQ: BITF // TSX: BITF</w:t>
      </w:r>
      <w:r>
        <w:rPr>
          <w:rFonts w:ascii="Times New Roman" w:cs="Times New Roman" w:eastAsia="Times New Roman" w:hAnsi="Times New Roman"/>
          <w:sz w:val="18"/>
          <w:szCs w:val="18"/>
          <w:color w:val="auto"/>
        </w:rPr>
        <w:t>), a global Bitcoin self-mining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a Bitcoin (BTC) production and mining operations update for September 2022.</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“Accomplishing a significant milestone in early September, we initiated production in Rio Cuarto, Argentina with our first 10-megawatt (MW) module,” said Geoff Morphy, President and COO of Bitfarms. “As of September 30, we installed 1,751 miners at this location and have pending 3,000 miners at Argentina Customs slotted to add to production throughout Q4 2022. During the month, we also began construction at our second 50 MW warehouse in Rio Cuarto, which is on target to be completed during Q2 2023.”</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“Reaching 4.2 exahash/second (EH/s), we achieved our September 30, 2022 target operating hashrate,” said Ben Gagnon, Chief Mining Officer of Bitfarms. “During September, we mined 481 BTC, averaging 16 BTC mined per day and exited the month at 17 BTC mined per day. Our increased capacity continues to deliver growth, even while network difficulty increased as much as 13%. A higher network hashrate, due in part to previously idle miners coming back online, and the shorter 30-day month were the primary drivers of lower monthly production compared to August. In the first nine months of 2022, we mined 3,733 BTC, surpassing 2021 full-year production of 3,452 BTC by 8% heading into Q4. With 229 MW planned to be developed by the end of the year, we are well positioned to further grow production in 2023.”</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1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tc>
        <w:tc>
          <w:tcPr>
            <w:tcW w:w="2360" w:type="dxa"/>
            <w:vAlign w:val="bottom"/>
            <w:tcBorders>
              <w:top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Sept. 2022</w:t>
            </w:r>
          </w:p>
        </w:tc>
        <w:tc>
          <w:tcPr>
            <w:tcW w:w="2360" w:type="dxa"/>
            <w:vAlign w:val="bottom"/>
            <w:tcBorders>
              <w:top w:val="single" w:sz="8" w:color="auto"/>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Aug. 2022</w:t>
            </w:r>
          </w:p>
        </w:tc>
        <w:tc>
          <w:tcPr>
            <w:tcW w:w="2340" w:type="dxa"/>
            <w:vAlign w:val="bottom"/>
            <w:tcBorders>
              <w:top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Sept. 2021</w:t>
            </w:r>
          </w:p>
        </w:tc>
      </w:tr>
      <w:tr>
        <w:trPr>
          <w:trHeight w:val="210"/>
        </w:trPr>
        <w:tc>
          <w:tcPr>
            <w:tcW w:w="41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BTC Mined</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481</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534</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305</w:t>
            </w:r>
          </w:p>
        </w:tc>
      </w:tr>
      <w:tr>
        <w:trPr>
          <w:trHeight w:val="209"/>
        </w:trPr>
        <w:tc>
          <w:tcPr>
            <w:tcW w:w="41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Month End Operating Hashrate</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3.9</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w:t>
            </w:r>
          </w:p>
        </w:tc>
      </w:tr>
      <w:tr>
        <w:trPr>
          <w:trHeight w:val="210"/>
        </w:trPr>
        <w:tc>
          <w:tcPr>
            <w:tcW w:w="41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BTC/ Avg EH</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122</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141</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211</w:t>
            </w:r>
          </w:p>
        </w:tc>
      </w:tr>
      <w:tr>
        <w:trPr>
          <w:trHeight w:val="210"/>
        </w:trPr>
        <w:tc>
          <w:tcPr>
            <w:tcW w:w="41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Operating Capacity (MW)</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176</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166</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r>
      <w:tr>
        <w:trPr>
          <w:trHeight w:val="210"/>
        </w:trPr>
        <w:tc>
          <w:tcPr>
            <w:tcW w:w="41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Hydropower MW</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166</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166</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r>
      <w:tr>
        <w:trPr>
          <w:trHeight w:val="210"/>
        </w:trPr>
        <w:tc>
          <w:tcPr>
            <w:tcW w:w="41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Watts/TH Efficiency</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r>
      <w:tr>
        <w:trPr>
          <w:trHeight w:val="209"/>
        </w:trPr>
        <w:tc>
          <w:tcPr>
            <w:tcW w:w="41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BTC Sold</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544</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427</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 Operating Highlights</w:t>
      </w:r>
    </w:p>
    <w:p>
      <w:pPr>
        <w:spacing w:after="0" w:line="229" w:lineRule="exact"/>
        <w:rPr>
          <w:sz w:val="20"/>
          <w:szCs w:val="20"/>
          <w:color w:val="auto"/>
        </w:rPr>
      </w:pPr>
    </w:p>
    <w:p>
      <w:pPr>
        <w:ind w:left="640" w:hanging="322"/>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EH/s online as of September 30, 2022, up 180% from September 2021 and 8% from August 31, 2022.</w:t>
      </w:r>
    </w:p>
    <w:p>
      <w:pPr>
        <w:spacing w:after="0" w:line="225"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3.95 EH/s average online for month of September.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left="640" w:hanging="32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 BTC/ average EH/s for the month of September, down 42% from 211 in September 2021 and down 13.5% from 141 in August 2022.</w:t>
      </w:r>
    </w:p>
    <w:p>
      <w:pPr>
        <w:spacing w:after="0" w:line="225"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481 new BTC mined during September 2022, up 57% from September 2021 and down 10% from August 2022. The decrease from August 2022 production was primarily due to a 13% increase in network difficulty, a brief farm outage and a shorter month.</w:t>
      </w:r>
    </w:p>
    <w:p>
      <w:pPr>
        <w:spacing w:after="0" w:line="161" w:lineRule="exact"/>
        <w:rPr>
          <w:rFonts w:ascii="Times New Roman" w:cs="Times New Roman" w:eastAsia="Times New Roman" w:hAnsi="Times New Roman"/>
          <w:sz w:val="18"/>
          <w:szCs w:val="18"/>
          <w:color w:val="auto"/>
        </w:rPr>
      </w:pPr>
    </w:p>
    <w:p>
      <w:pPr>
        <w:ind w:left="640" w:hanging="322"/>
        <w:spacing w:after="0" w:line="282"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 BTC mined daily on average in September, equivalent to about US$310,400 per day and approximately US$9.31 million for the month based on a BTC price of US$19,400 on September 30,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Mining Operations</w:t>
      </w:r>
    </w:p>
    <w:p>
      <w:pPr>
        <w:spacing w:after="0" w:line="229" w:lineRule="exact"/>
        <w:rPr>
          <w:sz w:val="20"/>
          <w:szCs w:val="20"/>
          <w:color w:val="auto"/>
        </w:rPr>
      </w:pPr>
    </w:p>
    <w:p>
      <w:pPr>
        <w:ind w:left="640" w:hanging="322"/>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Rio Cuarto, Argentina:</w:t>
      </w:r>
    </w:p>
    <w:p>
      <w:pPr>
        <w:spacing w:after="0" w:line="225" w:lineRule="exact"/>
        <w:rPr>
          <w:sz w:val="20"/>
          <w:szCs w:val="20"/>
          <w:color w:val="auto"/>
        </w:rPr>
      </w:pPr>
    </w:p>
    <w:p>
      <w:pPr>
        <w:ind w:left="1300" w:hanging="334"/>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Energized first of five 10 MW modules, installed 1,751 miners and initiated production at the first 50-MW warehouse.</w:t>
      </w:r>
    </w:p>
    <w:p>
      <w:pPr>
        <w:spacing w:after="0" w:line="225" w:lineRule="exact"/>
        <w:rPr>
          <w:rFonts w:ascii="Times New Roman" w:cs="Times New Roman" w:eastAsia="Times New Roman" w:hAnsi="Times New Roman"/>
          <w:sz w:val="18"/>
          <w:szCs w:val="18"/>
          <w:color w:val="auto"/>
        </w:rPr>
      </w:pPr>
    </w:p>
    <w:p>
      <w:pPr>
        <w:ind w:left="1300" w:right="20" w:hanging="334"/>
        <w:spacing w:after="0" w:line="282"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Commenced construction on the second 50-MW warehouse. This facility is expected to be completed and ready for mining operations during Q2 2023.</w:t>
      </w:r>
    </w:p>
    <w:p>
      <w:pPr>
        <w:spacing w:after="0" w:line="16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Sherbrooke, Québec, development continued on schedule:</w:t>
      </w:r>
    </w:p>
    <w:p>
      <w:pPr>
        <w:spacing w:after="0" w:line="225" w:lineRule="exact"/>
        <w:rPr>
          <w:rFonts w:ascii="Times New Roman" w:cs="Times New Roman" w:eastAsia="Times New Roman" w:hAnsi="Times New Roman"/>
          <w:sz w:val="18"/>
          <w:szCs w:val="18"/>
          <w:color w:val="auto"/>
        </w:rPr>
      </w:pPr>
    </w:p>
    <w:p>
      <w:pPr>
        <w:ind w:left="1300" w:hanging="334"/>
        <w:spacing w:after="0" w:line="282"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1,800 square foot expansion at the Garlock farm is nearing completion, 6 MW is expected to be energized in October and the full 18 MW by the end of the year.</w:t>
      </w:r>
    </w:p>
    <w:p>
      <w:pPr>
        <w:spacing w:after="0" w:line="161" w:lineRule="exact"/>
        <w:rPr>
          <w:rFonts w:ascii="Times New Roman" w:cs="Times New Roman" w:eastAsia="Times New Roman" w:hAnsi="Times New Roman"/>
          <w:sz w:val="18"/>
          <w:szCs w:val="18"/>
          <w:color w:val="auto"/>
        </w:rPr>
      </w:pPr>
    </w:p>
    <w:p>
      <w:pPr>
        <w:ind w:left="1300" w:hanging="334"/>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of The Bunker is progressing as planned with the remaining 12 MW of this farm expected to be online by the end of 2022.</w:t>
      </w:r>
    </w:p>
    <w:p>
      <w:pPr>
        <w:spacing w:after="0" w:line="225" w:lineRule="exact"/>
        <w:rPr>
          <w:rFonts w:ascii="Times New Roman" w:cs="Times New Roman" w:eastAsia="Times New Roman" w:hAnsi="Times New Roman"/>
          <w:sz w:val="18"/>
          <w:szCs w:val="18"/>
          <w:color w:val="auto"/>
        </w:rPr>
      </w:pPr>
    </w:p>
    <w:p>
      <w:pPr>
        <w:ind w:left="1300" w:hanging="334"/>
        <w:spacing w:after="0" w:line="282"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Sherbrooke, upon the retirement of the de la Pointe farm, will consist of three farms with locations in close proximity to each another that are scheduled to have 96 MW operational by year end.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Bitfarms’ BTC Monthly Production</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Month</w:t>
            </w:r>
          </w:p>
        </w:tc>
        <w:tc>
          <w:tcPr>
            <w:tcW w:w="3700" w:type="dxa"/>
            <w:vAlign w:val="bottom"/>
            <w:tcBorders>
              <w:top w:val="single" w:sz="8" w:color="auto"/>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BTC Mined 2022</w:t>
            </w:r>
          </w:p>
        </w:tc>
        <w:tc>
          <w:tcPr>
            <w:tcW w:w="3700" w:type="dxa"/>
            <w:vAlign w:val="bottom"/>
            <w:tcBorders>
              <w:top w:val="single" w:sz="8" w:color="auto"/>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8"/>
                <w:szCs w:val="18"/>
                <w:b w:val="1"/>
                <w:bCs w:val="1"/>
                <w:color w:val="auto"/>
              </w:rPr>
              <w:t>BTC Mined 2021</w:t>
            </w:r>
          </w:p>
        </w:tc>
      </w:tr>
      <w:tr>
        <w:trPr>
          <w:trHeight w:val="210"/>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January</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301</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199</w:t>
            </w:r>
          </w:p>
        </w:tc>
      </w:tr>
      <w:tr>
        <w:trPr>
          <w:trHeight w:val="210"/>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February</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298</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178</w:t>
            </w:r>
          </w:p>
        </w:tc>
      </w:tr>
      <w:tr>
        <w:trPr>
          <w:trHeight w:val="209"/>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March</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363</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221</w:t>
            </w:r>
          </w:p>
        </w:tc>
      </w:tr>
      <w:tr>
        <w:trPr>
          <w:trHeight w:val="210"/>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April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405</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232</w:t>
            </w:r>
          </w:p>
        </w:tc>
      </w:tr>
      <w:tr>
        <w:trPr>
          <w:trHeight w:val="210"/>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May</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431</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262</w:t>
            </w:r>
          </w:p>
        </w:tc>
      </w:tr>
      <w:tr>
        <w:trPr>
          <w:trHeight w:val="210"/>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June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265</w:t>
            </w:r>
          </w:p>
        </w:tc>
      </w:tr>
      <w:tr>
        <w:trPr>
          <w:trHeight w:val="209"/>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July</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391</w:t>
            </w:r>
          </w:p>
        </w:tc>
      </w:tr>
      <w:tr>
        <w:trPr>
          <w:trHeight w:val="210"/>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August</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534</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354</w:t>
            </w:r>
          </w:p>
        </w:tc>
      </w:tr>
      <w:tr>
        <w:trPr>
          <w:trHeight w:val="210"/>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September</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481</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305</w:t>
            </w:r>
          </w:p>
        </w:tc>
      </w:tr>
      <w:tr>
        <w:trPr>
          <w:trHeight w:val="210"/>
        </w:trPr>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 YTD</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3,733</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2,407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Update</w:t>
      </w:r>
    </w:p>
    <w:p>
      <w:pPr>
        <w:spacing w:after="0" w:line="22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544 BTC during September 2022, generating proceeds of $10.66 million.</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to deleverage the Company’s balance sheet by making principal paydowns totaling $3.8 million and $26.8 million during September and the third quarter, respectively, and retiring three higher interest rate equipment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-588010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fleet efficiencies and optimized the roll out schedule of miners by selling $3.8 million of surplus miners in Q3 2022 and reducing contractual associated liabilities and capex requirements.</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2,065 BTC in custody on September 30, 2022, representing a total value of approximately US$40 million based on a BTC price of US$19,400.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-725170</wp:posOffset>
            </wp:positionV>
            <wp:extent cx="7132320"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548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Conferences and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plans to host or attend the following events in the next month:</w:t>
      </w:r>
    </w:p>
    <w:p>
      <w:pPr>
        <w:spacing w:after="0" w:line="20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October 11: Bitfarms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Anniversary Celebration in Québec</w:t>
      </w:r>
    </w:p>
    <w:p>
      <w:pPr>
        <w:spacing w:after="0" w:line="77"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October 19-20: Canadian Blockchain Summit in Calgary</w:t>
      </w:r>
    </w:p>
    <w:p>
      <w:pPr>
        <w:spacing w:after="0" w:line="2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October 20: Energy Innovator’s Roundtable in Toronto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October 25: Bitfarms Open House and Tour at the Washington State Farm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-116840</wp:posOffset>
            </wp:positionV>
            <wp:extent cx="7123430"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23430" cy="274320"/>
                    </a:xfrm>
                    <a:prstGeom prst="rect">
                      <a:avLst/>
                    </a:prstGeom>
                    <a:noFill/>
                  </pic:spPr>
                </pic:pic>
              </a:graphicData>
            </a:graphic>
          </wp:anchor>
        </w:drawing>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Founded in 2017, Bitfarms is a global, publicly traded (NASDAQ/TSX: BITF) Bitcoin self-mining company. Bitfarms runs vertically integrated mining operations with in-house management and company-owned electrical engineering, installation service, and onsite technical repair. The Company’s proprietary data analytics system delivers best-in-class operational performance and accelerated uptime.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31546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3154680"/>
                    </a:xfrm>
                    <a:prstGeom prst="rect">
                      <a:avLst/>
                    </a:prstGeom>
                    <a:noFill/>
                  </pic:spPr>
                </pic:pic>
              </a:graphicData>
            </a:graphic>
          </wp:anchor>
        </w:drawing>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has 10 mining facilities in production around the world, which are housed in four countries: Canada, the United States, Paraguay, and Argentina. Powered by predominantly environmentally friendly hydro-electric and long-term power contracts, Bitfarms is committed to using renewable, locally based,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402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402590"/>
                    </a:xfrm>
                    <a:prstGeom prst="rect">
                      <a:avLst/>
                    </a:prstGeom>
                    <a:noFill/>
                  </pic:spPr>
                </pic:pic>
              </a:graphicData>
            </a:graphic>
          </wp:anchor>
        </w:drawing>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This news release contains certain “forward-looking information” and “forward-looking statements” (collectively, “forward-looking information”) that </w:t>
      </w:r>
      <w:r>
        <w:rPr>
          <w:rFonts w:ascii="Times New Roman" w:cs="Times New Roman" w:eastAsia="Times New Roman" w:hAnsi="Times New Roman"/>
          <w:sz w:val="18"/>
          <w:szCs w:val="18"/>
          <w:i w:val="1"/>
          <w:iCs w:val="1"/>
          <w:color w:val="auto"/>
          <w:highlight w:val="white"/>
        </w:rPr>
        <w:t>are based on expectations, estimates and projections as at the date of this news release and are covered by safe harbors under Canadian and United States securities laws. The statements and information in this release regarding expansion plans, including construction in Argentina and Québec , expectations for monthly growth, targets, and goals for productive capacity and hashrates and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highlight w:val="white"/>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highlight w:val="white"/>
        </w:rPr>
        <w:t xml:space="preserve">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year-ended December 31, 2021, filed on March 28, 2022.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LHA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Barnard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+1 415-433-3777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Actual Agency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 Weaver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+1 339-234-3332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mediarelations@bitfarms.com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Media: Ryan Affaires Publiques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Valérie Pomerleau, Public Affairs and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valerie@ryanap.com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47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o"/>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jpe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19" Type="http://schemas.openxmlformats.org/officeDocument/2006/relationships/hyperlink" Target="http://www.sec.gov/Archives/edgar/data/1812477/000121390021042378/ea145070-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2022-10-03T15:05:01Z</dcterms:created>
  <dcterms:modified xsi:type="dcterms:W3CDTF">2022-10-03T15:05:01Z</dcterms:modified>
</cp:coreProperties>
</file>