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July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July 28,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200" w:type="dxa"/>
            <w:vAlign w:val="bottom"/>
          </w:tcPr>
          <w:p>
            <w:pPr>
              <w:spacing w:after="0"/>
              <w:rPr>
                <w:sz w:val="20"/>
                <w:szCs w:val="20"/>
                <w:color w:val="auto"/>
              </w:rPr>
            </w:pPr>
          </w:p>
        </w:tc>
        <w:tc>
          <w:tcPr>
            <w:tcW w:w="668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July 28, 2022</w:t>
              </w:r>
            </w:hyperlink>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3200" w:type="dxa"/>
            <w:vAlign w:val="bottom"/>
            <w:tcBorders>
              <w:top w:val="single" w:sz="8" w:color="0000EE"/>
              <w:bottom w:val="single" w:sz="8" w:color="auto"/>
            </w:tcBorders>
          </w:tcPr>
          <w:p>
            <w:pPr>
              <w:spacing w:after="0"/>
              <w:rPr>
                <w:sz w:val="24"/>
                <w:szCs w:val="24"/>
                <w:color w:val="auto"/>
              </w:rPr>
            </w:pPr>
          </w:p>
        </w:tc>
        <w:tc>
          <w:tcPr>
            <w:tcW w:w="66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012"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7" w:lineRule="exact"/>
        <w:rPr>
          <w:sz w:val="20"/>
          <w:szCs w:val="20"/>
          <w:color w:val="auto"/>
        </w:rPr>
      </w:pPr>
    </w:p>
    <w:p>
      <w:pPr>
        <w:ind w:left="6520"/>
        <w:spacing w:after="0"/>
        <w:tabs>
          <w:tab w:leader="none" w:pos="7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 Geoffrey Morphy</w:t>
      </w:r>
    </w:p>
    <w:p>
      <w:pPr>
        <w:spacing w:after="0" w:line="23" w:lineRule="exact"/>
        <w:rPr>
          <w:sz w:val="20"/>
          <w:szCs w:val="20"/>
          <w:color w:val="auto"/>
        </w:rPr>
      </w:pPr>
    </w:p>
    <w:p>
      <w:pPr>
        <w:ind w:left="6520"/>
        <w:spacing w:after="0"/>
        <w:tabs>
          <w:tab w:leader="none" w:pos="712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July 28, 2022.</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July 28,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151765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Bitfarms Completes Phase 2 at Its Bunker Location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The Bunker Phase 2 boosts capacity by 18 megawatts -</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Daily BTC production reaches 16.8 -</w:t>
      </w:r>
    </w:p>
    <w:p>
      <w:pPr>
        <w:spacing w:after="0" w:line="212" w:lineRule="exact"/>
        <w:rPr>
          <w:sz w:val="20"/>
          <w:szCs w:val="20"/>
          <w:color w:val="auto"/>
        </w:rPr>
      </w:pPr>
    </w:p>
    <w:p>
      <w:pPr>
        <w:ind w:left="660" w:right="760" w:hanging="8"/>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jc w:val="both"/>
        <w:ind w:left="20" w:hanging="8"/>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(July 28,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the second phase of its expansion of The Bunker, providing an additional 18 megawatts (MW) of capacity and boosting the Company’s corporate hashrate by 200 petahash per second (PH/s) to a total of 3.8 exahash per second (EH/s). This brings Bitfarms’ current production above 16 bitcoin (BTC) per day.</w:t>
      </w:r>
    </w:p>
    <w:p>
      <w:pPr>
        <w:spacing w:after="0" w:line="184" w:lineRule="exact"/>
        <w:rPr>
          <w:sz w:val="20"/>
          <w:szCs w:val="20"/>
          <w:color w:val="auto"/>
        </w:rPr>
      </w:pPr>
    </w:p>
    <w:p>
      <w:pPr>
        <w:jc w:val="both"/>
        <w:ind w:left="20" w:hanging="8"/>
        <w:spacing w:after="0" w:line="279" w:lineRule="auto"/>
        <w:rPr>
          <w:sz w:val="20"/>
          <w:szCs w:val="20"/>
          <w:color w:val="auto"/>
        </w:rPr>
      </w:pPr>
      <w:r>
        <w:rPr>
          <w:rFonts w:ascii="Arial" w:cs="Arial" w:eastAsia="Arial" w:hAnsi="Arial"/>
          <w:sz w:val="17"/>
          <w:szCs w:val="17"/>
          <w:color w:val="auto"/>
        </w:rPr>
        <w:t>“Completing Phase 2 of The Bunker expansion is a strategic milestone that contributed to growing our hashrate to 3.8 exahash per second (EH/s), up 5.5% from the beginning of July,” said Geoff Morphy, President and COO of Bitfarms. “Together with an additional 3 MW of low-cost hydropower that went online this month at our mining facility in Washington state, our total operating capacity is now 158 MW. Significantly, with our higher hashrate came an increase in our current production to 16.8 BTC/day, a 15% increase from 14.6 BTC/day at the end of June.”</w:t>
      </w:r>
    </w:p>
    <w:p>
      <w:pPr>
        <w:spacing w:after="0" w:line="171" w:lineRule="exact"/>
        <w:rPr>
          <w:sz w:val="20"/>
          <w:szCs w:val="20"/>
          <w:color w:val="auto"/>
        </w:rPr>
      </w:pPr>
    </w:p>
    <w:p>
      <w:pPr>
        <w:jc w:val="both"/>
        <w:ind w:left="20" w:hanging="8"/>
        <w:spacing w:after="0" w:line="286" w:lineRule="auto"/>
        <w:rPr>
          <w:sz w:val="20"/>
          <w:szCs w:val="20"/>
          <w:color w:val="auto"/>
        </w:rPr>
      </w:pPr>
      <w:r>
        <w:rPr>
          <w:rFonts w:ascii="Arial" w:cs="Arial" w:eastAsia="Arial" w:hAnsi="Arial"/>
          <w:sz w:val="17"/>
          <w:szCs w:val="17"/>
          <w:color w:val="auto"/>
        </w:rPr>
        <w:t>“This past week, we have been selectively redeploying some mining assets while continuing to bring new miners online. Coupled with slight delays in receiving new mining shipments, the net effect is we expect to experience a more gradual increase in our hashrate and reach our 4 EH/s goal in early August. In addition, we remain confident in executing our current international growth plan and achieving 6 EH/s by year end,” added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The Bunker – Phase 2</w:t>
      </w:r>
    </w:p>
    <w:p>
      <w:pPr>
        <w:spacing w:after="0" w:line="229" w:lineRule="exact"/>
        <w:rPr>
          <w:sz w:val="20"/>
          <w:szCs w:val="20"/>
          <w:color w:val="auto"/>
        </w:rPr>
      </w:pPr>
    </w:p>
    <w:p>
      <w:pPr>
        <w:jc w:val="both"/>
        <w:ind w:left="20" w:right="20" w:hanging="8"/>
        <w:spacing w:after="0" w:line="277" w:lineRule="auto"/>
        <w:rPr>
          <w:sz w:val="20"/>
          <w:szCs w:val="20"/>
          <w:color w:val="auto"/>
        </w:rPr>
      </w:pPr>
      <w:r>
        <w:rPr>
          <w:rFonts w:ascii="Arial" w:cs="Arial" w:eastAsia="Arial" w:hAnsi="Arial"/>
          <w:sz w:val="18"/>
          <w:szCs w:val="18"/>
          <w:color w:val="auto"/>
        </w:rPr>
        <w:t>Under Phase 2 of The Bunker expansion, miner installations are in the process of completion and, to date, 9,450 miners have been installed. Together with Phase 1, which first became operational in March 2022, this location is presently operating at 36 MW and yielding 848 PH/s.</w:t>
      </w:r>
    </w:p>
    <w:p>
      <w:pPr>
        <w:spacing w:after="0" w:line="170" w:lineRule="exact"/>
        <w:rPr>
          <w:sz w:val="20"/>
          <w:szCs w:val="20"/>
          <w:color w:val="auto"/>
        </w:rPr>
      </w:pPr>
    </w:p>
    <w:p>
      <w:pPr>
        <w:jc w:val="both"/>
        <w:ind w:left="20" w:hanging="8"/>
        <w:spacing w:after="0" w:line="277" w:lineRule="auto"/>
        <w:rPr>
          <w:sz w:val="20"/>
          <w:szCs w:val="20"/>
          <w:color w:val="auto"/>
        </w:rPr>
      </w:pPr>
      <w:r>
        <w:rPr>
          <w:rFonts w:ascii="Arial" w:cs="Arial" w:eastAsia="Arial" w:hAnsi="Arial"/>
          <w:sz w:val="18"/>
          <w:szCs w:val="18"/>
          <w:color w:val="auto"/>
        </w:rPr>
        <w:t>Phase 3 of The Bunker build-out, representing an additional 12 MW, is underway. This phase is planned to hold another 3,250 miners and produce approximately 325 PH/s with completion expected later this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Adds 3 MW in Washington State</w:t>
      </w:r>
    </w:p>
    <w:p>
      <w:pPr>
        <w:spacing w:after="0" w:line="229"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color w:val="auto"/>
        </w:rPr>
        <w:t>In Washington state, Bitfarms continues to benefit from low-cost hydropower and stable electricity rates. The added 3 MW facility brings total production from our Washington state farms to 20 MW. With low-cost electricity and a completely upgraded fleet of miners, the Washington facilities have the lowest production cost in our global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About Bitfarms Ltd.</w:t>
      </w:r>
    </w:p>
    <w:p>
      <w:pPr>
        <w:spacing w:after="0" w:line="229" w:lineRule="exact"/>
        <w:rPr>
          <w:sz w:val="20"/>
          <w:szCs w:val="20"/>
          <w:color w:val="auto"/>
        </w:rPr>
      </w:pPr>
    </w:p>
    <w:p>
      <w:pPr>
        <w:jc w:val="both"/>
        <w:ind w:left="20" w:hanging="8"/>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-308610</wp:posOffset>
            </wp:positionV>
            <wp:extent cx="712343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126" w:lineRule="exact"/>
        <w:rPr>
          <w:sz w:val="20"/>
          <w:szCs w:val="20"/>
          <w:color w:val="auto"/>
        </w:rPr>
      </w:pPr>
    </w:p>
    <w:p>
      <w:pPr>
        <w:jc w:val="both"/>
        <w:ind w:left="20" w:hanging="8"/>
        <w:spacing w:after="0" w:line="301" w:lineRule="auto"/>
        <w:rPr>
          <w:sz w:val="20"/>
          <w:szCs w:val="20"/>
          <w:color w:val="auto"/>
        </w:rPr>
      </w:pPr>
      <w:r>
        <w:rPr>
          <w:rFonts w:ascii="Arial" w:cs="Arial" w:eastAsia="Arial" w:hAnsi="Arial"/>
          <w:sz w:val="16"/>
          <w:szCs w:val="16"/>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-576580</wp:posOffset>
            </wp:positionV>
            <wp:extent cx="712343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137"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-422275</wp:posOffset>
            </wp:positionV>
            <wp:extent cx="712343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5"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-422275</wp:posOffset>
            </wp:positionV>
            <wp:extent cx="712343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5" w:lineRule="exact"/>
        <w:rPr>
          <w:sz w:val="20"/>
          <w:szCs w:val="20"/>
          <w:color w:val="auto"/>
        </w:rPr>
      </w:pPr>
    </w:p>
    <w:p>
      <w:pPr>
        <w:jc w:val="both"/>
        <w:ind w:left="20" w:hanging="8"/>
        <w:spacing w:after="0" w:line="270"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expansion plans, including construction at the Bunker and in Washington state, expectations for monthly and annual growth, targets and goals for productive capacity and hashrates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1" w:lineRule="exact"/>
        <w:rPr>
          <w:sz w:val="20"/>
          <w:szCs w:val="20"/>
          <w:color w:val="auto"/>
        </w:rPr>
      </w:pPr>
    </w:p>
    <w:p>
      <w:pPr>
        <w:jc w:val="both"/>
        <w:ind w:left="2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both"/>
        <w:ind w:left="20" w:hanging="8"/>
        <w:spacing w:after="0" w:line="283" w:lineRule="auto"/>
        <w:rPr>
          <w:sz w:val="20"/>
          <w:szCs w:val="20"/>
          <w:color w:val="auto"/>
        </w:rPr>
      </w:pPr>
      <w:r>
        <w:rPr>
          <w:rFonts w:ascii="Arial" w:cs="Arial" w:eastAsia="Arial" w:hAnsi="Arial"/>
          <w:sz w:val="16"/>
          <w:szCs w:val="16"/>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Arial" w:cs="Arial" w:eastAsia="Arial" w:hAnsi="Arial"/>
          <w:sz w:val="16"/>
          <w:szCs w:val="16"/>
          <w:color w:val="auto"/>
        </w:rPr>
        <w:t>;</w:t>
      </w:r>
      <w:r>
        <w:rPr>
          <w:rFonts w:ascii="Arial" w:cs="Arial" w:eastAsia="Arial" w:hAnsi="Arial"/>
          <w:sz w:val="16"/>
          <w:szCs w:val="16"/>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83820</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Matt Weaver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+1 339-234-3332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Ryan Affaires Publiques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2022-07-28T15:11:41Z</dcterms:created>
  <dcterms:modified xsi:type="dcterms:W3CDTF">2022-07-28T15:11:41Z</dcterms:modified>
</cp:coreProperties>
</file>