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September 3,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333-278868).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45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6420" w:type="dxa"/>
            <w:vAlign w:val="bottom"/>
            <w:tcBorders>
              <w:top w:val="single" w:sz="8" w:color="auto"/>
            </w:tcBorders>
          </w:tcPr>
          <w:p>
            <w:pPr>
              <w:spacing w:after="0"/>
              <w:rPr>
                <w:sz w:val="18"/>
                <w:szCs w:val="18"/>
                <w:color w:val="auto"/>
              </w:rPr>
            </w:pPr>
          </w:p>
        </w:tc>
      </w:tr>
      <w:tr>
        <w:trPr>
          <w:trHeight w:val="175"/>
        </w:trPr>
        <w:tc>
          <w:tcPr>
            <w:tcW w:w="1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Material Change Report dated September 3, 2024</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0000EE"/>
            </w:tcBorders>
            <w:shd w:val="clear" w:color="auto" w:fill="CCEEFF"/>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September 3,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17145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Provides August 2024 Production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Operations Update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Bitfarms to Acquire Stronghold Digital Mining, Increasing 2025 Energy Portfolio by 47%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Earned 233 BTC in August 2024 &amp; Increased HODL to 1,103 BTC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Increased Operational Hashrate to 11.3 EH/s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Announces Assumption of Control of Sharon, PA Site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ind w:hanging="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(September 3, 2024) </w:t>
      </w:r>
      <w:r>
        <w:rPr>
          <w:rFonts w:ascii="Times New Roman" w:cs="Times New Roman" w:eastAsia="Times New Roman" w:hAnsi="Times New Roman"/>
          <w:sz w:val="18"/>
          <w:szCs w:val="18"/>
          <w:color w:val="auto"/>
        </w:rPr>
        <w:t>- Bitfarms Ltd. (NASDAQ/TSX: BITF), a global leader in vertically integrated Bitcoin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center operations, is pleased to announce its latest monthly production report alongside an important update on its fleet upgrade and expansion initiatives. All financial references in this release are in U.S. dollars.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Expansion and Energy Portfolio Enhancement</w:t>
      </w:r>
    </w:p>
    <w:p>
      <w:pPr>
        <w:spacing w:after="0" w:line="229"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Ben Gagnon, Chief Executive Officer of Bitfarms, emphasized the strategic significance of recent developments: “The acquisition of Stronghold Digital Mining marks an important advancement for Bitfarms, solidifying our position as a dominant player in both the Bitcoin mining and HPC/AI sectors. This acquisition will enable us to enhance and rebalance our energy portfolio, targeting an expansion to 950 MW by the end of 2025, with nearly 50% of our capacity based in the U.S. Additionally, we are positioning ourselves for multi-year growth with total expansion capacity of up to 1.6 GW, approximately 66% of which is located in the U.S., a substantial increase from the current 6%.”</w:t>
      </w:r>
    </w:p>
    <w:p>
      <w:pPr>
        <w:spacing w:after="0" w:line="183"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Gagnon further elaborated on the Company’s strategy: “By vertically integrating with power generation, advancing our energy trading capabilities, and securing two sites with substantial multi-year expansion potential, Bitfarms is executing a strategy that positions us to diversify our operations beyond Bitcoin mining and maximize long-term shareholder value.”</w:t>
      </w:r>
    </w:p>
    <w:p>
      <w:pPr>
        <w:spacing w:after="0" w:line="176"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In addition to the strategic acquisition, Bitfarms has assumed control of its first mega-site located in Sharon, PA, which offers access to up to 120 MW. Gagnon noted, “With this transaction, we have finalized the acquisition of 110 MW, with 30 MW expected to come online by the end of 2024. We have also signed a Letter of Intent for an additional 10 MW site, which will increase our total site capacity to 120 MW by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developments underscore Bitfarms’ commitment to expanding its operational footprint and optimizing its energy strategy, further reinforcing its position as a leader in the industry.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Mining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Bitcoin difficulty decreased 1.3% in the month. August mining operations generated 233 BTC compared to 253 BTC in July as a result of the increase in average network difficulty during the month, partially offset by higher corporate hashrate due to the receipt of 2,744 T21 miners from Bitmain to replace the underperforming miners which are currently being installed.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2024</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July 2024</w:t>
            </w: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2023</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August 2024 Select Operating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EH/s operational at August 31, 2024, up 102% Y/Y and 2% M/M.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EH/s average operational, up 104% Y/Y and 1% M/M.</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 BTC/average EH/s, down 9% from the previous month due to the increase in average network difficulty.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 BTC earned, 8% lower M/M and 39% lower Y/Y.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BTC earned daily on average, equal to ~$443,000 per day based on a BTC price of $59,000 at August 31, 2024.</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5,040 T21 in transit.</w:t>
      </w:r>
    </w:p>
    <w:p>
      <w:pPr>
        <w:spacing w:after="0" w:line="252"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3,060 - Canada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648 - Washington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1,332 - Argentina</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Paraguay,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Yguazu, construction is progressing rapidly and remains on schedule.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Bitfarms’ BTC Monthly Production</w:t>
            </w: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0"/>
        </w:trPr>
        <w:tc>
          <w:tcPr>
            <w:tcW w:w="27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r>
      <w:tr>
        <w:trPr>
          <w:trHeight w:val="245"/>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70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2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5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7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7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7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7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7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7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7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7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3,281</w:t>
            </w:r>
          </w:p>
        </w:tc>
      </w:tr>
      <w:tr>
        <w:trPr>
          <w:trHeight w:val="655"/>
        </w:trPr>
        <w:tc>
          <w:tcPr>
            <w:tcW w:w="27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jc w:val="right"/>
              <w:ind w:right="28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August 2024 Financial Update</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147 of the 233 BTC earned as part of the Company’s regular treasury management practice for total proceeds of $8.8 million.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86 BTC, bringing Treasury to 1,103 BTC, up from 1,016 BTC last month and representing $65.1 million based on a BTC price of $59,000 at August 31, 2024.</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HODL™ of 647 long-dated BTC call options at August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5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September 9-11: H.C. Wainwright 26th Annual Global Investment Conference (New York)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21-22: AIM Summit (Dubai)</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13-14: Cantor Crypto, Digital Assets &amp; AI Infrastructure Conference (Miami)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45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5" w:lineRule="exact"/>
        <w:rPr>
          <w:sz w:val="20"/>
          <w:szCs w:val="20"/>
          <w:color w:val="auto"/>
        </w:rPr>
      </w:pPr>
    </w:p>
    <w:p>
      <w:pPr>
        <w:jc w:val="both"/>
        <w:ind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85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Glossary of Terms</w:t>
      </w:r>
    </w:p>
    <w:p>
      <w:pPr>
        <w:spacing w:after="0" w:line="22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HPC = High-performance computing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 = Artificial intelligence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GW or GWh – Gigawatts or gigawatt hour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-2586990</wp:posOffset>
            </wp:positionV>
            <wp:extent cx="7132320" cy="5760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576072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upgrading and deployment of miners as well as the timing therefor, closing of the Stronghold acquisition on a timely basis and on the terms as announced, the ability to integrate and successfully operate the Sharon mega-site with access to up to 120 MW, entering into a definitive lease agreement and receive regulatory approvals in respect of the letter of intent for a lease to an additional 10 MW site in Sharon, the benefits of the Stronghold acquisition and the other Sharon lease transactions (collectively, the “</w:t>
      </w:r>
      <w:r>
        <w:rPr>
          <w:rFonts w:ascii="Times New Roman" w:cs="Times New Roman" w:eastAsia="Times New Roman" w:hAnsi="Times New Roman"/>
          <w:sz w:val="18"/>
          <w:szCs w:val="18"/>
          <w:b w:val="1"/>
          <w:bCs w:val="1"/>
          <w:i w:val="1"/>
          <w:iCs w:val="1"/>
          <w:color w:val="auto"/>
        </w:rPr>
        <w:t>Sharon Acquisitions</w:t>
      </w:r>
      <w:r>
        <w:rPr>
          <w:rFonts w:ascii="Times New Roman" w:cs="Times New Roman" w:eastAsia="Times New Roman" w:hAnsi="Times New Roman"/>
          <w:sz w:val="18"/>
          <w:szCs w:val="18"/>
          <w:i w:val="1"/>
          <w:iCs w:val="1"/>
          <w:color w:val="auto"/>
        </w:rPr>
        <w:t>”) , the ability to gain access to additional electrical power and grow the hashrate of the Stronghold business and the other Sharon Acquisitions, performance of the plants and equipment upgrades and the impact on operating capacity including the target hashrate and multi-year expansion capacity, the opportunities to leverage Bitfarms’ proven expertise to successfully enhance energy efficiency and hashrate, the benefits of the growth strategy including to merge HPC / AI with Bitcoin mining operations, and other statements regarding future plans and objectives of each of Bitfarms, Stronghold and the combined company, improved financial performance and balance sheet liquidity, hashrate growth in general, energy efficiency and cost savings in general, and other growth opportunities and prospects, and other statements regarding future growth, plans and objectives of the Company are forward-looking information.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092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092440"/>
                    </a:xfrm>
                    <a:prstGeom prst="rect">
                      <a:avLst/>
                    </a:prstGeom>
                    <a:noFill/>
                  </pic:spPr>
                </pic:pic>
              </a:graphicData>
            </a:graphic>
          </wp:anchor>
        </w:drawing>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Stronghold acquisition, the letter of intent on the 10 MW is subject to entering into a definitive lease agreement and TSX approval, none of which is assured; the power purchase agreements and economics thereof may not be as advantageous as expected; the inability of Bitfarms to operate the plants as anticipated following consummation of the Sharon Acquisitions;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each of Bitfarms’, Stronghold’s or the combined company’s ability to utilize an at-the-market offering program (each, an “ATM Program”) and the prices at which securities may be sold in each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any of Bitfarms, Stronghold or the combined company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Stronghold’s filings on www.sec.gov, including the Annual Report on Form 10-K for the fiscal year ended 2023, filed on March 8, 2024, the Quarterly Report on Form 10-Q for the fiscal quarter ended March 31, 2024, filed on May 8, 2024, the Quarterly Report on Form 10-Q for the fiscal quarter ended June 30, 2024, filed on August 14, 2024, and subsequent reports on Forms 10-Q and 8-K. Although each of Bitfarms and Stronghold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Accordingly, readers should not place undue reliance on any forward-looking information. Neither Bitfarms nor Stronghold undertakes any obligation to revise or update any forward-looking information other than as required by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503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8503920"/>
                    </a:xfrm>
                    <a:prstGeom prst="rect">
                      <a:avLst/>
                    </a:prstGeom>
                    <a:noFill/>
                  </pic:spPr>
                </pic:pic>
              </a:graphicData>
            </a:graphic>
          </wp:anchor>
        </w:drawing>
        <w:t>Additional Information about the Merger and Where to Find 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Merger</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2024-09-04T05:19:06Z</dcterms:created>
  <dcterms:modified xsi:type="dcterms:W3CDTF">2024-09-04T05:19:06Z</dcterms:modified>
</cp:coreProperties>
</file>