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22"/>
          <w:szCs w:val="2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For the month of November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BITFARMS LTD.</w:t>
      </w:r>
    </w:p>
    <w:p>
      <w:pPr>
        <w:spacing w:after="0" w:line="2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110 Yonge Street, Suite 1601, Toronto, Ontario, Canada M5C 1T4</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480"/>
        <w:spacing w:after="0" w:line="207" w:lineRule="exact"/>
        <w:tabs>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0"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24, 2023, the Registrant filed with the Canadian Securities Regulatory Authorities on the System for Electronic Data Analysis and Retrieval (SEDAR) a material change report that includes a copy of a press release, a copy of which is attached hereto as Exhibit 99.1 and which is incorporated herein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Exhibits listed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7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No.</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Material Change Report dated November 24, 2023</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26035</wp:posOffset>
            </wp:positionV>
            <wp:extent cx="255460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30"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L. Geoffrey Morphy</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24, 2023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51-102F3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CHANGE REPORT</w:t>
      </w:r>
    </w:p>
    <w:p>
      <w:pPr>
        <w:spacing w:after="0" w:line="20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Name and Address of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 (“Bitfarms” or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 M5C 1T4</w:t>
      </w:r>
    </w:p>
    <w:p>
      <w:pPr>
        <w:spacing w:after="0" w:line="20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Date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24, 2023.</w:t>
      </w:r>
    </w:p>
    <w:p>
      <w:pPr>
        <w:spacing w:after="0" w:line="22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3</w:t>
        <w:tab/>
        <w:t>News Release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attached as Schedule “A” was released on November 24, 2023 by a newswire company in Canada.</w:t>
      </w:r>
    </w:p>
    <w:p>
      <w:pPr>
        <w:spacing w:after="0" w:line="22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Reliance of subsection 7.1(2) of National Instrument 51-102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Omitted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Geoffrey Morphy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&amp;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gmorphy@bitfarms.com</w:t>
      </w:r>
    </w:p>
    <w:p>
      <w:pPr>
        <w:spacing w:after="0" w:line="20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Date of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154305</wp:posOffset>
            </wp:positionV>
            <wp:extent cx="2031365" cy="531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Bitfarms Announces C$60 Million Private Placement with U.S. Institutional Investors</w:t>
      </w:r>
    </w:p>
    <w:p>
      <w:pPr>
        <w:spacing w:after="0" w:line="232" w:lineRule="exact"/>
        <w:rPr>
          <w:sz w:val="20"/>
          <w:szCs w:val="20"/>
          <w:color w:val="auto"/>
        </w:rPr>
      </w:pPr>
    </w:p>
    <w:p>
      <w:pPr>
        <w:jc w:val="both"/>
        <w:ind w:left="20" w:hanging="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Toronto, Ontario and Brossard, Québec (November 24, 2023) </w:t>
      </w:r>
      <w:r>
        <w:rPr>
          <w:rFonts w:ascii="Times New Roman" w:cs="Times New Roman" w:eastAsia="Times New Roman" w:hAnsi="Times New Roman"/>
          <w:sz w:val="18"/>
          <w:szCs w:val="18"/>
          <w:color w:val="auto"/>
        </w:rPr>
        <w:t>- Bitfarms Ltd. (</w:t>
      </w:r>
      <w:r>
        <w:rPr>
          <w:rFonts w:ascii="Times New Roman" w:cs="Times New Roman" w:eastAsia="Times New Roman" w:hAnsi="Times New Roman"/>
          <w:sz w:val="18"/>
          <w:szCs w:val="18"/>
          <w:u w:val="single" w:color="auto"/>
          <w:color w:val="auto"/>
        </w:rPr>
        <w:t>NASDAQ: BITF//TSX: BITF</w:t>
      </w:r>
      <w:r>
        <w:rPr>
          <w:rFonts w:ascii="Times New Roman" w:cs="Times New Roman" w:eastAsia="Times New Roman" w:hAnsi="Times New Roman"/>
          <w:sz w:val="18"/>
          <w:szCs w:val="18"/>
          <w:color w:val="auto"/>
        </w:rPr>
        <w:t>), a global vertically integrated Bitcoin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mining company, announces it has entered into subscription agreements with certain institutional investors for gross proceeds of approximately C$60 million in a private placement in the United States, comprised of 44,444,446 common shares at C$1.35 per common share along with warrants to purchase an aggregate of up to 22,222,223 common shares. The warrants have an exercise price of C$1.61 (US$1.17) per common share and exercise period of three years. The net proceeds of the private placement will be used by the Company mainly to acquire additional miners, expand infrastructure, and improve its working capital position.</w:t>
      </w:r>
    </w:p>
    <w:p>
      <w:pPr>
        <w:spacing w:after="0" w:line="186" w:lineRule="exact"/>
        <w:rPr>
          <w:sz w:val="20"/>
          <w:szCs w:val="20"/>
          <w:color w:val="auto"/>
        </w:rPr>
      </w:pPr>
    </w:p>
    <w:p>
      <w:pPr>
        <w:jc w:val="both"/>
        <w:ind w:left="20" w:hanging="8"/>
        <w:spacing w:after="0" w:line="282" w:lineRule="auto"/>
        <w:rPr>
          <w:sz w:val="20"/>
          <w:szCs w:val="20"/>
          <w:color w:val="auto"/>
        </w:rPr>
      </w:pPr>
      <w:r>
        <w:rPr>
          <w:rFonts w:ascii="Times New Roman" w:cs="Times New Roman" w:eastAsia="Times New Roman" w:hAnsi="Times New Roman"/>
          <w:sz w:val="18"/>
          <w:szCs w:val="18"/>
          <w:color w:val="auto"/>
        </w:rPr>
        <w:t>The private placement is expected to close on or about November 28, 2023, subject to satisfaction of customary closing conditions and approval of the Toronto Stock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-296545</wp:posOffset>
            </wp:positionV>
            <wp:extent cx="7123430" cy="411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3430" cy="411480"/>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H.C. Wainwright &amp; Co. is acting as the exclusive placement agent for the private placement.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securities were offered or sold to Canadian residents in connection with the private placement.</w:t>
      </w:r>
    </w:p>
    <w:p>
      <w:pPr>
        <w:spacing w:after="0" w:line="2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This news release shall not constitute an offer to sell or the solicitation of an offer to buy nor shall there be any sale of the securities in any jurisdiction in which such offer, solicitation or sale would be unlawful prior to </w:t>
      </w:r>
      <w:r>
        <w:rPr>
          <w:rFonts w:ascii="Times New Roman" w:cs="Times New Roman" w:eastAsia="Times New Roman" w:hAnsi="Times New Roman"/>
          <w:sz w:val="18"/>
          <w:szCs w:val="18"/>
          <w:color w:val="auto"/>
        </w:rPr>
        <w:t>registration</w:t>
      </w:r>
      <w:r>
        <w:rPr>
          <w:rFonts w:ascii="Times New Roman" w:cs="Times New Roman" w:eastAsia="Times New Roman" w:hAnsi="Times New Roman"/>
          <w:sz w:val="18"/>
          <w:szCs w:val="18"/>
          <w:i w:val="1"/>
          <w:iCs w:val="1"/>
          <w:color w:val="auto"/>
        </w:rPr>
        <w:t xml:space="preserve"> or qualification under the securities laws of any such jurisdiction. This news release shall not constitute an offer of securities for sale in the United States. The securities being offered have not been, nor will they be, registered under the United States Securities Act of 1933, as amended, and such securities may not be offered or sold within the United States absent registration under U.S. federal and state securities laws or an applicable exemption from such U.S. registration requirements.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About 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-116840</wp:posOffset>
            </wp:positionV>
            <wp:extent cx="7123430" cy="9601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3430" cy="960120"/>
                    </a:xfrm>
                    <a:prstGeom prst="rect">
                      <a:avLst/>
                    </a:prstGeom>
                    <a:noFill/>
                  </pic:spPr>
                </pic:pic>
              </a:graphicData>
            </a:graphic>
          </wp:anchor>
        </w:drawing>
      </w:r>
    </w:p>
    <w:p>
      <w:pPr>
        <w:spacing w:after="0" w:line="209" w:lineRule="exact"/>
        <w:rPr>
          <w:sz w:val="20"/>
          <w:szCs w:val="20"/>
          <w:color w:val="auto"/>
        </w:rPr>
      </w:pPr>
    </w:p>
    <w:p>
      <w:pPr>
        <w:jc w:val="both"/>
        <w:ind w:left="20" w:hanging="9"/>
        <w:spacing w:after="0" w:line="261" w:lineRule="auto"/>
        <w:rPr>
          <w:sz w:val="20"/>
          <w:szCs w:val="20"/>
          <w:color w:val="auto"/>
        </w:rPr>
      </w:pPr>
      <w:r>
        <w:rPr>
          <w:rFonts w:ascii="Times New Roman" w:cs="Times New Roman" w:eastAsia="Times New Roman" w:hAnsi="Times New Roman"/>
          <w:sz w:val="18"/>
          <w:szCs w:val="18"/>
          <w:color w:val="auto"/>
        </w:rPr>
        <w:t>Founded in 2017, Bitfarms is a global, publicly traded (NASDAQ/TSX: BITF) Bitcoin mining company that contributes its computational power to one or more mining pools from which it receives payment in Bitcoin. Bitfarms develops, owns, and operates vertically integrated mining farms with in-house management and company-owned electrical engineering, installation service, and multiple onsite technical repair centers. The Company’s proprietary data analytics system delivers best-in-class operational performance and uptime.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both"/>
        <w:ind w:left="20" w:hanging="9"/>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216535</wp:posOffset>
            </wp:positionH>
            <wp:positionV relativeFrom="page">
              <wp:posOffset>448945</wp:posOffset>
            </wp:positionV>
            <wp:extent cx="7123430" cy="2194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23430" cy="2194560"/>
                    </a:xfrm>
                    <a:prstGeom prst="rect">
                      <a:avLst/>
                    </a:prstGeom>
                    <a:noFill/>
                  </pic:spPr>
                </pic:pic>
              </a:graphicData>
            </a:graphic>
          </wp:anchor>
        </w:drawing>
        <w:t>Bitfarms currently has 11 farms, which are located in four countries: Canada, the United States, Paraguay, and Argentina. Powered by predominantly environmentally friendly hydro-electric and long-term power contracts, Bitfarms is committed to using sustainable, locally based, and often underutilized energy infrastructure.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Website: www.bitfarms.com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https://twitter.com/Bitfarms_io</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Glossary of Terms</w:t>
      </w:r>
    </w:p>
    <w:p>
      <w:pPr>
        <w:spacing w:after="0" w:line="227"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BTC BTC/day = Bitcoin or Bitcoin per day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EH or EH/s = Exahash or exahash per second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MW or MWh = Megawatts or megawatt hour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 or PH/s = Petahash or petahash per second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 or TH/s = Terahash or terahash per second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w/TH = Watts/Terahash efficiency (includes cost of powering supplementary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-1489710</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-1215390</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-941070</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-666750</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-392430</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274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7" w:lineRule="exact"/>
        <w:rPr>
          <w:sz w:val="20"/>
          <w:szCs w:val="20"/>
          <w:color w:val="auto"/>
        </w:rPr>
      </w:pPr>
    </w:p>
    <w:p>
      <w:pPr>
        <w:jc w:val="both"/>
        <w:ind w:left="20" w:hanging="8"/>
        <w:spacing w:after="0" w:line="267" w:lineRule="auto"/>
        <w:rPr>
          <w:sz w:val="20"/>
          <w:szCs w:val="20"/>
          <w:color w:val="auto"/>
        </w:rPr>
      </w:pPr>
      <w:r>
        <w:rPr>
          <w:rFonts w:ascii="Times New Roman" w:cs="Times New Roman" w:eastAsia="Times New Roman" w:hAnsi="Times New Roman"/>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-424815</wp:posOffset>
            </wp:positionV>
            <wp:extent cx="7123430" cy="8229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23430" cy="82296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7" w:lineRule="exact"/>
        <w:rPr>
          <w:sz w:val="20"/>
          <w:szCs w:val="20"/>
          <w:color w:val="auto"/>
        </w:rPr>
      </w:pPr>
    </w:p>
    <w:p>
      <w:pPr>
        <w:jc w:val="both"/>
        <w:ind w:left="20" w:hanging="8"/>
        <w:spacing w:after="0" w:line="254" w:lineRule="auto"/>
        <w:rPr>
          <w:sz w:val="20"/>
          <w:szCs w:val="20"/>
          <w:color w:val="auto"/>
        </w:rPr>
      </w:pPr>
      <w:r>
        <w:rPr>
          <w:rFonts w:ascii="Times New Roman" w:cs="Times New Roman" w:eastAsia="Times New Roman" w:hAnsi="Times New Roman"/>
          <w:sz w:val="18"/>
          <w:szCs w:val="18"/>
          <w:i w:val="1"/>
          <w:iCs w:val="1"/>
          <w:color w:val="auto"/>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expected power costs, enhancement of mining facilities, growth opportunities and prospects, including as to the Company’s plans to expand operating capacity in multiple jurisdictions, upgrading and deployment of miners as well as the timing therefor, improved financial liquidity and performance and other statements regarding future plans and objectives of the Company are forward-looking information. Other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185" w:lineRule="exact"/>
        <w:rPr>
          <w:sz w:val="20"/>
          <w:szCs w:val="20"/>
          <w:color w:val="auto"/>
        </w:rPr>
      </w:pPr>
    </w:p>
    <w:p>
      <w:pPr>
        <w:jc w:val="both"/>
        <w:ind w:left="20" w:hanging="8"/>
        <w:spacing w:after="0" w:line="258" w:lineRule="auto"/>
        <w:rPr>
          <w:sz w:val="20"/>
          <w:szCs w:val="20"/>
          <w:color w:val="auto"/>
        </w:rPr>
      </w:pPr>
      <w:r>
        <w:rPr>
          <w:rFonts w:ascii="Times New Roman" w:cs="Times New Roman" w:eastAsia="Times New Roman" w:hAnsi="Times New Roman"/>
          <w:sz w:val="18"/>
          <w:szCs w:val="18"/>
          <w:i w:val="1"/>
          <w:iCs w:val="1"/>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both"/>
        <w:ind w:left="20" w:hanging="8"/>
        <w:spacing w:after="0" w:line="266" w:lineRule="auto"/>
        <w:rPr>
          <w:sz w:val="20"/>
          <w:szCs w:val="20"/>
          <w:color w:val="auto"/>
        </w:rPr>
      </w:pPr>
      <w:r>
        <w:rPr>
          <w:rFonts w:ascii="Times New Roman" w:cs="Times New Roman" w:eastAsia="Times New Roman" w:hAnsi="Times New Roman"/>
          <w:sz w:val="17"/>
          <w:szCs w:val="17"/>
          <w:i w:val="1"/>
          <w:iCs w:val="1"/>
          <w:color w:val="auto"/>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availability of financing opportunities, risks associated with economic conditions, dependence on management and conflicts of interest, the ability to service debt obligations and maintain flexibility in respect of debt covenants; economic dependence on regulated terms of service and electricity rates; the speculative and competitive nature of the technology sector; dependency on continued growth in blockchain and cryptocurrency usage; lawsuits and other legal proceedings and challenges; conflict of interests with directors and management; government regulations; the global economic climate; dilution; the Company’s limited operating history; future capital needs and uncertainty of additional financing, as well as capital market conditions in general; risks relating to the strategy of maintaining and increasing Bitcoin holdings and the impact of depreciating Bitcoin prices on working capital; the competitive nature of the industry; currency exchange risks; the need for the Company to manage its planned growth and expansion; the effects of product development and need for continued technology change; the ability to maintain reliable and economical sources of power to run its cryptocurrency mining assets; the impact of energy curtailment or regulatory changes in the energy regimes in the jurisdictions in which the Company operates;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and volatile securities markets impacting security pricing unrelated to operating performance. In addition, particular factors that could impact future results of the business of Bitfarms include, but are not limited to: the construction and operation of facilities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for the Company to operate cryptocurrency mining assets; the risks of an increase in the Company’s electricity costs, cost of natural gas, changes in currency exchange rates, energy curtailment or regulatory changes in the energy regimes in the jurisdictions in which the Company operates and the adverse impact on the Company’s profitability;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(which are also available on the website of the U.S. Securities and Exchange Commission at www.sec.gov), including the annual information form for the year</w:t>
      </w:r>
      <w:r>
        <w:rPr>
          <w:rFonts w:ascii="Times New Roman" w:cs="Times New Roman" w:eastAsia="Times New Roman" w:hAnsi="Times New Roman"/>
          <w:sz w:val="17"/>
          <w:szCs w:val="17"/>
          <w:color w:val="auto"/>
        </w:rPr>
        <w:t>-ended December 31, 2022, filed on March 21, 2023. The</w:t>
      </w:r>
      <w:r>
        <w:rPr>
          <w:rFonts w:ascii="Times New Roman" w:cs="Times New Roman" w:eastAsia="Times New Roman" w:hAnsi="Times New Roman"/>
          <w:sz w:val="17"/>
          <w:szCs w:val="17"/>
          <w:i w:val="1"/>
          <w:iCs w:val="1"/>
          <w:color w:val="auto"/>
        </w:rPr>
        <w:t xml:space="preserv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LHA Investor Relations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David Barnard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+1 415-433-3777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Actual Agency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Khushboo Chaudhary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+1 646-373-9946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mediarelations@bitfarms.com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Québec Media: 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Louis-Martin Leclerc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+1 418-693-2425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lmleclerc@tactconseil.ca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wp:posOffset>
            </wp:positionV>
            <wp:extent cx="712343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23430" cy="13716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2023-11-24T16:28:09Z</dcterms:created>
  <dcterms:modified xsi:type="dcterms:W3CDTF">2023-11-24T16:28:09Z</dcterms:modified>
</cp:coreProperties>
</file>