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13, 2024, the Registrant filed with the Canadian Securities Regulatory Authorities on the System for Electronic Data Analysis and Retrieval + (SEDAR +)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the Registration Statement of Bitfarms Ltd. on </w:t>
      </w:r>
      <w:hyperlink r:id="rId20">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xml:space="preserve"> (File No. 333-278868).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4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May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900" w:right="53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Nicolas Bonta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Nicolas Bonta</w:t>
      </w:r>
    </w:p>
    <w:p>
      <w:pPr>
        <w:spacing w:after="0" w:line="27"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Chairman and Interim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May 13,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0"/>
        <w:spacing w:after="0" w:line="260" w:lineRule="auto"/>
        <w:rPr>
          <w:sz w:val="20"/>
          <w:szCs w:val="20"/>
          <w:color w:val="auto"/>
        </w:rPr>
      </w:pPr>
      <w:r>
        <w:rPr>
          <w:rFonts w:ascii="Times New Roman" w:cs="Times New Roman" w:eastAsia="Times New Roman" w:hAnsi="Times New Roman"/>
          <w:sz w:val="29"/>
          <w:szCs w:val="29"/>
          <w:b w:val="1"/>
          <w:bCs w:val="1"/>
          <w:color w:val="auto"/>
        </w:rPr>
        <w:t>Bitfarms Announces Acceleration of Previously Announced Termination of CEO and Provides Update on New CEO Appointment</w:t>
      </w:r>
    </w:p>
    <w:p>
      <w:pPr>
        <w:spacing w:after="0" w:line="164" w:lineRule="exact"/>
        <w:rPr>
          <w:sz w:val="20"/>
          <w:szCs w:val="20"/>
          <w:color w:val="auto"/>
        </w:rPr>
      </w:pPr>
    </w:p>
    <w:p>
      <w:pPr>
        <w:jc w:val="center"/>
        <w:ind w:left="4040" w:right="2500" w:hanging="1540"/>
        <w:spacing w:after="0" w:line="282" w:lineRule="auto"/>
        <w:tabs>
          <w:tab w:leader="none" w:pos="26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Geoffrey Morphy terminated as CEO and Nicolas Bonta appointed on interim basis – -CEO Executive search nearing completion-</w:t>
      </w:r>
    </w:p>
    <w:p>
      <w:pPr>
        <w:spacing w:after="0" w:line="16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(May 13, 2024) </w:t>
      </w:r>
      <w:r>
        <w:rPr>
          <w:rFonts w:ascii="Times New Roman" w:cs="Times New Roman" w:eastAsia="Times New Roman" w:hAnsi="Times New Roman"/>
          <w:sz w:val="18"/>
          <w:szCs w:val="18"/>
          <w:color w:val="auto"/>
        </w:rPr>
        <w:t>- Bitfarms Ltd. (NASDAQ/TSX: BITF), a global vertically integrated Bitcoin 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announces that Geoffrey Morphy, who had been continuing as President and Chief Executive Officer pending an executive search for a replacement as announced on March 25, 2024, has been terminated effective immediately. Mr. Morphy also no longer serves as a director of the Company. On May 10, 2024, Mr. Morphy filed a Statement of Claim in the Superior Court of Ontario against the Company claiming damages for breach of contract, wrongful dismissal and aggravated and punitive damages in the amount of USD$27 million. The Company believes the claims are without merit and intends to defend itself vigorously. Nicolas Bonta, Chairman and Co-Founder of the Company, has been appointed interim President and Chief Executive Officer, and will lead the Company until the executive search is completed and his successor is appointed.</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announced that the CEO executive search is nearing completion and that the Company will be appointing a new CEO in the next several weeks.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685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20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712343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23430" cy="137160"/>
                    </a:xfrm>
                    <a:prstGeom prst="rect">
                      <a:avLst/>
                    </a:prstGeom>
                    <a:noFill/>
                  </pic:spPr>
                </pic:pic>
              </a:graphicData>
            </a:graphic>
          </wp:anchor>
        </w:drawing>
        <w:t>Bitfarms currently has 11 operating Bitcoin mining facilities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2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154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31546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prospects for management changes and other statements regarding future growth,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line="251" w:lineRule="auto"/>
        <w:rPr>
          <w:sz w:val="20"/>
          <w:szCs w:val="20"/>
          <w:color w:val="auto"/>
        </w:rPr>
      </w:pPr>
      <w:r>
        <w:rPr>
          <w:rFonts w:ascii="Times New Roman" w:cs="Times New Roman" w:eastAsia="Times New Roman" w:hAnsi="Times New Roman"/>
          <w:sz w:val="18"/>
          <w:szCs w:val="18"/>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absence of any guarantee that the outcome of the claims by the former CEO will be decided favorably to the Company or that the resolution of any such matter will not have a material adverse effect upon the Company’s financial condition; the ability to manage the business and affairs of the Company on an interim basis pending the hiring of a permanent President and Chief Executive Officer; the ability to recruit and hire a qualified President and Chief Executive Officer on a timely basis and the ability of the candidate who is chosen to successfully fulfill the requirements of the position; the construction and operation of the Company’s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including the Company’s ability to utilize the Company’s at-the-market equity offering program (the “ATM Program”) and the prices at which the Company may sell Common Shares in the ATM Program; any regulations or laws that will prevent Bitfarms from operating its business;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MD&amp;A for the year-ended December 31, 2023, filed on March 7,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mediarelations@bitfarms.com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Media: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jpe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2024-05-13T15:37:01Z</dcterms:created>
  <dcterms:modified xsi:type="dcterms:W3CDTF">2024-05-13T15:37:01Z</dcterms:modified>
</cp:coreProperties>
</file>