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For the month of February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23"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280"/>
        <w:spacing w:after="0" w:line="207" w:lineRule="exact"/>
        <w:tabs>
          <w:tab w:leader="none" w:pos="56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180340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497840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79"/>
          </w:cols>
          <w:pgMar w:left="48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February 1, 2024,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333-272989).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Material Change Report dated February 1,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1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600" w:type="dxa"/>
            <w:vAlign w:val="bottom"/>
            <w:gridSpan w:val="2"/>
          </w:tcPr>
          <w:p>
            <w:pPr>
              <w:ind w:left="3120"/>
              <w:spacing w:after="0"/>
              <w:rPr>
                <w:sz w:val="20"/>
                <w:szCs w:val="20"/>
                <w:color w:val="auto"/>
              </w:rPr>
            </w:pPr>
            <w:r>
              <w:rPr>
                <w:rFonts w:ascii="Times New Roman" w:cs="Times New Roman" w:eastAsia="Times New Roman" w:hAnsi="Times New Roman"/>
                <w:sz w:val="18"/>
                <w:szCs w:val="18"/>
                <w:b w:val="1"/>
                <w:bCs w:val="1"/>
                <w:color w:val="auto"/>
              </w:rPr>
              <w:t>BITFARMS LTD.</w:t>
            </w:r>
          </w:p>
        </w:tc>
      </w:tr>
      <w:tr>
        <w:trPr>
          <w:trHeight w:val="439"/>
        </w:trPr>
        <w:tc>
          <w:tcPr>
            <w:tcW w:w="3640" w:type="dxa"/>
            <w:vAlign w:val="bottom"/>
          </w:tcPr>
          <w:p>
            <w:pPr>
              <w:spacing w:after="0"/>
              <w:rPr>
                <w:sz w:val="24"/>
                <w:szCs w:val="24"/>
                <w:color w:val="auto"/>
              </w:rPr>
            </w:pPr>
          </w:p>
        </w:tc>
        <w:tc>
          <w:tcPr>
            <w:tcW w:w="7600" w:type="dxa"/>
            <w:vAlign w:val="bottom"/>
            <w:gridSpan w:val="2"/>
          </w:tcPr>
          <w:p>
            <w:pPr>
              <w:ind w:left="3120"/>
              <w:spacing w:after="0"/>
              <w:rPr>
                <w:sz w:val="20"/>
                <w:szCs w:val="20"/>
                <w:color w:val="auto"/>
              </w:rPr>
            </w:pPr>
            <w:r>
              <w:rPr>
                <w:rFonts w:ascii="Times New Roman" w:cs="Times New Roman" w:eastAsia="Times New Roman" w:hAnsi="Times New Roman"/>
                <w:sz w:val="18"/>
                <w:szCs w:val="18"/>
                <w:color w:val="auto"/>
              </w:rPr>
              <w:t>By:  /s/ L. Geoffrey Morphy</w:t>
            </w:r>
          </w:p>
        </w:tc>
      </w:tr>
      <w:tr>
        <w:trPr>
          <w:trHeight w:val="198"/>
        </w:trPr>
        <w:tc>
          <w:tcPr>
            <w:tcW w:w="36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40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Name: L. Geoffrey Morphy</w:t>
            </w:r>
          </w:p>
        </w:tc>
      </w:tr>
      <w:tr>
        <w:trPr>
          <w:trHeight w:val="23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1, 2024</w:t>
            </w:r>
          </w:p>
        </w:tc>
        <w:tc>
          <w:tcPr>
            <w:tcW w:w="358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r>
        <w:trPr>
          <w:trHeight w:val="439"/>
        </w:trPr>
        <w:tc>
          <w:tcPr>
            <w:tcW w:w="36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jc w:val="right"/>
              <w:ind w:right="1470"/>
              <w:spacing w:after="0"/>
              <w:rPr>
                <w:sz w:val="20"/>
                <w:szCs w:val="20"/>
                <w:color w:val="auto"/>
              </w:rPr>
            </w:pPr>
            <w:r>
              <w:rPr>
                <w:rFonts w:ascii="Times New Roman" w:cs="Times New Roman" w:eastAsia="Times New Roman" w:hAnsi="Times New Roman"/>
                <w:sz w:val="18"/>
                <w:szCs w:val="18"/>
                <w:color w:val="auto"/>
              </w:rPr>
              <w:t>2</w:t>
            </w:r>
          </w:p>
        </w:tc>
        <w:tc>
          <w:tcPr>
            <w:tcW w:w="4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 2024.</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3</w:t>
        <w:tab/>
        <w:t>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February 1, 2024, by a newswire company in Canada.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Geoffrey Morphy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gmorphy@bitfarms.com</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154305</wp:posOffset>
            </wp:positionV>
            <wp:extent cx="2031365"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Bitfarms Earns 357 BTC in January 2024</w:t>
      </w:r>
    </w:p>
    <w:p>
      <w:pPr>
        <w:spacing w:after="0" w:line="44" w:lineRule="exact"/>
        <w:rPr>
          <w:sz w:val="20"/>
          <w:szCs w:val="20"/>
          <w:color w:val="auto"/>
        </w:rPr>
      </w:pPr>
    </w:p>
    <w:p>
      <w:pPr>
        <w:jc w:val="center"/>
        <w:ind w:left="3720" w:right="3580" w:hanging="125"/>
        <w:spacing w:after="0" w:line="258" w:lineRule="auto"/>
        <w:rPr>
          <w:sz w:val="20"/>
          <w:szCs w:val="20"/>
          <w:color w:val="auto"/>
        </w:rPr>
      </w:pPr>
      <w:r>
        <w:rPr>
          <w:rFonts w:ascii="Times New Roman" w:cs="Times New Roman" w:eastAsia="Times New Roman" w:hAnsi="Times New Roman"/>
          <w:sz w:val="18"/>
          <w:szCs w:val="18"/>
          <w:color w:val="auto"/>
        </w:rPr>
        <w:t>– On track to begin production at Paso Pe, Paraguay and to initiate fleet upgrades and expansion in Q1 2024 –</w:t>
      </w:r>
    </w:p>
    <w:p>
      <w:pPr>
        <w:spacing w:after="0" w:line="179" w:lineRule="exact"/>
        <w:rPr>
          <w:sz w:val="20"/>
          <w:szCs w:val="20"/>
          <w:color w:val="auto"/>
        </w:rPr>
      </w:pPr>
    </w:p>
    <w:p>
      <w:pPr>
        <w:jc w:val="both"/>
        <w:ind w:hanging="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(February 1, 2024) </w:t>
      </w:r>
      <w:r>
        <w:rPr>
          <w:rFonts w:ascii="Times New Roman" w:cs="Times New Roman" w:eastAsia="Times New Roman" w:hAnsi="Times New Roman"/>
          <w:sz w:val="18"/>
          <w:szCs w:val="18"/>
          <w:color w:val="auto"/>
        </w:rPr>
        <w:t>- Bitfarms Ltd. (</w:t>
      </w:r>
      <w:r>
        <w:rPr>
          <w:rFonts w:ascii="Times New Roman" w:cs="Times New Roman" w:eastAsia="Times New Roman" w:hAnsi="Times New Roman"/>
          <w:sz w:val="18"/>
          <w:szCs w:val="18"/>
          <w:u w:val="single" w:color="auto"/>
          <w:color w:val="auto"/>
        </w:rPr>
        <w:t>NASDAQ: BITF//TSX: BITF</w:t>
      </w:r>
      <w:r>
        <w:rPr>
          <w:rFonts w:ascii="Times New Roman" w:cs="Times New Roman" w:eastAsia="Times New Roman" w:hAnsi="Times New Roman"/>
          <w:sz w:val="18"/>
          <w:szCs w:val="18"/>
          <w:color w:val="auto"/>
        </w:rPr>
        <w:t>), a global vertically integrated Bitcoin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mining company, provides an update for the month ended January 31, 2024.</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2024, we are embarking on an aggressive growth plan, targeting hashrates of 12 EH/s in 1H 2024 and 21 EH/s in 2H 2024,” said Geoff Morphy, President and Chief Executive Officer of Bitfarms. “The new farm development in Paraguay is expected to drive much of this growth. With land purchased for our 100 MW facility in Yguazu and shipment of the main transformer for Paso Pe, our expansion projects continued on schedule in January. This transformative fleet upgrade and growth plan are being undertaken to position Bitfarms to gain market share and be among the lowest cost producers during this Halving year, which is anticipated to be an inflection point for the industry.”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Ben Gagnon, Chief Mining Officer of Bitfarms, said, “January mining operations generated 357 BTC compared to 446 BTC in December. This reflects the typical higher curtailment during the coldest months and a return to more normal transaction fees as compared to the temporary spike experienced in December 2023.”</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fleet upgrade commences with the first batch of 11,600 Bitmain T21 miners scheduled to begin shipping to Quebec in February. Our construction of air-cooled warehouses and installation of 1,920 MicroBT M53S+ hydro-cooled miners and containers at Paso Pe are scheduled for February and March, respectively. We are on track to initiate production at that farm by late Q1 2024. Those new installations along with fleet upgrades elsewhere in our portfolio throughout 1H 2024 should drive rapid increases in our hashrate and increased energy efficiency,” Gagnon added.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Mining Review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January production of 357 BTC represented a decrease of 20.0% from December as powerful winter storms across North America drove significantly higher energy curtailment, which is part of the grid stability programs in Quebec, and offsetting a network difficulty decrease of 2.3% during January.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January</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January</w:t>
            </w:r>
          </w:p>
        </w:tc>
      </w:tr>
      <w:tr>
        <w:trPr>
          <w:trHeight w:val="245"/>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tc>
        <w:tc>
          <w:tcPr>
            <w:tcW w:w="442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4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BTC earned</w:t>
            </w:r>
          </w:p>
        </w:tc>
        <w:tc>
          <w:tcPr>
            <w:tcW w:w="3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357</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446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486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Month End Operating EH/s</w:t>
            </w:r>
          </w:p>
        </w:tc>
        <w:tc>
          <w:tcPr>
            <w:tcW w:w="4420" w:type="dxa"/>
            <w:vAlign w:val="bottom"/>
            <w:gridSpan w:val="3"/>
          </w:tcPr>
          <w:p>
            <w:pPr>
              <w:jc w:val="center"/>
              <w:ind w:left="3310"/>
              <w:spacing w:after="0"/>
              <w:rPr>
                <w:sz w:val="20"/>
                <w:szCs w:val="20"/>
                <w:color w:val="auto"/>
              </w:rPr>
            </w:pPr>
            <w:r>
              <w:rPr>
                <w:rFonts w:ascii="Times New Roman" w:cs="Times New Roman" w:eastAsia="Times New Roman" w:hAnsi="Times New Roman"/>
                <w:sz w:val="18"/>
                <w:szCs w:val="18"/>
                <w:color w:val="auto"/>
                <w:w w:val="97"/>
              </w:rPr>
              <w:t>6.5</w:t>
            </w:r>
          </w:p>
        </w:tc>
        <w:tc>
          <w:tcPr>
            <w:tcW w:w="240" w:type="dxa"/>
            <w:vAlign w:val="bottom"/>
          </w:tcPr>
          <w:p>
            <w:pPr>
              <w:spacing w:after="0"/>
              <w:rPr>
                <w:sz w:val="18"/>
                <w:szCs w:val="18"/>
                <w:color w:val="auto"/>
              </w:rPr>
            </w:pPr>
          </w:p>
        </w:tc>
        <w:tc>
          <w:tcPr>
            <w:tcW w:w="1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6.5</w:t>
            </w:r>
          </w:p>
        </w:tc>
        <w:tc>
          <w:tcPr>
            <w:tcW w:w="220" w:type="dxa"/>
            <w:vAlign w:val="bottom"/>
          </w:tcPr>
          <w:p>
            <w:pPr>
              <w:spacing w:after="0"/>
              <w:rPr>
                <w:sz w:val="18"/>
                <w:szCs w:val="18"/>
                <w:color w:val="auto"/>
              </w:rPr>
            </w:pP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4.7</w:t>
            </w: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BTC/Avg. EH/s</w:t>
            </w:r>
          </w:p>
        </w:tc>
        <w:tc>
          <w:tcPr>
            <w:tcW w:w="4420" w:type="dxa"/>
            <w:vAlign w:val="bottom"/>
            <w:gridSpan w:val="3"/>
            <w:shd w:val="clear" w:color="auto" w:fill="CCEEFF"/>
          </w:tcPr>
          <w:p>
            <w:pPr>
              <w:jc w:val="center"/>
              <w:ind w:left="3310"/>
              <w:spacing w:after="0"/>
              <w:rPr>
                <w:sz w:val="20"/>
                <w:szCs w:val="20"/>
                <w:color w:val="auto"/>
              </w:rPr>
            </w:pPr>
            <w:r>
              <w:rPr>
                <w:rFonts w:ascii="Times New Roman" w:cs="Times New Roman" w:eastAsia="Times New Roman" w:hAnsi="Times New Roman"/>
                <w:sz w:val="18"/>
                <w:szCs w:val="18"/>
                <w:color w:val="auto"/>
                <w:w w:val="99"/>
              </w:rPr>
              <w:t>60</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72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110</w:t>
            </w:r>
          </w:p>
        </w:tc>
        <w:tc>
          <w:tcPr>
            <w:tcW w:w="10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Operating Capacity (MW)</w:t>
            </w:r>
          </w:p>
        </w:tc>
        <w:tc>
          <w:tcPr>
            <w:tcW w:w="4420" w:type="dxa"/>
            <w:vAlign w:val="bottom"/>
            <w:gridSpan w:val="3"/>
          </w:tcPr>
          <w:p>
            <w:pPr>
              <w:jc w:val="center"/>
              <w:ind w:left="3310"/>
              <w:spacing w:after="0"/>
              <w:rPr>
                <w:sz w:val="20"/>
                <w:szCs w:val="20"/>
                <w:color w:val="auto"/>
              </w:rPr>
            </w:pPr>
            <w:r>
              <w:rPr>
                <w:rFonts w:ascii="Times New Roman" w:cs="Times New Roman" w:eastAsia="Times New Roman" w:hAnsi="Times New Roman"/>
                <w:sz w:val="18"/>
                <w:szCs w:val="18"/>
                <w:color w:val="auto"/>
                <w:w w:val="96"/>
              </w:rPr>
              <w:t>240</w:t>
            </w:r>
          </w:p>
        </w:tc>
        <w:tc>
          <w:tcPr>
            <w:tcW w:w="240" w:type="dxa"/>
            <w:vAlign w:val="bottom"/>
          </w:tcPr>
          <w:p>
            <w:pPr>
              <w:spacing w:after="0"/>
              <w:rPr>
                <w:sz w:val="18"/>
                <w:szCs w:val="18"/>
                <w:color w:val="auto"/>
              </w:rPr>
            </w:pPr>
          </w:p>
        </w:tc>
        <w:tc>
          <w:tcPr>
            <w:tcW w:w="1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6"/>
              </w:rPr>
              <w:t>240</w:t>
            </w:r>
          </w:p>
        </w:tc>
        <w:tc>
          <w:tcPr>
            <w:tcW w:w="220" w:type="dxa"/>
            <w:vAlign w:val="bottom"/>
          </w:tcPr>
          <w:p>
            <w:pPr>
              <w:spacing w:after="0"/>
              <w:rPr>
                <w:sz w:val="18"/>
                <w:szCs w:val="18"/>
                <w:color w:val="auto"/>
              </w:rPr>
            </w:pP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6"/>
              </w:rPr>
              <w:t>188</w:t>
            </w: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Hydropower MW</w:t>
            </w:r>
          </w:p>
        </w:tc>
        <w:tc>
          <w:tcPr>
            <w:tcW w:w="4420" w:type="dxa"/>
            <w:vAlign w:val="bottom"/>
            <w:gridSpan w:val="3"/>
            <w:shd w:val="clear" w:color="auto" w:fill="CCEEFF"/>
          </w:tcPr>
          <w:p>
            <w:pPr>
              <w:jc w:val="center"/>
              <w:ind w:left="3310"/>
              <w:spacing w:after="0"/>
              <w:rPr>
                <w:sz w:val="20"/>
                <w:szCs w:val="20"/>
                <w:color w:val="auto"/>
              </w:rPr>
            </w:pPr>
            <w:r>
              <w:rPr>
                <w:rFonts w:ascii="Times New Roman" w:cs="Times New Roman" w:eastAsia="Times New Roman" w:hAnsi="Times New Roman"/>
                <w:sz w:val="18"/>
                <w:szCs w:val="18"/>
                <w:color w:val="auto"/>
                <w:w w:val="96"/>
              </w:rPr>
              <w:t>186</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186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178</w:t>
            </w:r>
          </w:p>
        </w:tc>
        <w:tc>
          <w:tcPr>
            <w:tcW w:w="10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Watts/Terahash Efficiency (w/TH)</w:t>
            </w:r>
          </w:p>
        </w:tc>
        <w:tc>
          <w:tcPr>
            <w:tcW w:w="4420" w:type="dxa"/>
            <w:vAlign w:val="bottom"/>
            <w:gridSpan w:val="3"/>
          </w:tcPr>
          <w:p>
            <w:pPr>
              <w:jc w:val="center"/>
              <w:ind w:left="3310"/>
              <w:spacing w:after="0"/>
              <w:rPr>
                <w:sz w:val="20"/>
                <w:szCs w:val="20"/>
                <w:color w:val="auto"/>
              </w:rPr>
            </w:pPr>
            <w:r>
              <w:rPr>
                <w:rFonts w:ascii="Times New Roman" w:cs="Times New Roman" w:eastAsia="Times New Roman" w:hAnsi="Times New Roman"/>
                <w:sz w:val="18"/>
                <w:szCs w:val="18"/>
                <w:color w:val="auto"/>
                <w:w w:val="99"/>
              </w:rPr>
              <w:t>35</w:t>
            </w:r>
          </w:p>
        </w:tc>
        <w:tc>
          <w:tcPr>
            <w:tcW w:w="240" w:type="dxa"/>
            <w:vAlign w:val="bottom"/>
          </w:tcPr>
          <w:p>
            <w:pPr>
              <w:spacing w:after="0"/>
              <w:rPr>
                <w:sz w:val="18"/>
                <w:szCs w:val="18"/>
                <w:color w:val="auto"/>
              </w:rPr>
            </w:pPr>
          </w:p>
        </w:tc>
        <w:tc>
          <w:tcPr>
            <w:tcW w:w="1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35</w:t>
            </w:r>
          </w:p>
        </w:tc>
        <w:tc>
          <w:tcPr>
            <w:tcW w:w="220" w:type="dxa"/>
            <w:vAlign w:val="bottom"/>
          </w:tcPr>
          <w:p>
            <w:pPr>
              <w:spacing w:after="0"/>
              <w:rPr>
                <w:sz w:val="18"/>
                <w:szCs w:val="18"/>
                <w:color w:val="auto"/>
              </w:rPr>
            </w:pP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40</w:t>
            </w: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Sold</w:t>
            </w:r>
          </w:p>
        </w:tc>
        <w:tc>
          <w:tcPr>
            <w:tcW w:w="4420" w:type="dxa"/>
            <w:vAlign w:val="bottom"/>
            <w:gridSpan w:val="3"/>
            <w:shd w:val="clear" w:color="auto" w:fill="CCEEFF"/>
          </w:tcPr>
          <w:p>
            <w:pPr>
              <w:jc w:val="center"/>
              <w:ind w:left="3310"/>
              <w:spacing w:after="0"/>
              <w:rPr>
                <w:sz w:val="20"/>
                <w:szCs w:val="20"/>
                <w:color w:val="auto"/>
              </w:rPr>
            </w:pPr>
            <w:r>
              <w:rPr>
                <w:rFonts w:ascii="Times New Roman" w:cs="Times New Roman" w:eastAsia="Times New Roman" w:hAnsi="Times New Roman"/>
                <w:sz w:val="18"/>
                <w:szCs w:val="18"/>
                <w:color w:val="auto"/>
                <w:w w:val="96"/>
              </w:rPr>
              <w:t>357</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444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486</w:t>
            </w:r>
          </w:p>
        </w:tc>
        <w:tc>
          <w:tcPr>
            <w:tcW w:w="100" w:type="dxa"/>
            <w:vAlign w:val="bottom"/>
            <w:shd w:val="clear" w:color="auto" w:fill="CCEEFF"/>
          </w:tcPr>
          <w:p>
            <w:pPr>
              <w:spacing w:after="0"/>
              <w:rPr>
                <w:sz w:val="18"/>
                <w:szCs w:val="18"/>
                <w:color w:val="auto"/>
              </w:rPr>
            </w:pPr>
          </w:p>
        </w:tc>
      </w:tr>
      <w:tr>
        <w:trPr>
          <w:trHeight w:val="655"/>
        </w:trPr>
        <w:tc>
          <w:tcPr>
            <w:tcW w:w="40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jc w:val="right"/>
              <w:ind w:right="145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January 2024 Select Operating Highlights</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 EH/s online as of January 31, 2024, up 38% from January 31, 2023, and level with December 31, 2023.</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 EH/s average online, down 4.8% from December 2023.</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60.6 BTC/average EH/s, down 15.5% from 71.7 in December 2023.</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357 BTC earned, 20.0% lower than December 2023 and 26.5% lower than January 2023.</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 BTC earned daily on average, equal to approximately $495,200 per day based on a BTC price of $43,000 at January 31,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MW main transformer is in transit on schedule for the Paso Pe, Paraguay farm.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Purchased land for development of up to 100 MW production facility at Yguazu, Paraguay.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Bitfarms’ BTC Monthly Production</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2760" w:type="dxa"/>
            <w:vAlign w:val="bottom"/>
            <w:tcBorders>
              <w:top w:val="single" w:sz="8" w:color="auto"/>
            </w:tcBorders>
          </w:tcPr>
          <w:p>
            <w:pPr>
              <w:spacing w:after="0"/>
              <w:rPr>
                <w:sz w:val="24"/>
                <w:szCs w:val="24"/>
                <w:color w:val="auto"/>
              </w:rPr>
            </w:pPr>
          </w:p>
        </w:tc>
        <w:tc>
          <w:tcPr>
            <w:tcW w:w="5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BTC Earned</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BTC Earned</w:t>
            </w:r>
          </w:p>
        </w:tc>
      </w:tr>
      <w:tr>
        <w:trPr>
          <w:trHeight w:val="245"/>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Month</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357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January 2024 Financial Update</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357 BTC of the 357 BTC earned, generating total proceeds of $15.3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Maintained BTC held in treasury at 804, representing approximately $34.6 million based on a BTC price of $43,000 at January 31,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Synthetic HODL™ of 135 long-dated BTC call options at January 31, 2024.</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total outstanding indebtedness during the month by $2.0 million, resulting in a remaining balance of $2.0 million at January 31, 2024 which is scheduled to be fully repaid in February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-116840</wp:posOffset>
            </wp:positionV>
            <wp:extent cx="7123430" cy="9601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23430" cy="960120"/>
                    </a:xfrm>
                    <a:prstGeom prst="rect">
                      <a:avLst/>
                    </a:prstGeom>
                    <a:noFill/>
                  </pic:spPr>
                </pic:pic>
              </a:graphicData>
            </a:graphic>
          </wp:anchor>
        </w:drawing>
      </w:r>
    </w:p>
    <w:p>
      <w:pPr>
        <w:spacing w:after="0" w:line="209" w:lineRule="exact"/>
        <w:rPr>
          <w:sz w:val="20"/>
          <w:szCs w:val="20"/>
          <w:color w:val="auto"/>
        </w:rPr>
      </w:pPr>
    </w:p>
    <w:p>
      <w:pPr>
        <w:jc w:val="both"/>
        <w:ind w:left="20" w:hanging="9"/>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publicly traded (NASDAQ/TSX: BITF) Bitcoin mining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216535</wp:posOffset>
            </wp:positionH>
            <wp:positionV relativeFrom="page">
              <wp:posOffset>448945</wp:posOffset>
            </wp:positionV>
            <wp:extent cx="7123430" cy="2057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23430" cy="2057400"/>
                    </a:xfrm>
                    <a:prstGeom prst="rect">
                      <a:avLst/>
                    </a:prstGeom>
                    <a:noFill/>
                  </pic:spPr>
                </pic:pic>
              </a:graphicData>
            </a:graphic>
          </wp:anchor>
        </w:drawing>
        <w:t>Bitfarms currently has 11 farms in production, one in expansion, one under construction, and one in development, in four countries: Canada, the United States, Paraguay, and Argentina. Powered by predominantly environmentally friendly hydro-electric and long-term power contracts, Bitfarms is committed to using sustainable, locally based,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19685</wp:posOffset>
            </wp:positionV>
            <wp:extent cx="672084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6720840" cy="137160"/>
                    </a:xfrm>
                    <a:prstGeom prst="rect">
                      <a:avLst/>
                    </a:prstGeom>
                    <a:noFill/>
                  </pic:spPr>
                </pic:pic>
              </a:graphicData>
            </a:graphic>
          </wp:anchor>
        </w:drawing>
      </w:r>
    </w:p>
    <w:p>
      <w:pPr>
        <w:spacing w:after="0" w:line="20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BTC BTC/day = Bitcoin or Bitcoin per day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 or EH/s = Exahash or exahash per second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 or MWh = Megawatts or megawatt hour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 or PH/s = Petahash or petahash per second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 or TH/s = Terahash or terahash per second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w/TH = Watts/Terahash efficiency (includes cost of powering supplementary equipment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Synthetic HODL™ = the use of instruments that create bitcoin equivalent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-1764030</wp:posOffset>
            </wp:positionV>
            <wp:extent cx="7132320" cy="1920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92024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468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2468880"/>
                    </a:xfrm>
                    <a:prstGeom prst="rect">
                      <a:avLst/>
                    </a:prstGeom>
                    <a:noFill/>
                  </pic:spPr>
                </pic:pic>
              </a:graphicData>
            </a:graphic>
          </wp:anchor>
        </w:drawing>
      </w:r>
    </w:p>
    <w:p>
      <w:pPr>
        <w:spacing w:after="0" w:line="207" w:lineRule="exact"/>
        <w:rPr>
          <w:sz w:val="20"/>
          <w:szCs w:val="20"/>
          <w:color w:val="auto"/>
        </w:rPr>
      </w:pPr>
    </w:p>
    <w:p>
      <w:pPr>
        <w:jc w:val="both"/>
        <w:ind w:left="20" w:hanging="8"/>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ind w:left="20" w:hanging="8"/>
        <w:spacing w:after="0" w:line="254" w:lineRule="auto"/>
        <w:rPr>
          <w:sz w:val="20"/>
          <w:szCs w:val="20"/>
          <w:color w:val="auto"/>
        </w:rPr>
      </w:pPr>
      <w:r>
        <w:rPr>
          <w:rFonts w:ascii="Times New Roman" w:cs="Times New Roman" w:eastAsia="Times New Roman" w:hAnsi="Times New Roman"/>
          <w:sz w:val="18"/>
          <w:szCs w:val="18"/>
          <w:i w:val="1"/>
          <w:iCs w:val="1"/>
          <w:color w:val="auto"/>
          <w:highlight w:val="white"/>
        </w:rPr>
        <w:t xml:space="preserve">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w:t>
      </w:r>
      <w:r>
        <w:rPr>
          <w:rFonts w:ascii="Times New Roman" w:cs="Times New Roman" w:eastAsia="Times New Roman" w:hAnsi="Times New Roman"/>
          <w:sz w:val="18"/>
          <w:szCs w:val="18"/>
          <w:i w:val="1"/>
          <w:iCs w:val="1"/>
          <w:color w:val="auto"/>
        </w:rPr>
        <w:t xml:space="preserve">securities laws. The statements and information in this release regarding projected growth, target hashrate, opportunities relating to the Company’s geographical diversification and expansion, upgrading and deployment of miners as well as the timing therefor, improved financial performance and </w:t>
      </w:r>
      <w:r>
        <w:rPr>
          <w:rFonts w:ascii="Times New Roman" w:cs="Times New Roman" w:eastAsia="Times New Roman" w:hAnsi="Times New Roman"/>
          <w:sz w:val="18"/>
          <w:szCs w:val="18"/>
          <w:i w:val="1"/>
          <w:iCs w:val="1"/>
          <w:color w:val="auto"/>
          <w:highlight w:val="white"/>
        </w:rPr>
        <w:t xml:space="preserve">balance sheet liquidity, other growth opportunities and prospects, and other statements regarding future growth, plans and objectives of the Company are </w:t>
      </w:r>
      <w:r>
        <w:rPr>
          <w:rFonts w:ascii="Times New Roman" w:cs="Times New Roman" w:eastAsia="Times New Roman" w:hAnsi="Times New Roman"/>
          <w:sz w:val="18"/>
          <w:szCs w:val="18"/>
          <w:i w:val="1"/>
          <w:iCs w:val="1"/>
          <w:color w:val="auto"/>
        </w:rPr>
        <w:t xml:space="preserve">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w:t>
      </w:r>
      <w:r>
        <w:rPr>
          <w:rFonts w:ascii="Times New Roman" w:cs="Times New Roman" w:eastAsia="Times New Roman" w:hAnsi="Times New Roman"/>
          <w:sz w:val="18"/>
          <w:szCs w:val="18"/>
          <w:i w:val="1"/>
          <w:iCs w:val="1"/>
          <w:color w:val="auto"/>
          <w:highlight w:val="white"/>
        </w:rPr>
        <w:t xml:space="preserve">“does not anticipate”, “plans”, “budget”, “scheduled”, “forecasts”, “estimates”, “prospects”, “believes” or “intends” or variations of such words and </w:t>
      </w:r>
      <w:r>
        <w:rPr>
          <w:rFonts w:ascii="Times New Roman" w:cs="Times New Roman" w:eastAsia="Times New Roman" w:hAnsi="Times New Roman"/>
          <w:sz w:val="18"/>
          <w:szCs w:val="18"/>
          <w:i w:val="1"/>
          <w:iCs w:val="1"/>
          <w:color w:val="auto"/>
        </w:rPr>
        <w:t xml:space="preserve">phrases or stating that certain actions, events or results “may” or “could”, “would”, “might” or “will” be taken to occur or be achieved) are not </w:t>
      </w:r>
      <w:r>
        <w:rPr>
          <w:rFonts w:ascii="Times New Roman" w:cs="Times New Roman" w:eastAsia="Times New Roman" w:hAnsi="Times New Roman"/>
          <w:sz w:val="18"/>
          <w:szCs w:val="18"/>
          <w:i w:val="1"/>
          <w:iCs w:val="1"/>
          <w:color w:val="auto"/>
          <w:highlight w:val="white"/>
        </w:rPr>
        <w:t>statements of historical fact and may be forward-looking information and are intended to identify forward-looking information.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left="20" w:hanging="8"/>
        <w:spacing w:after="0" w:line="252" w:lineRule="auto"/>
        <w:rPr>
          <w:sz w:val="20"/>
          <w:szCs w:val="20"/>
          <w:color w:val="auto"/>
        </w:rPr>
      </w:pPr>
      <w:r>
        <w:rPr>
          <w:rFonts w:ascii="Times New Roman" w:cs="Times New Roman" w:eastAsia="Times New Roman" w:hAnsi="Times New Roman"/>
          <w:sz w:val="18"/>
          <w:szCs w:val="18"/>
          <w:i w:val="1"/>
          <w:iCs w:val="1"/>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construction and operation of the facility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year-ended December 31, 2022, filed on March 21, 2023.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Tracy Krumme (Bitfarms)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Barnard (LHA)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+1 415-433-3777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Actual Agency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Khushboo Chaudhary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+1 646-373-9946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mediarelations@bitfarms.com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Media: 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lmleclerc@tactconseil.ca</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endash "/>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jpe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19" Type="http://schemas.openxmlformats.org/officeDocument/2006/relationships/hyperlink" Target="http://www.sec.gov/Archives/edgar/data/1812477/000121390023052498/ea180981-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2024-02-01T15:11:12Z</dcterms:created>
  <dcterms:modified xsi:type="dcterms:W3CDTF">2024-02-01T15:11:12Z</dcterms:modified>
</cp:coreProperties>
</file>