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333-282657</w:t>
      </w:r>
    </w:p>
    <w:p>
      <w:pPr>
        <w:sectPr>
          <w:pgSz w:w="11900" w:h="16838" w:orient="portrait"/>
          <w:cols w:equalWidth="0" w:num="1">
            <w:col w:w="9019"/>
          </w:cols>
          <w:pgMar w:left="1440" w:top="333" w:right="1440" w:bottom="1440" w:gutter="0" w:footer="0" w:header="0"/>
        </w:sectPr>
      </w:pPr>
    </w:p>
    <w:p>
      <w:pPr>
        <w:spacing w:after="0" w:line="16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PROXY STATEMENT OF STRONGHOLD</w:t>
      </w:r>
    </w:p>
    <w:p>
      <w:pPr>
        <w:spacing w:after="0" w:line="39"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DIGITAL MINING,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134620</wp:posOffset>
            </wp:positionV>
            <wp:extent cx="20142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4220" cy="4286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7"/>
          <w:szCs w:val="17"/>
          <w:color w:val="auto"/>
        </w:rPr>
        <w:t>PROSPECTUS OF 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281940</wp:posOffset>
            </wp:positionV>
            <wp:extent cx="171450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445" w:lineRule="exact"/>
        <w:rPr>
          <w:sz w:val="24"/>
          <w:szCs w:val="24"/>
          <w:color w:val="auto"/>
        </w:rPr>
      </w:pPr>
    </w:p>
    <w:p>
      <w:pPr>
        <w:sectPr>
          <w:pgSz w:w="11900" w:h="16838" w:orient="portrait"/>
          <w:cols w:equalWidth="0" w:num="2">
            <w:col w:w="4440" w:space="720"/>
            <w:col w:w="3859"/>
          </w:cols>
          <w:pgMar w:left="1440" w:top="33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460" w:right="1979" w:firstLine="1507"/>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MERGER PROPOSED — YOUR VOTE IS VERY IMPORTANT </w:t>
      </w:r>
      <w:r>
        <w:rPr>
          <w:rFonts w:ascii="Times New Roman" w:cs="Times New Roman" w:eastAsia="Times New Roman" w:hAnsi="Times New Roman"/>
          <w:sz w:val="18"/>
          <w:szCs w:val="18"/>
          <w:color w:val="auto"/>
        </w:rPr>
        <w:t>To the Stockholders of Stronghold Digital Mining, Inc.:</w:t>
      </w:r>
    </w:p>
    <w:p>
      <w:pPr>
        <w:spacing w:after="0" w:line="23" w:lineRule="exact"/>
        <w:rPr>
          <w:sz w:val="24"/>
          <w:szCs w:val="24"/>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2024, Stronghold Digital Mining, Inc. (“Stronghold”) entered into an Agreement and Plan of Merger (the “initial merger agreement”) with Bitfarms Ltd. (“Bitfarms”), Backbone Mining Solutions LLC, an indirect, wholly-owned subsidiary of Bitfarms (“BMS”) and HPC &amp; AI Megacorp, Inc., a direct, wholly-owned subsidiary of BMS (“Merger Sub”), which was amended by amendment no. 1 thereto dated as of September 12, 2024 (“amendment no. 1,” and together with the initial merger agreement and as may be further amended from time to time, the “merger agreement”). The merger agreement provides for the combination of Stronghold and Bitfarms through a stock-for-stock merger, after which Stronghold will become an indirect, wholly-owned subsidiary of Bitfarms (the “merger”).</w:t>
      </w:r>
    </w:p>
    <w:p>
      <w:pPr>
        <w:spacing w:after="0" w:line="219" w:lineRule="exact"/>
        <w:rPr>
          <w:sz w:val="24"/>
          <w:szCs w:val="24"/>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merger is completed, you will receive 2.520 common shares of Bitfarms, no par value (“Bitfarms common shares”) for each share of Stronghold Class A common stock, par value $0.0001 per share (“Stronghold Class A common stock”) (the “exchange ratio”), that you own (the “merger consideration”). This exchange ratio is fixed and will not be adjusted to reflect changes in the price of Stronghold Class A common stock or Bitfarms common shares prior to the completion of the merger. The Bitfarms common shares issued in connection with the merger will be listed on the Nasdaq Stock Market LLC (“Nasdaq”) and the Toronto Stock Exchange (the “TSX”).</w:t>
      </w:r>
    </w:p>
    <w:p>
      <w:pPr>
        <w:spacing w:after="0" w:line="229" w:lineRule="exact"/>
        <w:rPr>
          <w:sz w:val="24"/>
          <w:szCs w:val="24"/>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value of the merger consideration will fluctuate with the market price of Bitfarms common shares. You should obtain current share price quotations for Stronghold Class A common stock and Bitfarms common shares. Stronghold Class A common stock is listed on Nasdaq under the ticker symbol “SDIG,” and Bitfarms common shares are listed on Nasdaq and the TSX under the ticker symbol “BITF.” Based on the closing price of Bitfarms common shares on Nasdaq of $2.36 on August 20, 2024, the last trading day before the public announcement of the merger agreement on August 21, 2024, the exchange ratio represented approximately $5.95 in Bitfarms common shares for each share of Stronghold Class A common stock. Based on the closing price of Bitfarms common shares on Nasdaq of $1.40 on January 27, 2025, the latest practicable date before the date of this proxy statement/prospectus, the exchange ratio represented approximately $3.53 in Bitfarms common shares for each share of Stronghold Class A common stock.</w:t>
      </w:r>
    </w:p>
    <w:p>
      <w:pPr>
        <w:spacing w:after="0" w:line="231" w:lineRule="exact"/>
        <w:rPr>
          <w:sz w:val="24"/>
          <w:szCs w:val="24"/>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the issued and outstanding Stronghold Class A common stock and Stronghold Class V common stock, par value $0.0001 per share (“Stronghold Class V common stock” and, together with the Stronghold Class A common stock, the “Stronghold common stock”) you own. </w:t>
      </w:r>
      <w:r>
        <w:rPr>
          <w:rFonts w:ascii="Times New Roman" w:cs="Times New Roman" w:eastAsia="Times New Roman" w:hAnsi="Times New Roman"/>
          <w:sz w:val="18"/>
          <w:szCs w:val="18"/>
          <w:color w:val="auto"/>
        </w:rPr>
        <w:t>The merger cannot be completed without Stronghold stockholders approving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adopting the merger agreement and approving the transactions contemplated thereby, including the merger. Stronghold is holding a special meeting of its stockholders (the “special meeting”) to vote on the approval and adoption of the merger agreement and the transactions contemplated thereby, including the merger. More information about Stronghold, Bitfarms, the merger agreement, the merger and the special meeting is contained in this proxy statement/prospectus. </w:t>
      </w:r>
      <w:r>
        <w:rPr>
          <w:rFonts w:ascii="Times New Roman" w:cs="Times New Roman" w:eastAsia="Times New Roman" w:hAnsi="Times New Roman"/>
          <w:sz w:val="18"/>
          <w:szCs w:val="18"/>
          <w:b w:val="1"/>
          <w:bCs w:val="1"/>
          <w:color w:val="auto"/>
        </w:rPr>
        <w:t>We encourage you to read this document carefully before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the section entitled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21. </w:t>
      </w:r>
      <w:r>
        <w:rPr>
          <w:rFonts w:ascii="Times New Roman" w:cs="Times New Roman" w:eastAsia="Times New Roman" w:hAnsi="Times New Roman"/>
          <w:sz w:val="18"/>
          <w:szCs w:val="18"/>
          <w:color w:val="auto"/>
        </w:rPr>
        <w:t>Regardless of whether you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the special meeting, please take the time to vote your shares in accordance with the instructions contained in this document.</w:t>
      </w:r>
    </w:p>
    <w:p>
      <w:pPr>
        <w:spacing w:after="0" w:line="221" w:lineRule="exact"/>
        <w:rPr>
          <w:sz w:val="24"/>
          <w:szCs w:val="24"/>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issued and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248285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approval and adoption of the merger agreement and approval of the transactions contemplated thereby, including the merger.</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0" w:type="dxa"/>
            <w:vAlign w:val="bottom"/>
          </w:tcPr>
          <w:p>
            <w:pPr>
              <w:spacing w:after="0"/>
              <w:rPr>
                <w:sz w:val="1"/>
                <w:szCs w:val="1"/>
                <w:color w:val="auto"/>
              </w:rPr>
            </w:pPr>
          </w:p>
        </w:tc>
      </w:tr>
      <w:tr>
        <w:trPr>
          <w:trHeight w:val="28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Gregory A. Beard</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A. Beard</w:t>
            </w:r>
          </w:p>
        </w:tc>
        <w:tc>
          <w:tcPr>
            <w:tcW w:w="100" w:type="dxa"/>
            <w:vAlign w:val="bottom"/>
            <w:vMerge w:val="continue"/>
          </w:tcPr>
          <w:p>
            <w:pPr>
              <w:spacing w:after="0"/>
              <w:rPr>
                <w:sz w:val="16"/>
                <w:szCs w:val="16"/>
                <w:color w:val="auto"/>
              </w:rPr>
            </w:pPr>
          </w:p>
        </w:tc>
        <w:tc>
          <w:tcPr>
            <w:tcW w:w="2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Gagnon</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U.S. STATE OR CANADIAN PROVINCIAL OR TERRITORIAL SECURITIES COMMISSION HAS APPROVED OR DISAPPROVED OF THE SECURITIES TO BE ISSUED IN CONNECTION WITH THE MERGER OR DETERMINED IF THIS PROXY STATEMENT/PROSPECTUS IS TRUTHFUL OR COMPLETE. ANY REPRESENTATION TO THE CONTRARY IS A CRIMINAL OFFENSE.</w:t>
      </w:r>
    </w:p>
    <w:p>
      <w:pPr>
        <w:spacing w:after="0" w:line="9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to be issued in connection with the merger are not savings or deposit accounts and are not insured by the Federal Deposit Insurance Corporation, the Canada Deposit Insurance Corporation or any other governmental agency.</w:t>
      </w:r>
    </w:p>
    <w:p>
      <w:pPr>
        <w:spacing w:after="0" w:line="10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date of this proxy statement/prospectus is January 28, 2025 and it is first being mailed to Stronghold stockholders on or about 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and Bitfarms file and furnish annual, quarterly and other reports, proxy statements or management information circulars and other information with or to the U.S. Securities and Exchange Commission (the “SEC”). This proxy statement/prospectus incorporates by reference important business and financial information about Stronghold and Bitfarms from documents that are not included in or delivered with this proxy statement/prospectus. For a listing of the documents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You can obtain copies of the documents incorporated by reference into this proxy statement/prospectus,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with respect to Bitfarms, on the Canadian System for Electronic Document Analysis and Retrieval (“SEDAR+”), the Canadian equivalent of the SEC’s Electronic Data Gathering, Analysis and Retrieval system,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You may also obtain copies of documents filed by Stronghold with the SEC from Stronghold’s website at </w:t>
      </w:r>
      <w:r>
        <w:rPr>
          <w:rFonts w:ascii="Times New Roman" w:cs="Times New Roman" w:eastAsia="Times New Roman" w:hAnsi="Times New Roman"/>
          <w:sz w:val="18"/>
          <w:szCs w:val="18"/>
          <w:i w:val="1"/>
          <w:iCs w:val="1"/>
          <w:color w:val="auto"/>
        </w:rPr>
        <w:t xml:space="preserve">www.strongholddigitalmining.com </w:t>
      </w:r>
      <w:r>
        <w:rPr>
          <w:rFonts w:ascii="Times New Roman" w:cs="Times New Roman" w:eastAsia="Times New Roman" w:hAnsi="Times New Roman"/>
          <w:sz w:val="18"/>
          <w:szCs w:val="18"/>
          <w:color w:val="auto"/>
        </w:rPr>
        <w:t>and copies of documents filed by Bitfarms with the SEC and SEDAR+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Bitfarms’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You can also request copies of such documents incorporated by reference into this proxy statement/prospectus (excluding all exhibits, unless an exhibit has specifically been incorporated by reference into this proxy statement/prospectus), without charge, by requesting them in writing or by telephone from the appropriate company at the following addresses and telephone numbers:</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if you have questions about the merger or the special meeting, need additional copies of this proxy statement/prospectus or need to obtain proxy cards or other information related to the proxy solicitation, you may contact Mackenzie Partners, Inc., Stronghold’s proxy solicitor, at the following address and telephone number: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3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be charged for any of the documents that you request. If you would like to request documents, please do so by February 20, 2025 (which is five business days before the date of the special meeting) in order to receive them before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 No. 333-282657) filed with the SEC by Bitfarms, constitutes a prospectus of Bitfarms under Section 5 of the U.S. Securities Act of 1933, as amended (the “U.S. Securities Act”), with respect to the Bitfarms common shares to be issued to Stronghold stockholders pursuant to the merger agreement.</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This proxy statement/prospectus also constitutes a notice of meeting and a proxy statement of Stronghold under Section 14(a) of the U.S. Securities Exchange Act of 1934, as amended (the “U.S. Exchange Act”), with respect to the special meeting, at which Stronghold stockholders will be asked to consider and vote on a proposal to approve and adopt the merger agreement and approve the transactions contemplated thereby, including the merger.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January 28, 2025. The information contained in this proxy statement/prospectus is accurate only as of that date or, in the case of information in a document incorporated by reference, as of the date of such document, unless the information specifically indicates that another date applies. Neither the mailing of this proxy statement/prospectus to Stronghold stockholders nor the issuance by Bitfarms of common shares pursuant to the merger agreement will create any implication to the contrary.</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in which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information concerning Bitfarms contained in, or incorporated by reference into, this proxy statement/prospectus has been provided by Bitfarms, and information concerning Stronghold contained in, or incorporated by reference into, this proxy statement/prospectus has been provided by Stronghold.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stockholders are encouraged to consult with their own legal, tax, financial or other professional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EXCHANGE RATE DATA</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specified, currency amounts referenced in this proxy statement/prospectus are in U.S. dollars.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References to “$” or “US$” are to U.S. dollars and references to “C$” are to Canadian dollars.</w:t>
      </w:r>
    </w:p>
    <w:p>
      <w:pPr>
        <w:spacing w:after="0" w:line="139"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years and dates indicated, certain information regarding the Canadian dollar/U.S. dollar exchange rate.</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information is based on the exchange rate as reported by the Bank of Canada. Such exchange rate on January 27, 2025 was C$1.4381 = US$1.00.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End</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41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24"/>
                <w:szCs w:val="24"/>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7"/>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 ended,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January 1 through 27, 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1.4330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1.4010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March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445"/>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COMMON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27, 2025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Stronghold Digital Mining, Inc.:</w:t>
      </w:r>
    </w:p>
    <w:p>
      <w:pPr>
        <w:spacing w:after="0" w:line="15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A special meeting (the “special meeting”) of stockholders of Stronghold Digital Mining, Inc., a Delaware corporation (“Stronghold”), will be held at 10:00 a.m., Eastern Time, on February 27, 2025. The special meeting will be a completely virtual meeting, which will be conducted through an audio webcast. You may attend by registering at </w:t>
      </w:r>
      <w:r>
        <w:rPr>
          <w:rFonts w:ascii="Times New Roman" w:cs="Times New Roman" w:eastAsia="Times New Roman" w:hAnsi="Times New Roman"/>
          <w:sz w:val="18"/>
          <w:szCs w:val="18"/>
          <w:i w:val="1"/>
          <w:iCs w:val="1"/>
          <w:color w:val="auto"/>
        </w:rPr>
        <w:t>www.virtualshareholdermeeting.com/SDIG2025SM</w:t>
      </w:r>
      <w:r>
        <w:rPr>
          <w:rFonts w:ascii="Times New Roman" w:cs="Times New Roman" w:eastAsia="Times New Roman" w:hAnsi="Times New Roman"/>
          <w:sz w:val="18"/>
          <w:szCs w:val="18"/>
          <w:color w:val="auto"/>
        </w:rPr>
        <w:t xml:space="preserve"> and following the instructions provided during registration. You may be required to enter the control number included on the proxy card you received or in the instructions that accompanied your proxy materials. The special meeting is being held to consider and vote on a proposal (the “merger proposal”) to approve and adopt the Agreement and Plan of Merger (the “initial merger agreement”), dated as of August 21, 2024, which was amended by amendment no. 1 thereto dated as of September 12, 2024 (“amendment no. 1,” and together with the initial merger agreement and as may be further amended from time to time, the “merger agreement”), by and among Stronghold, Bitfarms Ltd., a corporation organized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(“Bitfarms”), Backbone Mining Solutions LLC, a Delaware limited liability company and an indirect, wholly-owned subsidiary of Bitfarms (“BMS”) and HPC &amp; AI Megacorp, Inc., a Delaware corporation and a direct, wholly-owned subsidiary of BMS (“Merger Sub”), pursuant to which, among other things, Merger Sub will merge with and into Stronghold, with Stronghold surviving the merger as an indirect, wholly-owned subsidiary of Bitfarms (the “merger”).</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Stronghold will transact no other business at the special meeting, except such business as may properly be brought before the special meeting or any adjournments or postponements thereof. A copy of the initial merger agreement is attached as Annex A-1 and a copy of amendment no. 1 is attached as Annex A-2 to the proxy statement/prospectus accompanying this notice. The merger proposal and the related transactions are described in detail in the accompanying proxy statement/prospectus, which you should read before you vote. </w:t>
      </w:r>
      <w:r>
        <w:rPr>
          <w:rFonts w:ascii="Times New Roman" w:cs="Times New Roman" w:eastAsia="Times New Roman" w:hAnsi="Times New Roman"/>
          <w:sz w:val="18"/>
          <w:szCs w:val="18"/>
          <w:b w:val="1"/>
          <w:bCs w:val="1"/>
          <w:color w:val="auto"/>
        </w:rPr>
        <w:t>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proposal is not approved by the affirmative vote of the holders of a majority of the outstanding shares entitled to vote thereon of Stronghold’s Class A common stock, par value $0.0001 per share (“Stronghold Class A common stock”) and Stronghold’s Class V common stock, par value $0.0001 per share (“Stronghold Class V common stock” and, together with the Stronghold Class A common stock, “Stronghold common stock”), voting together as a single class, the merger will not be completed. Abstentions, broker non-votes and the failure to submit a proxy will have the same effect as a vote “AGAINST” the merger proposal.</w:t>
      </w:r>
    </w:p>
    <w:p>
      <w:pPr>
        <w:spacing w:after="0" w:line="10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Please vote as promptly as possible, whether or not you plan to attend the special meeting. If your shares are held in the name of a broker, bank, or other nominee, please vote by following the instructions on the voting instruction form furnished by the broker, bank, or other nominee. If you hold your shares in your own name, please submit a proxy to vote your shares as promptly as possible by (i) visiting the internet site listed on the proxy card, (ii) calling the toll-free number listed on the proxy card or (iii) signing and returning your proxy card by mail by using the self-addressed, stamped envelope provided. Submitting a proxy will not prevent you from voting at the special meeting, but it will help to secure a quorum and avoid added solicitation costs. Any eligible holder of Stronghold common stock entitled to vote and present virtually at the special meeting may vote at the special meeting, thereby revoking any previous proxy. In addition, a proxy may also be revoked in writing before the special meeting in the manner described in this joint proxy statement/prospectus, of which this notice is a part.</w:t>
      </w:r>
    </w:p>
    <w:p>
      <w:pPr>
        <w:spacing w:after="0" w:line="11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board of directors has fixed the close of business on December 31, 2024 as the record date for determination of the Stronghold stockholders entitled to vote at the special meeting or any adjournment or postponement thereof. Only Stronghold stockholders of record as of the record date are entitled to notice of, and to vote at, the special meeting or any adjournment or postponement thereof. 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merger proposal.</w:t>
      </w:r>
    </w:p>
    <w:p>
      <w:pPr>
        <w:spacing w:after="0" w:line="7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proposal, the merger or this joint proxy statement/prospectus, of which this notice is a part, would like additional copies, or need help voting your shares of Stronghold common stock, please contact Stronghold’s proxy solicitor: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Gregory A. Beard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144"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b w:val="1"/>
          <w:bCs w:val="1"/>
          <w:color w:val="auto"/>
        </w:rPr>
        <w:t>PLEASE VOTE ON THE ENCLOSED PROXY CARD NOW EVEN IF YOU PLAN TO ATTEND THE SPECIAL MEETING. YOU CAN VOTE BY SIGNING, DATING AND RETURNING YOUR PROXY CARD BY MAIL IN THE ENCLOSED RETURN ENVELOPE, WHICH REQUIRES NO ADDITIONAL POSTAGE IF MAILED IN THE UNITED STATES, OR BY TELEPHONE OR THE INTERNET BY FOLLOWING THE INSTRUCTIONS ON THE PROXY CARD. IF YOU DO ATTEND THE SPECIAL MEETING, YOU MAY REVOKE YOUR PROXY AND VOTE VIRTUALLY AT THE SPECIAL MEETING IF YOU ARE A STOCKHOLDER OF RECORD AS OF THE RECORD DATE OR HAVE A LEGAL PROXY FROM A STOCKHOLDER OF RECORD AS OF THE RECORD DATE.</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For more information, see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Merger and the Special Meeting — Who may attend the special meeting?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proxy statement/prospectus provides a detailed description of the merger agreement, the merger, the merger proposal and the related agreements and transactions. We urge you to read the accompanying proxy statement/prospectus, including any documents incorporated by reference into the accompanying proxy statement/prospectus, and its annexes carefully and in their entirety. If you have any questions concerning the merger, the merger proposal or the accompanying proxy statement/prospectus, would like additional copies of the accompanying proxy statement/prospectus or need help voting your shares of Stronghold common stock, please contact Stronghold’s proxy solicitor at the address and telephone number listed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5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viii</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HISTORICAL AND UNAUDITED PRO FORMA COMPARATIVE PER SHARE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Stronghold’s 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Date, Time and Place of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Record Date and Outstanding Shares of Stronghold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Quorum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Required Vote to Approve the Merger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Adjournment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Voting by Directors and Executive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Voting by Proxy or Virtually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Revocability of Proxies and Changes to a Stronghold Stockholder’s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Abstentions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Tabulation of Votes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 Expenses of Solicitation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Assistance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THE MERGER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Transaction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Board of Directors and Management of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Reasons for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Stronghold’s Reasons for the Merger; 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Opinion of Stronghold’s Financial Advisor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 Unaudited Prospective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Unaudited Prospective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Listing of Bitfarms Common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Delisting and Deregistration of Stronghold Class A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Interests of Stronghold’s Directors and Executive Officers in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Accounting Treatment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or Dissenters’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Restrictions on Resales of Bitfarms Common Shares Received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180" w:type="dxa"/>
            <w:vAlign w:val="bottom"/>
            <w:shd w:val="clear" w:color="auto" w:fill="CCEEFF"/>
          </w:tcPr>
          <w:p>
            <w:pPr>
              <w:spacing w:after="0"/>
              <w:rPr>
                <w:sz w:val="15"/>
                <w:szCs w:val="15"/>
                <w:color w:val="auto"/>
              </w:rPr>
            </w:pPr>
          </w:p>
        </w:tc>
        <w:tc>
          <w:tcPr>
            <w:tcW w:w="7100" w:type="dxa"/>
            <w:vAlign w:val="bottom"/>
            <w:gridSpan w:val="4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1"/>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Ltd.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Backbone Mining Solutions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HPC &amp; AI Megacorp,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Terms of the Merger; Merger Consideration;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Completion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Equity-Based Awards; Stronghold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Conduct of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No Solicitation; Changes in Recommendation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Close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HSR and Other Regulatory Approvals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Hold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Indebtedness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and Termination Fees Relating to the 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Amendments and Waivers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Specific Performance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SUPPORTING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The Voting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TRA Waiver and Termination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The Conversion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1"/>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500" w:type="dxa"/>
            <w:vAlign w:val="bottom"/>
            <w:tcBorders>
              <w:bottom w:val="single" w:sz="8" w:color="0000EE"/>
            </w:tcBorders>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COMPARISON OF RIGHTS OF BITFARMS SHAREHOLDERS AND STRONGHOLD</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0000EE"/>
            </w:tcBorders>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Differences Between the Rights of Shareholders of Bitfarms and Stockholders of</w:t>
            </w: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0"/>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Stronghold</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OTHER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A-1 — AGREEMENT AND PLAN OF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A-1-1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ANNEX A-2 — AMENDMENT NO. 1 TO THE AGREEMENT AND PLAN OF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A-2-1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B — VOTING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B-1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ANNEX C — TRA WAIVER AND TERMINATION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C-1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D — CONVERSION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ANNEX E — FAIRNESS OPINION OF COHEN &amp; CO. CAPITAL MARKETS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E-1</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statement/prospectus generally does not use technical defined terms, but a few frequently used terms may be helpful for you to have in mind at the outset. Unless otherwise specified or if the context so requires, the following terms have the meanings set forth below for purposes of this proxy statement/prospectus:</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refers to amendment no. 1 to the initial merger agreement, dated as of September 12, 2024, by and among Bitfarms, Stronghold, BMS and Merger Sub.</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refers to Bitfarms Ltd., a corporation organized under the OBCA.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articles</w:t>
      </w:r>
      <w:r>
        <w:rPr>
          <w:rFonts w:ascii="Times New Roman" w:cs="Times New Roman" w:eastAsia="Times New Roman" w:hAnsi="Times New Roman"/>
          <w:sz w:val="18"/>
          <w:szCs w:val="18"/>
          <w:color w:val="auto"/>
        </w:rPr>
        <w:t>” refers to Bitfarms’ articles of continuance,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by-laws</w:t>
      </w:r>
      <w:r>
        <w:rPr>
          <w:rFonts w:ascii="Times New Roman" w:cs="Times New Roman" w:eastAsia="Times New Roman" w:hAnsi="Times New Roman"/>
          <w:sz w:val="18"/>
          <w:szCs w:val="18"/>
          <w:color w:val="auto"/>
        </w:rPr>
        <w:t>” refers to collectively, by-law no. 1, by-law no. 2, by-law no. 3 and by-law no. 4, as amended.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common shares</w:t>
      </w:r>
      <w:r>
        <w:rPr>
          <w:rFonts w:ascii="Times New Roman" w:cs="Times New Roman" w:eastAsia="Times New Roman" w:hAnsi="Times New Roman"/>
          <w:sz w:val="18"/>
          <w:szCs w:val="18"/>
          <w:color w:val="auto"/>
        </w:rPr>
        <w:t>” refers to common shares of Bitfarms, no par value.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shareholders</w:t>
      </w:r>
      <w:r>
        <w:rPr>
          <w:rFonts w:ascii="Times New Roman" w:cs="Times New Roman" w:eastAsia="Times New Roman" w:hAnsi="Times New Roman"/>
          <w:sz w:val="18"/>
          <w:szCs w:val="18"/>
          <w:color w:val="auto"/>
        </w:rPr>
        <w:t>” refers to the holders of Bitfarms common shares.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refers to Backbone Mining Solutions LLC, a Delaware limited liability company and an indirect wholly-owned subsidiary of Bitfarms.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refers to the date on which the merger is completed.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refers to the U.S. Internal Revenue Code of 1986,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Cohen &amp; Co. Capital Markets</w:t>
      </w:r>
      <w:r>
        <w:rPr>
          <w:rFonts w:ascii="Times New Roman" w:cs="Times New Roman" w:eastAsia="Times New Roman" w:hAnsi="Times New Roman"/>
          <w:sz w:val="18"/>
          <w:szCs w:val="18"/>
          <w:color w:val="auto"/>
        </w:rPr>
        <w:t>” refers to J.V.B. Financial Group, LLC acting through its Cohen &amp; Company Capital Markets division.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Holdco</w:t>
      </w:r>
      <w:r>
        <w:rPr>
          <w:rFonts w:ascii="Times New Roman" w:cs="Times New Roman" w:eastAsia="Times New Roman" w:hAnsi="Times New Roman"/>
          <w:sz w:val="18"/>
          <w:szCs w:val="18"/>
          <w:color w:val="auto"/>
        </w:rPr>
        <w:t>” refers to Stronghold Digital Mining Holdings LLC, a Delaware limited liability company.</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refers to the transactions contemplated by the conversion agreement, whereby, immediately prior to and conditioned upon the effective time,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each holder of Stronghold Series C preferred stock shall thereafter cease to have any rights with respect to such shares of Stronghold Series C preferred stock.</w:t>
      </w:r>
    </w:p>
    <w:p>
      <w:pPr>
        <w:spacing w:after="0" w:line="11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refers to the certain conversion agreement, dated August 21, 2024, by and among Bitfarms, Stronghold and the Stronghold Series C preferred stockholders, as it may be amended from time to time.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Department of Justice.</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refers to the time on the closing date at which the merger becomes effective as specified in the certificate of merger of Stronghold and Merger Sub to be filed with the Secretary of State of the State of Delaware.</w:t>
      </w:r>
    </w:p>
    <w:p>
      <w:pPr>
        <w:spacing w:after="0" w:line="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refers to each share of Stronghold Class A common stock issued and outstanding immediately prior to the effective time after giving effect to the conversion and the exchanges (other than any shares of Stronghold Class A common stock owned directly by Bitfarms, Stronghold or any of their respective subsidiaries).</w:t>
      </w:r>
    </w:p>
    <w:p>
      <w:pPr>
        <w:spacing w:after="0" w:line="10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refers to the transactions whereby, immediately prior to and conditioned on the effective time,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1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refers to a nationally recognized financial institution or trust company selected by Bitfarms that is reasonably acceptable to Stronghold.</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refers to 2.520 validly issued, fully paid and non-assessable Bitfarms common shares for each share of Stronghold Class A common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Federal Energy Regulatory Commission.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FPI</w:t>
      </w:r>
      <w:r>
        <w:rPr>
          <w:rFonts w:ascii="Times New Roman" w:cs="Times New Roman" w:eastAsia="Times New Roman" w:hAnsi="Times New Roman"/>
          <w:sz w:val="18"/>
          <w:szCs w:val="18"/>
          <w:color w:val="auto"/>
        </w:rPr>
        <w:t>” means foreign private issuer, as such term is defined in the U.S. Exchange Act.</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w:t>
      </w:r>
      <w:r>
        <w:rPr>
          <w:rFonts w:ascii="Times New Roman" w:cs="Times New Roman" w:eastAsia="Times New Roman" w:hAnsi="Times New Roman"/>
          <w:sz w:val="18"/>
          <w:szCs w:val="18"/>
          <w:color w:val="auto"/>
        </w:rPr>
        <w:t>” refers to each Stronghold option that is held by a former employee of, former non-employee director of, or former other service provider to, Stronghold or its subsidiaries, in each case, as of immediately prior to the effective time.</w:t>
      </w:r>
    </w:p>
    <w:p>
      <w:pPr>
        <w:spacing w:after="0" w:line="90"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 consideration</w:t>
      </w:r>
      <w:r>
        <w:rPr>
          <w:rFonts w:ascii="Times New Roman" w:cs="Times New Roman" w:eastAsia="Times New Roman" w:hAnsi="Times New Roman"/>
          <w:sz w:val="18"/>
          <w:szCs w:val="18"/>
          <w:color w:val="auto"/>
        </w:rPr>
        <w:t>” refers to a number of Bitfarms common shares equal to the product of (x) the number of shares of Stronghold Class A common stock subject to each former employee option as of immediately prior to the effective time and (y) (A) the excess, if any, of the merger consideration value over the exercise price per share of Stronghold Class A common stock applicable to each former employee option, divided by (B) the merger consideration value.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Federal Trade Commission.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Bitfarms.</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refers to the International Financial Reporting Standards as issued by the International Accounting Standards Board.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merger agreement</w:t>
      </w:r>
      <w:r>
        <w:rPr>
          <w:rFonts w:ascii="Times New Roman" w:cs="Times New Roman" w:eastAsia="Times New Roman" w:hAnsi="Times New Roman"/>
          <w:sz w:val="18"/>
          <w:szCs w:val="18"/>
          <w:color w:val="auto"/>
        </w:rPr>
        <w:t>” refers to the certain agreement and plan of merger, dated as of August 21, 2024, by and among Bitfarms, Stronghold, BMS and Merger Sub.</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refers to the proposed merger of Merger Sub with and into Stronghold, pursuant to which Stronghold will survive the merger as an indirect, wholly-owned subsidiary of Bitfarms.</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refers to the initial merger agreement together with amendment no. 1, as may be further amended from time to time.</w:t>
      </w:r>
    </w:p>
    <w:p>
      <w:pPr>
        <w:spacing w:after="0" w:line="87"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refers to the conversion of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into the right to receive 2.520 of validly issued, fully paid and non-assessable Bitfarms common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 refers to the amount of cash equal to the product of (i) the exchange ratio and</w:t>
      </w:r>
    </w:p>
    <w:p>
      <w:pPr>
        <w:spacing w:after="0" w:line="31" w:lineRule="exact"/>
        <w:rPr>
          <w:sz w:val="20"/>
          <w:szCs w:val="20"/>
          <w:color w:val="auto"/>
        </w:rPr>
      </w:pPr>
    </w:p>
    <w:p>
      <w:pPr>
        <w:jc w:val="both"/>
        <w:ind w:left="460" w:right="479" w:hanging="6"/>
        <w:spacing w:after="0" w:line="253" w:lineRule="auto"/>
        <w:tabs>
          <w:tab w:leader="none" w:pos="7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a Bitfarms common share on Nasdaq for the five consecutive trading day period ending on the trading day immediately preceding (but not including) the closing date (as reported by Bloomberg L.P. or, if not reported therein, in another authoritative source mutually selected by Bitfarms and Stronghold).</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proposal</w:t>
      </w:r>
      <w:r>
        <w:rPr>
          <w:rFonts w:ascii="Times New Roman" w:cs="Times New Roman" w:eastAsia="Times New Roman" w:hAnsi="Times New Roman"/>
          <w:sz w:val="18"/>
          <w:szCs w:val="18"/>
          <w:color w:val="auto"/>
        </w:rPr>
        <w:t>” refers to the proposal to approve and adopt the merger agreement and approve the transactions contemplated thereby, including the merger.</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refers to HPC &amp; AI Megacorp, Inc., a Delaware corporation and a direct, wholly-owned subsidiary of BMS.</w:t>
      </w:r>
    </w:p>
    <w:p>
      <w:pPr>
        <w:spacing w:after="0" w:line="8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facility conditions</w:t>
      </w:r>
      <w:r>
        <w:rPr>
          <w:rFonts w:ascii="Times New Roman" w:cs="Times New Roman" w:eastAsia="Times New Roman" w:hAnsi="Times New Roman"/>
          <w:sz w:val="18"/>
          <w:szCs w:val="18"/>
          <w:color w:val="auto"/>
        </w:rPr>
        <w:t>” refers to, collectively, (i)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refers to the Nasdaq Stock Market LLC.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refers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Plant</w:t>
      </w:r>
      <w:r>
        <w:rPr>
          <w:rFonts w:ascii="Times New Roman" w:cs="Times New Roman" w:eastAsia="Times New Roman" w:hAnsi="Times New Roman"/>
          <w:sz w:val="18"/>
          <w:szCs w:val="18"/>
          <w:color w:val="auto"/>
        </w:rPr>
        <w:t>” means Stronghold’s 80 MW coal refuse burning electric power generation facility located on a 33-acre site in the Borough of Nesquehoning, Carbon County, Pennsylvania.</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refers to PJM Interconnection, L.L.C., a Delaware limited liability company, or any successor entity performing similar functions.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Tariff</w:t>
      </w:r>
      <w:r>
        <w:rPr>
          <w:rFonts w:ascii="Times New Roman" w:cs="Times New Roman" w:eastAsia="Times New Roman" w:hAnsi="Times New Roman"/>
          <w:sz w:val="18"/>
          <w:szCs w:val="18"/>
          <w:color w:val="auto"/>
        </w:rPr>
        <w:t>” means the PJM Open Access Transmission Tariff as accepted for filing by FERC.</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 Power</w:t>
      </w:r>
      <w:r>
        <w:rPr>
          <w:rFonts w:ascii="Times New Roman" w:cs="Times New Roman" w:eastAsia="Times New Roman" w:hAnsi="Times New Roman"/>
          <w:sz w:val="18"/>
          <w:szCs w:val="18"/>
          <w:color w:val="auto"/>
        </w:rPr>
        <w:t>” refers to Q Power LLC, a Delaware limited liability company, the sole holder of Stronghold Class V common stock.</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refers to the close of business in New York, New York on December 31, 2024. Only holders of Stronghold common stock as of the record date will be entitled to vote at the special meeting and any adjournment or postponement thereof.</w:t>
      </w:r>
    </w:p>
    <w:p>
      <w:pPr>
        <w:spacing w:after="0" w:line="10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Plant</w:t>
      </w:r>
      <w:r>
        <w:rPr>
          <w:rFonts w:ascii="Times New Roman" w:cs="Times New Roman" w:eastAsia="Times New Roman" w:hAnsi="Times New Roman"/>
          <w:sz w:val="18"/>
          <w:szCs w:val="18"/>
          <w:color w:val="auto"/>
        </w:rPr>
        <w:t>” means Stronghold’s 85 MW coal refuse burning electric power generation facility located on a 670-acre site in Scrubgrass Township, Venango County, Pennsylvania.</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refers to the U.S. Securities and Exchange Commission.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hosting agreement</w:t>
      </w:r>
      <w:r>
        <w:rPr>
          <w:rFonts w:ascii="Times New Roman" w:cs="Times New Roman" w:eastAsia="Times New Roman" w:hAnsi="Times New Roman"/>
          <w:sz w:val="18"/>
          <w:szCs w:val="18"/>
          <w:color w:val="auto"/>
        </w:rPr>
        <w:t>” means that certain hosting agreement, dated October 29, 2024, by and between Stronghold Hosting and BMS.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refers to the Canadian System for Electronic Document Analysis and Retrieval.</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refers to the special meeting of Stronghold stockholders to be held on February 27, 2025, as may be postponed or adjourned from time to time.</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 refers to Stronghold Digital Mining, Inc., a Delaware corporation.</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board recommendation</w:t>
      </w:r>
      <w:r>
        <w:rPr>
          <w:rFonts w:ascii="Times New Roman" w:cs="Times New Roman" w:eastAsia="Times New Roman" w:hAnsi="Times New Roman"/>
          <w:sz w:val="18"/>
          <w:szCs w:val="18"/>
          <w:color w:val="auto"/>
        </w:rPr>
        <w:t>” refers to the recommendation of the Stronghold board of directors for the Stronghold stockholders to vote to approve and adopt the merger agreement and the transactions contemplated thereby, including the merger.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by-law</w:t>
      </w:r>
      <w:r>
        <w:rPr>
          <w:rFonts w:ascii="Times New Roman" w:cs="Times New Roman" w:eastAsia="Times New Roman" w:hAnsi="Times New Roman"/>
          <w:sz w:val="18"/>
          <w:szCs w:val="18"/>
          <w:color w:val="auto"/>
        </w:rPr>
        <w:t>s” refers to Stronghold’s second amended and restated by-laws.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charter</w:t>
      </w:r>
      <w:r>
        <w:rPr>
          <w:rFonts w:ascii="Times New Roman" w:cs="Times New Roman" w:eastAsia="Times New Roman" w:hAnsi="Times New Roman"/>
          <w:sz w:val="18"/>
          <w:szCs w:val="18"/>
          <w:color w:val="auto"/>
        </w:rPr>
        <w:t>” refers to Stronghold’s second amended and restated certificate of incorporation.</w:t>
      </w:r>
    </w:p>
    <w:p>
      <w:pPr>
        <w:spacing w:after="0" w:line="14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A common stock</w:t>
      </w:r>
      <w:r>
        <w:rPr>
          <w:rFonts w:ascii="Times New Roman" w:cs="Times New Roman" w:eastAsia="Times New Roman" w:hAnsi="Times New Roman"/>
          <w:sz w:val="18"/>
          <w:szCs w:val="18"/>
          <w:color w:val="auto"/>
        </w:rPr>
        <w:t>” refers to shares of Stronghold’s Class A common stock, par value $0.0001 per share.</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V common stock</w:t>
      </w:r>
      <w:r>
        <w:rPr>
          <w:rFonts w:ascii="Times New Roman" w:cs="Times New Roman" w:eastAsia="Times New Roman" w:hAnsi="Times New Roman"/>
          <w:sz w:val="18"/>
          <w:szCs w:val="18"/>
          <w:color w:val="auto"/>
        </w:rPr>
        <w:t>” refers to shares of Stronghold’s Class V common stock, par value $0.0001 per share.</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common stock</w:t>
      </w:r>
      <w:r>
        <w:rPr>
          <w:rFonts w:ascii="Times New Roman" w:cs="Times New Roman" w:eastAsia="Times New Roman" w:hAnsi="Times New Roman"/>
          <w:sz w:val="18"/>
          <w:szCs w:val="18"/>
          <w:color w:val="auto"/>
        </w:rPr>
        <w:t>” refers to Stronghold Class A common stock and Stronghold Class V common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Hosting</w:t>
      </w:r>
      <w:r>
        <w:rPr>
          <w:rFonts w:ascii="Times New Roman" w:cs="Times New Roman" w:eastAsia="Times New Roman" w:hAnsi="Times New Roman"/>
          <w:sz w:val="18"/>
          <w:szCs w:val="18"/>
          <w:color w:val="auto"/>
        </w:rPr>
        <w:t>” refers to Stronghold Digital Mining Hosting, LLC, a Delaware limited liability company and indirect subsidiary of Stronghold.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options</w:t>
      </w:r>
      <w:r>
        <w:rPr>
          <w:rFonts w:ascii="Times New Roman" w:cs="Times New Roman" w:eastAsia="Times New Roman" w:hAnsi="Times New Roman"/>
          <w:sz w:val="18"/>
          <w:szCs w:val="18"/>
          <w:color w:val="auto"/>
        </w:rPr>
        <w:t>” refers to outstanding vested or unvested options to purchase shares of Stronghold Class A common stock.</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RSU</w:t>
      </w:r>
      <w:r>
        <w:rPr>
          <w:rFonts w:ascii="Times New Roman" w:cs="Times New Roman" w:eastAsia="Times New Roman" w:hAnsi="Times New Roman"/>
          <w:sz w:val="18"/>
          <w:szCs w:val="18"/>
          <w:color w:val="auto"/>
        </w:rPr>
        <w:t>” refers to each Stronghold restricted stock unit denominated in Stronghold Class A common stock, whether vested or unvested, outstanding at the effective time.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certificate of designations</w:t>
      </w:r>
      <w:r>
        <w:rPr>
          <w:rFonts w:ascii="Times New Roman" w:cs="Times New Roman" w:eastAsia="Times New Roman" w:hAnsi="Times New Roman"/>
          <w:sz w:val="18"/>
          <w:szCs w:val="18"/>
          <w:color w:val="auto"/>
        </w:rPr>
        <w:t>” refers to the certificate of designations of the Stronghold Series C preferred stock, filed with the Secretary of State of the State of Delaware, effective February 20, 2023.</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w:t>
      </w:r>
      <w:r>
        <w:rPr>
          <w:rFonts w:ascii="Times New Roman" w:cs="Times New Roman" w:eastAsia="Times New Roman" w:hAnsi="Times New Roman"/>
          <w:sz w:val="18"/>
          <w:szCs w:val="18"/>
          <w:color w:val="auto"/>
        </w:rPr>
        <w:t>” refers to shares of Stronghold’s Series C preferred stock, par value $0.0001 per share.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stockholders</w:t>
      </w:r>
      <w:r>
        <w:rPr>
          <w:rFonts w:ascii="Times New Roman" w:cs="Times New Roman" w:eastAsia="Times New Roman" w:hAnsi="Times New Roman"/>
          <w:sz w:val="18"/>
          <w:szCs w:val="18"/>
          <w:color w:val="auto"/>
        </w:rPr>
        <w:t>” refers to the holders of all of the issued and outstanding shares of Stronghold Series C preferred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D preferred stock</w:t>
      </w:r>
      <w:r>
        <w:rPr>
          <w:rFonts w:ascii="Times New Roman" w:cs="Times New Roman" w:eastAsia="Times New Roman" w:hAnsi="Times New Roman"/>
          <w:sz w:val="18"/>
          <w:szCs w:val="18"/>
          <w:color w:val="auto"/>
        </w:rPr>
        <w:t>” refers to shares of Stronghold’s Series D preferred stock, par value $0.0001 per share.</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stockholders</w:t>
      </w:r>
      <w:r>
        <w:rPr>
          <w:rFonts w:ascii="Times New Roman" w:cs="Times New Roman" w:eastAsia="Times New Roman" w:hAnsi="Times New Roman"/>
          <w:sz w:val="18"/>
          <w:szCs w:val="18"/>
          <w:color w:val="auto"/>
        </w:rPr>
        <w:t>” refers to the holders of Stronghold common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warrants</w:t>
      </w:r>
      <w:r>
        <w:rPr>
          <w:rFonts w:ascii="Times New Roman" w:cs="Times New Roman" w:eastAsia="Times New Roman" w:hAnsi="Times New Roman"/>
          <w:sz w:val="18"/>
          <w:szCs w:val="18"/>
          <w:color w:val="auto"/>
        </w:rPr>
        <w:t>” refers to the Stronghold warrants to purchase Stronghold Class A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w:t>
      </w:r>
      <w:r>
        <w:rPr>
          <w:rFonts w:ascii="Times New Roman" w:cs="Times New Roman" w:eastAsia="Times New Roman" w:hAnsi="Times New Roman"/>
          <w:sz w:val="18"/>
          <w:szCs w:val="18"/>
          <w:color w:val="auto"/>
        </w:rPr>
        <w:t>” refers to the certain tax receivable agreement, dated April 1, 2021, as amended by that certain joinder, dated November 9, 2022, by and between Stronghold, Q Power, and William Spence.</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 Waiver and Termination Agreement</w:t>
      </w:r>
      <w:r>
        <w:rPr>
          <w:rFonts w:ascii="Times New Roman" w:cs="Times New Roman" w:eastAsia="Times New Roman" w:hAnsi="Times New Roman"/>
          <w:sz w:val="18"/>
          <w:szCs w:val="18"/>
          <w:color w:val="auto"/>
        </w:rPr>
        <w:t>” refers to the certain TRA waiver and termination agreement, dated August 21, 2024, by and among Bitfarms, Stronghold, and certain Stronghold stockholders, as it may be amended from time to time.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refers to the Toronto Stock Exchange.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refers to Urish Popeck &amp; Co., LLC, an independent registered public accounting firm.</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refers to the U.S. Securities Exchange Act of 1934, and, as applicable, the rules and regulations promulgated thereunder, in each case, as amended.</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refers to generally accepted accounting principles in the United States.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refers to the U.S. Securities Act of 1933, and, as applicable, the rules and regulations promulgated thereunder, in each case, as amended.</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refers to the certain voting agreement, dated August 21, 2024, by and between Bitfarms and certain Stronghold stockholders, as it may be amended from time to time.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and matters to be addressed at the special meeting. These questions and answers may not address all questions that may be important to you. To better understand these matters, and for a description of the legal terms governing the merger, you should carefully read this entire proxy statement/prospectus, including the attached annexes, as well as the documents that have been incorporated by reference into this proxy statement/prospectus. For more information, see the section entitled “Where You Can Find Additional Information.”</w:t>
      </w:r>
    </w:p>
    <w:p>
      <w:pPr>
        <w:spacing w:after="0" w:line="113" w:lineRule="exact"/>
        <w:rPr>
          <w:sz w:val="20"/>
          <w:szCs w:val="20"/>
          <w:color w:val="auto"/>
        </w:rPr>
      </w:pPr>
    </w:p>
    <w:p>
      <w:pPr>
        <w:ind w:left="880" w:hanging="426"/>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21, 2024, Stronghold entered into the merger agreement with Bitfarms, BMS and Merger Sub, which was amended by amendment no. 1 thereto dated as of September 12, 2024. The merger agreement provides for, among other things, the merger of Merger Sub with and into Stronghold, pursuant to which Stronghold will survive the merger as an indirect, wholly-owned subsidiary of Bitfarms (the “surviving corporation”). You are receiving this proxy statement/prospectus in connection with the solicitation by the Stronghold board of directors of proxies of Stronghold stockholders to vote in favor of the approval and adoption of the merger proposal. Stronghold is holding a special meeting to obtain the stockholder approval necessary to approve and adopt the merger agreement and the transactions contemplated thereby, including the merger, among other matters. A copy of the initial merger agreement is included as Annex A-1 and a copy of amendment no. 1 is included as Annex A-2 to this proxy statement/prospectus. Among other things, approval of the merger proposal by Stronghold stockholders is required for the completion of the merger. See the section entitled “</w:t>
      </w:r>
      <w:r>
        <w:rPr>
          <w:rFonts w:ascii="Times New Roman" w:cs="Times New Roman" w:eastAsia="Times New Roman" w:hAnsi="Times New Roman"/>
          <w:sz w:val="18"/>
          <w:szCs w:val="18"/>
          <w:i w:val="1"/>
          <w:iCs w:val="1"/>
          <w:color w:val="auto"/>
        </w:rPr>
        <w:t>The Merger Agreement — Conditions to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statement/prospectus constitutes both a proxy statement of Stronghold and a prospectus of Bitfarms. It is a proxy statement because the Stronghold board of directors is soliciting proxies from its stockholders. It is a prospectus because Bitfarms will issue to Stronghold stockholders Bitfarms common shares as consideration for the exchange of outstanding shares of Stronghold Class A common stock in the merger.</w:t>
      </w:r>
    </w:p>
    <w:p>
      <w:pPr>
        <w:spacing w:after="0" w:line="116"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Your vote is very important. We encourage you to submit a proxy to have your shares of Stronghold common stock voted as soon as possible.</w:t>
      </w:r>
    </w:p>
    <w:p>
      <w:pPr>
        <w:spacing w:after="0" w:line="90"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proposal is approved by Stronghold stockholders and the other conditions to the completion of the merger contained in the merger agreement are satisfied or waived, Merger Sub will merge with and into Stronghold, with Stronghold surviving as an indirect, wholly-owned subsidiary of Bitfarms.</w:t>
      </w:r>
    </w:p>
    <w:p>
      <w:pPr>
        <w:spacing w:after="0" w:line="104" w:lineRule="exact"/>
        <w:rPr>
          <w:sz w:val="20"/>
          <w:szCs w:val="20"/>
          <w:color w:val="auto"/>
        </w:rPr>
      </w:pPr>
    </w:p>
    <w:p>
      <w:pPr>
        <w:ind w:left="880" w:hanging="426"/>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as a Stronghold stockholder if the merger is completed?</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merger agreement, if the merger is completed,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the “eligible shares”), will be automatically converted into the right to receive 2.520 validly issued, fully paid and non-assessable Bitfarms common shares (the “merger consideration”).</w:t>
      </w:r>
    </w:p>
    <w:p>
      <w:pPr>
        <w:spacing w:after="0" w:line="106" w:lineRule="exact"/>
        <w:rPr>
          <w:rFonts w:ascii="Times New Roman" w:cs="Times New Roman" w:eastAsia="Times New Roman" w:hAnsi="Times New Roman"/>
          <w:sz w:val="18"/>
          <w:szCs w:val="18"/>
          <w:b w:val="1"/>
          <w:bCs w:val="1"/>
          <w:color w:val="auto"/>
        </w:rPr>
      </w:pPr>
    </w:p>
    <w:p>
      <w:pPr>
        <w:jc w:val="both"/>
        <w:ind w:left="880" w:right="4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Bitfarms common shares will be issued in connection with the merger. In lieu of any fractional Bitfarms common shares to which a Stronghold stockholder would otherwise have been entitled, the Stronghold stockholder shall receive cash, without interest, in an amount equal to the product of (i) such fractional part of a Bitfarms common share multiplied by (ii) the closing price of Bitfarms common shares on the business day immediately prior to the closing date.</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 common stock implied by the merger consideration was $5.95. Based on the closing price of Bitfarms common shares on Nasdaq on January 27, 2025, the most recent practicable date prior to the date of this proxy statement/prospectus, the per share value of Stronghold Class A common stock implied by the merger consideration was $3.53. The implied value of the merger consideration will fluctuate, however, as the market price of Bitfarms common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merger proposal.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spacing w:after="0" w:line="123" w:lineRule="exact"/>
        <w:rPr>
          <w:sz w:val="20"/>
          <w:szCs w:val="20"/>
          <w:color w:val="auto"/>
        </w:rPr>
      </w:pPr>
    </w:p>
    <w:p>
      <w:pPr>
        <w:ind w:left="880" w:hanging="426"/>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62" w:lineRule="exact"/>
        <w:rPr>
          <w:sz w:val="20"/>
          <w:szCs w:val="20"/>
          <w:color w:val="auto"/>
        </w:rPr>
      </w:pPr>
    </w:p>
    <w:p>
      <w:pPr>
        <w:jc w:val="both"/>
        <w:ind w:left="880" w:right="479" w:hanging="426"/>
        <w:spacing w:after="0" w:line="258" w:lineRule="auto"/>
        <w:tabs>
          <w:tab w:leader="none" w:pos="86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special meeting will be held at 10:00 a.m., Eastern Time, on February 27, 2025. The special meeting will be a completely virtual meeting, which will be conducted through an audio webcast. You may attend by registering at </w:t>
      </w:r>
      <w:r>
        <w:rPr>
          <w:rFonts w:ascii="Times New Roman" w:cs="Times New Roman" w:eastAsia="Times New Roman" w:hAnsi="Times New Roman"/>
          <w:sz w:val="18"/>
          <w:szCs w:val="18"/>
          <w:i w:val="1"/>
          <w:iCs w:val="1"/>
          <w:color w:val="auto"/>
        </w:rPr>
        <w:t>www.virtualshareholdermeeting.com/SDIG2025SM</w:t>
      </w:r>
      <w:r>
        <w:rPr>
          <w:rFonts w:ascii="Times New Roman" w:cs="Times New Roman" w:eastAsia="Times New Roman" w:hAnsi="Times New Roman"/>
          <w:sz w:val="18"/>
          <w:szCs w:val="18"/>
          <w:color w:val="auto"/>
        </w:rPr>
        <w:t xml:space="preserve"> and following the instructions provided during registration. You may be required to enter the control number included on the proxy card you received or in the instructions that accompanied your proxy materials.</w:t>
      </w:r>
    </w:p>
    <w:p>
      <w:pPr>
        <w:spacing w:after="0" w:line="98" w:lineRule="exact"/>
        <w:rPr>
          <w:sz w:val="20"/>
          <w:szCs w:val="20"/>
          <w:color w:val="auto"/>
        </w:rPr>
      </w:pPr>
    </w:p>
    <w:p>
      <w:pPr>
        <w:ind w:left="880" w:hanging="426"/>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161" w:lineRule="exact"/>
        <w:rPr>
          <w:rFonts w:ascii="Times New Roman" w:cs="Times New Roman" w:eastAsia="Times New Roman" w:hAnsi="Times New Roman"/>
          <w:sz w:val="18"/>
          <w:szCs w:val="18"/>
          <w:b w:val="1"/>
          <w:bCs w:val="1"/>
          <w:color w:val="auto"/>
        </w:rPr>
      </w:pPr>
    </w:p>
    <w:p>
      <w:pPr>
        <w:jc w:val="both"/>
        <w:ind w:left="880" w:right="4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holders of Stronghold common stock as of the close of business in New York, New York on December 31, 2024, which is the record date for the special meeting, are entitled to vote at the special meeting and any adjournment or postponement thereof. As of the record date, there were 14,957,379 shares of Stronghold Class A common stock and 2,405,760 shares of Stronghold Class V common stock outstanding. Each outstanding share of Stronghold common stock is entitled to one vote, voting together as a single class, on the merger proposal and any other matter coming before Stronghold stockholders at the special meeting.</w:t>
      </w:r>
    </w:p>
    <w:p>
      <w:pPr>
        <w:spacing w:after="0" w:line="121"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02" w:lineRule="exact"/>
        <w:rPr>
          <w:sz w:val="20"/>
          <w:szCs w:val="20"/>
          <w:color w:val="auto"/>
        </w:rPr>
      </w:pPr>
    </w:p>
    <w:p>
      <w:pPr>
        <w:ind w:left="880" w:hanging="426"/>
        <w:spacing w:after="0"/>
        <w:tabs>
          <w:tab w:leader="none" w:pos="8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attend the special meeting?</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attend the special meeting and vote virtually the shares of Stronghold common stock you hold directly in your name. 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You may be required to enter the control number included on the proxy card you received or in the instructions that accompanied your proxy materials. If you vote virtually at the special meeting, you will revoke any prior proxy you may have submitted.</w:t>
      </w:r>
    </w:p>
    <w:p>
      <w:pPr>
        <w:spacing w:after="0" w:line="123" w:lineRule="exact"/>
        <w:rPr>
          <w:sz w:val="20"/>
          <w:szCs w:val="20"/>
          <w:color w:val="auto"/>
        </w:rPr>
      </w:pPr>
    </w:p>
    <w:p>
      <w:pPr>
        <w:ind w:left="880" w:hanging="426"/>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148" w:lineRule="exact"/>
        <w:rPr>
          <w:sz w:val="20"/>
          <w:szCs w:val="20"/>
          <w:color w:val="auto"/>
        </w:rPr>
      </w:pPr>
    </w:p>
    <w:p>
      <w:pPr>
        <w:jc w:val="both"/>
        <w:ind w:left="880" w:right="479" w:hanging="426"/>
        <w:spacing w:after="0" w:line="261" w:lineRule="auto"/>
        <w:tabs>
          <w:tab w:leader="none" w:pos="86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proposal, to approve and adopt the merger agreement and the transactions contemplated thereby, including the merger, pursuant to which Merger Sub will merge with and into Stronghold, with Stronghold surviving the merger as an indirect, wholly-owned subsidiary of Bitfarms.</w:t>
      </w:r>
    </w:p>
    <w:p>
      <w:pPr>
        <w:spacing w:after="0" w:line="112" w:lineRule="exact"/>
        <w:rPr>
          <w:rFonts w:ascii="Times New Roman" w:cs="Times New Roman" w:eastAsia="Times New Roman" w:hAnsi="Times New Roman"/>
          <w:sz w:val="18"/>
          <w:szCs w:val="18"/>
          <w:b w:val="1"/>
          <w:bCs w:val="1"/>
          <w:color w:val="auto"/>
        </w:rPr>
      </w:pPr>
    </w:p>
    <w:p>
      <w:pPr>
        <w:jc w:val="both"/>
        <w:ind w:left="880" w:right="4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is a condition to the obligations of Stronghold and Bitfarms to complete the merger. No other matters are intended to be brought before the special meeting by Stronghold.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requires the affirmative vote of the holders of a majority of the outstanding shares of Stronghold common stock that are entitled to vote on the merger proposal, voting together as a single class.</w:t>
      </w:r>
    </w:p>
    <w:p>
      <w:pPr>
        <w:spacing w:after="0" w:line="108"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02" w:lineRule="exact"/>
        <w:rPr>
          <w:sz w:val="20"/>
          <w:szCs w:val="20"/>
          <w:color w:val="auto"/>
        </w:rPr>
      </w:pPr>
    </w:p>
    <w:p>
      <w:pPr>
        <w:ind w:left="880" w:hanging="426"/>
        <w:spacing w:after="0"/>
        <w:tabs>
          <w:tab w:leader="none" w:pos="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Stronghold board of directors recommend that I vote?</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recommends adoption of the merger agreement and the transactions contemplated thereby, including the merger, by the holders of Stronghold common stock.</w:t>
      </w:r>
    </w:p>
    <w:p>
      <w:pPr>
        <w:spacing w:after="0" w:line="115" w:lineRule="exact"/>
        <w:rPr>
          <w:rFonts w:ascii="Times New Roman" w:cs="Times New Roman" w:eastAsia="Times New Roman" w:hAnsi="Times New Roman"/>
          <w:sz w:val="18"/>
          <w:szCs w:val="18"/>
          <w:b w:val="1"/>
          <w:bCs w:val="1"/>
          <w:color w:val="auto"/>
        </w:rPr>
      </w:pPr>
    </w:p>
    <w:p>
      <w:pPr>
        <w:ind w:left="880" w:right="459"/>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the Stronghold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75" w:lineRule="exact"/>
        <w:rPr>
          <w:rFonts w:ascii="Times New Roman" w:cs="Times New Roman" w:eastAsia="Times New Roman" w:hAnsi="Times New Roman"/>
          <w:sz w:val="18"/>
          <w:szCs w:val="18"/>
          <w:b w:val="1"/>
          <w:bCs w:val="1"/>
          <w:color w:val="auto"/>
        </w:rPr>
      </w:pPr>
    </w:p>
    <w:p>
      <w:pPr>
        <w:ind w:left="880" w:right="479"/>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discussion of each proposal, see the sections entitled “</w:t>
      </w:r>
      <w:r>
        <w:rPr>
          <w:rFonts w:ascii="Times New Roman" w:cs="Times New Roman" w:eastAsia="Times New Roman" w:hAnsi="Times New Roman"/>
          <w:sz w:val="18"/>
          <w:szCs w:val="18"/>
          <w:i w:val="1"/>
          <w:iCs w:val="1"/>
          <w:color w:val="auto"/>
        </w:rPr>
        <w:t>The Merger Proposal — Stronghold’s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 Recommendation of the Stronghold Board of Directors.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880" w:right="479" w:hanging="426"/>
        <w:spacing w:after="0" w:line="286" w:lineRule="auto"/>
        <w:tabs>
          <w:tab w:leader="none" w:pos="87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Stronghold board of directors approve the merger agreement and the transactions contemplated thereby?</w:t>
      </w:r>
    </w:p>
    <w:p>
      <w:pPr>
        <w:spacing w:after="0" w:line="91" w:lineRule="exact"/>
        <w:rPr>
          <w:sz w:val="20"/>
          <w:szCs w:val="20"/>
          <w:color w:val="auto"/>
        </w:rPr>
      </w:pPr>
    </w:p>
    <w:p>
      <w:pPr>
        <w:jc w:val="both"/>
        <w:ind w:left="880" w:right="459" w:hanging="426"/>
        <w:spacing w:after="0" w:line="255" w:lineRule="auto"/>
        <w:tabs>
          <w:tab w:leader="none" w:pos="86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review the Stronghold board of directors’ reasons for (i) determining that the merger agreement and the transactions contemplated thereby, including the merger, are in the best interests of the holders of Stronghold common stock, (ii) approving the merger agreement and the transactions contemplated thereby, including the merger and (iii) recommending adoption of the merger agreement and the transactions contemplated thereby, including the merger, by the holders of Stronghold common stock, see the section entitled “</w:t>
      </w:r>
      <w:r>
        <w:rPr>
          <w:rFonts w:ascii="Times New Roman" w:cs="Times New Roman" w:eastAsia="Times New Roman" w:hAnsi="Times New Roman"/>
          <w:sz w:val="18"/>
          <w:szCs w:val="18"/>
          <w:i w:val="1"/>
          <w:iCs w:val="1"/>
          <w:color w:val="auto"/>
        </w:rPr>
        <w:t>The Merger Proposal — Stronghold’s Reasons for the Merger;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Stronghold Board of Directors.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right="479" w:hanging="426"/>
        <w:spacing w:after="0" w:line="282" w:lineRule="auto"/>
        <w:tabs>
          <w:tab w:leader="none" w:pos="867"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90"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89"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05"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91"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108"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1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90"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w:t>
      </w:r>
    </w:p>
    <w:p>
      <w:pPr>
        <w:spacing w:after="0" w:line="112" w:lineRule="exact"/>
        <w:rPr>
          <w:sz w:val="20"/>
          <w:szCs w:val="20"/>
          <w:color w:val="auto"/>
        </w:rPr>
      </w:pPr>
    </w:p>
    <w:p>
      <w:pPr>
        <w:ind w:left="880" w:hanging="426"/>
        <w:spacing w:after="0"/>
        <w:tabs>
          <w:tab w:leader="none" w:pos="8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08" w:lineRule="exact"/>
        <w:rPr>
          <w:sz w:val="20"/>
          <w:szCs w:val="20"/>
          <w:color w:val="auto"/>
        </w:rPr>
      </w:pPr>
    </w:p>
    <w:p>
      <w:pPr>
        <w:jc w:val="both"/>
        <w:ind w:left="880" w:right="459" w:hanging="426"/>
        <w:spacing w:after="0" w:line="261" w:lineRule="auto"/>
        <w:tabs>
          <w:tab w:leader="none" w:pos="86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your legal designation of another person, referred to as a “proxy,” to vote your shares of Stronghold common stock. The written document describing the matters to be considered and voted on at the special meeting is called a “proxy statement.” The document used to designate a proxy to vote your shares of Stronghold common stock is called a “proxy card.”</w:t>
      </w:r>
    </w:p>
    <w:p>
      <w:pPr>
        <w:spacing w:after="0" w:line="95" w:lineRule="exact"/>
        <w:rPr>
          <w:sz w:val="20"/>
          <w:szCs w:val="20"/>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proxies work?</w:t>
      </w:r>
    </w:p>
    <w:p>
      <w:pPr>
        <w:spacing w:after="0" w:line="162" w:lineRule="exact"/>
        <w:rPr>
          <w:sz w:val="20"/>
          <w:szCs w:val="20"/>
          <w:color w:val="auto"/>
        </w:rPr>
      </w:pPr>
    </w:p>
    <w:p>
      <w:pPr>
        <w:jc w:val="both"/>
        <w:ind w:left="880" w:right="459" w:hanging="426"/>
        <w:spacing w:after="0" w:line="261" w:lineRule="auto"/>
        <w:tabs>
          <w:tab w:leader="none" w:pos="867"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is asking for your proxy. Giving Stronghold your proxy means that you authorize the proxy holders named on the proxy card to vote your shares at the special meeting in the manner you direct. If you sign, date and return the enclosed proxy card but do not specify how to vote, Stronghold will vote your shares “FOR” the merger proposal.</w:t>
      </w:r>
    </w:p>
    <w:p>
      <w:pPr>
        <w:spacing w:after="0" w:line="108" w:lineRule="exact"/>
        <w:rPr>
          <w:sz w:val="20"/>
          <w:szCs w:val="20"/>
          <w:color w:val="auto"/>
        </w:rPr>
      </w:pPr>
    </w:p>
    <w:p>
      <w:pPr>
        <w:ind w:left="880" w:right="459" w:hanging="426"/>
        <w:spacing w:after="0" w:line="286" w:lineRule="auto"/>
        <w:tabs>
          <w:tab w:leader="none" w:pos="87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or otherwise vote my shares?</w:t>
      </w:r>
    </w:p>
    <w:p>
      <w:pPr>
        <w:spacing w:after="0" w:line="24" w:lineRule="exact"/>
        <w:rPr>
          <w:sz w:val="20"/>
          <w:szCs w:val="20"/>
          <w:color w:val="auto"/>
        </w:rPr>
      </w:pPr>
    </w:p>
    <w:p>
      <w:pPr>
        <w:jc w:val="both"/>
        <w:ind w:left="880" w:right="479" w:hanging="426"/>
        <w:spacing w:after="0" w:line="261" w:lineRule="auto"/>
        <w:tabs>
          <w:tab w:leader="none" w:pos="86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Completing, signing, dating and returning the proxy card by mail or submitting a proxy by calling the toll-free number shown on the proxy card or submitting a proxy by visiting the website shown on the proxy card ensures that your shares will be represented and voted at the special meeting, even if you otherwise do not attend.</w:t>
      </w:r>
    </w:p>
    <w:p>
      <w:pPr>
        <w:spacing w:after="0" w:line="108" w:lineRule="exact"/>
        <w:rPr>
          <w:sz w:val="20"/>
          <w:szCs w:val="20"/>
          <w:color w:val="auto"/>
        </w:rPr>
      </w:pPr>
    </w:p>
    <w:p>
      <w:pPr>
        <w:ind w:left="880" w:right="479" w:hanging="426"/>
        <w:spacing w:after="0" w:line="286" w:lineRule="auto"/>
        <w:tabs>
          <w:tab w:leader="none" w:pos="87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 or other nominee, will the bank, broker or other nominee vote my shares for me?</w:t>
      </w:r>
    </w:p>
    <w:p>
      <w:pPr>
        <w:spacing w:after="0" w:line="91" w:lineRule="exact"/>
        <w:rPr>
          <w:sz w:val="20"/>
          <w:szCs w:val="20"/>
          <w:color w:val="auto"/>
        </w:rPr>
      </w:pPr>
    </w:p>
    <w:p>
      <w:pPr>
        <w:jc w:val="both"/>
        <w:ind w:left="880" w:right="459" w:hanging="426"/>
        <w:spacing w:after="0" w:line="258" w:lineRule="auto"/>
        <w:tabs>
          <w:tab w:leader="none" w:pos="86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48" w:lineRule="exact"/>
        <w:rPr>
          <w:rFonts w:ascii="Times New Roman" w:cs="Times New Roman" w:eastAsia="Times New Roman" w:hAnsi="Times New Roman"/>
          <w:sz w:val="18"/>
          <w:szCs w:val="18"/>
          <w:b w:val="1"/>
          <w:bCs w:val="1"/>
          <w:color w:val="auto"/>
        </w:rPr>
      </w:pPr>
    </w:p>
    <w:p>
      <w:pPr>
        <w:jc w:val="both"/>
        <w:ind w:left="880" w:right="4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22"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880" w:hanging="426"/>
        <w:spacing w:after="0"/>
        <w:tabs>
          <w:tab w:leader="none" w:pos="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48" w:lineRule="exact"/>
        <w:rPr>
          <w:sz w:val="20"/>
          <w:szCs w:val="20"/>
          <w:color w:val="auto"/>
        </w:rPr>
      </w:pPr>
    </w:p>
    <w:p>
      <w:pPr>
        <w:jc w:val="both"/>
        <w:ind w:left="880" w:right="459" w:hanging="426"/>
        <w:spacing w:after="0" w:line="250" w:lineRule="auto"/>
        <w:tabs>
          <w:tab w:leader="none" w:pos="86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stockholders may revoke or change a previously delivered proxy at any time before the meeting by delivering another proxy with a later date, by voting again via the internet or by telephone or by delivering written notice of revocation of the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which must be received by Stronghold before the beginning of the special meeting. Stronghold stockholders may also revoke their proxies by virtually attending the special meeting and voting during the special meeting, although attendance at the special meeting will not, in and of itself, revoke a valid proxy that was previously delivered. If a Stronghold stockholder holds shares through a bank, broker or other nominee, such stockholder must contact that nominee to revoke any prior voting instructions or obtain a “legal proxy” as described above. For additional information,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vote or do not fully complete my proxy card?</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08"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If you submit a valid proxy card but do not indicate how you want to vote on the merger proposal, your proxy will be counted as a vote “FOR” the merger proposal.</w:t>
      </w:r>
    </w:p>
    <w:p>
      <w:pPr>
        <w:spacing w:after="0" w:line="77" w:lineRule="exact"/>
        <w:rPr>
          <w:sz w:val="20"/>
          <w:szCs w:val="20"/>
          <w:color w:val="auto"/>
        </w:rPr>
      </w:pPr>
    </w:p>
    <w:p>
      <w:pPr>
        <w:ind w:left="880" w:hanging="426"/>
        <w:spacing w:after="0"/>
        <w:tabs>
          <w:tab w:leader="none" w:pos="8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w:t>
      </w:r>
    </w:p>
    <w:p>
      <w:pPr>
        <w:spacing w:after="0" w:line="162" w:lineRule="exact"/>
        <w:rPr>
          <w:sz w:val="20"/>
          <w:szCs w:val="20"/>
          <w:color w:val="auto"/>
        </w:rPr>
      </w:pPr>
    </w:p>
    <w:p>
      <w:pPr>
        <w:jc w:val="both"/>
        <w:ind w:left="880" w:right="459" w:hanging="426"/>
        <w:spacing w:after="0" w:line="258" w:lineRule="auto"/>
        <w:tabs>
          <w:tab w:leader="none" w:pos="86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carefully reading and considering the information contained in this proxy statement/prospectus, you should submit a proxy by mail, by telephone or the Internet to vote your shares as soon as possible so that your shares will be represented and voted at the special meeting. You should follow the instructions set forth on the enclosed proxy card or on the voting instruction form provided by the record holder if your shares are held in the name of a bank, broker or other nominee.</w:t>
      </w:r>
    </w:p>
    <w:p>
      <w:pPr>
        <w:spacing w:after="0" w:line="112" w:lineRule="exact"/>
        <w:rPr>
          <w:sz w:val="20"/>
          <w:szCs w:val="20"/>
          <w:color w:val="auto"/>
        </w:rPr>
      </w:pPr>
    </w:p>
    <w:p>
      <w:pPr>
        <w:ind w:left="880" w:hanging="426"/>
        <w:spacing w:after="0"/>
        <w:tabs>
          <w:tab w:leader="none" w:pos="8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number of shares of Stronghold common stock that must be present or represented by proxy, in order for business to be transacted at a Stronghold stockholder meeting. The required quorum for the special meeting is the presence virtually or by proxy of a majority of the shares of Stronghold common stock entitled to vote at the special meeting. All shares of Stronghold common stock represented at the special meeting virtually or by proxy (including those voted by telephone or the Internet) will be counted toward the quorum. Shares of Stronghold common stock held by Stronghold stockholders who mark their proxy card “ABSTAIN,” vote “ABSTAIN” by telephone or the Internet, instruct their bank, broker or other nominee to vote shares held in “street name” to “ABSTAIN” or appear at the special meeting without otherwise voting their shares of Stronghold common stock will be treated as shares represented at the meeting for purposes of determining the presence of a quorum. Shares of Stronghold common stock held by Stronghold stockholders who do not attend the special meeting and do not submit a proxy or vote by telephone or the Internet will not be treated as represented at the special meeting for purposes of determining the presence of a quorum.</w:t>
      </w:r>
    </w:p>
    <w:p>
      <w:pPr>
        <w:spacing w:after="0" w:line="119" w:lineRule="exact"/>
        <w:rPr>
          <w:rFonts w:ascii="Times New Roman" w:cs="Times New Roman" w:eastAsia="Times New Roman" w:hAnsi="Times New Roman"/>
          <w:sz w:val="18"/>
          <w:szCs w:val="18"/>
          <w:b w:val="1"/>
          <w:bCs w:val="1"/>
          <w:color w:val="auto"/>
        </w:rPr>
      </w:pPr>
    </w:p>
    <w:p>
      <w:pPr>
        <w:jc w:val="both"/>
        <w:ind w:left="88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common stock held in “street name” with respect to which the beneficial owner fails to give voting instructions to the bank, broker or nominee, will not be considered present at the special meeting for the purpose of determining the presence of a quorum.</w:t>
      </w:r>
    </w:p>
    <w:p>
      <w:pPr>
        <w:spacing w:after="0" w:line="108"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the voting agreement, certain stockholders of Stronghold who beneficially own approximately 16.4%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The Voting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p>
    <w:p>
      <w:pPr>
        <w:spacing w:after="0" w:line="162" w:lineRule="exact"/>
        <w:rPr>
          <w:sz w:val="20"/>
          <w:szCs w:val="20"/>
          <w:color w:val="auto"/>
        </w:rPr>
      </w:pPr>
    </w:p>
    <w:p>
      <w:pPr>
        <w:jc w:val="both"/>
        <w:ind w:left="880" w:right="479" w:hanging="426"/>
        <w:spacing w:after="0" w:line="258" w:lineRule="auto"/>
        <w:tabs>
          <w:tab w:leader="none" w:pos="86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The merger cannot be completed without the approval of the merger proposal by Stronghold stockholders. The approval of the merger proposal requires the affirmative vote of the holders of a majority of the outstanding shares of Stronghold common stock entitled to vote on the merger proposal, voting together as a single class. The Stronghold board of directors recommends that you vote “FOR” the approval of the merger proposal.</w:t>
      </w:r>
    </w:p>
    <w:p>
      <w:pPr>
        <w:spacing w:after="0" w:line="112" w:lineRule="exact"/>
        <w:rPr>
          <w:sz w:val="20"/>
          <w:szCs w:val="20"/>
          <w:color w:val="auto"/>
        </w:rPr>
      </w:pPr>
    </w:p>
    <w:p>
      <w:pPr>
        <w:ind w:left="880" w:right="459" w:hanging="426"/>
        <w:spacing w:after="0" w:line="286" w:lineRule="auto"/>
        <w:tabs>
          <w:tab w:leader="none" w:pos="87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or sell my shares of Stronghold common stock before the special meeting or before completion of the merger?</w:t>
      </w:r>
    </w:p>
    <w:p>
      <w:pPr>
        <w:spacing w:after="0" w:line="78" w:lineRule="exact"/>
        <w:rPr>
          <w:sz w:val="20"/>
          <w:szCs w:val="20"/>
          <w:color w:val="auto"/>
        </w:rPr>
      </w:pPr>
    </w:p>
    <w:p>
      <w:pPr>
        <w:jc w:val="both"/>
        <w:ind w:left="880" w:right="459" w:hanging="426"/>
        <w:spacing w:after="0" w:line="256" w:lineRule="auto"/>
        <w:tabs>
          <w:tab w:leader="none" w:pos="867"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is earlier than the date of the special meeting and the date that the merger is expected to be completed. If you transfer or sell your shares of Stronghold common stock after the record date but before the special meeting, you will retain your right to vote at the special meeting. However, if you are a Stronghold stockholder, you will have transferred the right to receive the merger consideration in the merger. In order to receive the merger consideration, you must hold your shares of Stronghold common stock through the effective time of the merger.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set of voting materials?</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the proxy card or the voting instruction form. This can occur if you hold your shares in more than one brokerage account, if you hold shares directly as a holder of record and also in “street name,” or otherwise through another holder of record, and in certain other circumstances. If you receive more than one set of voting materials, please vote or return each set separately in order to ensure that all of your shares are voted.</w:t>
      </w:r>
    </w:p>
    <w:p>
      <w:pPr>
        <w:spacing w:after="0" w:line="116" w:lineRule="exact"/>
        <w:rPr>
          <w:sz w:val="20"/>
          <w:szCs w:val="20"/>
          <w:color w:val="auto"/>
        </w:rPr>
      </w:pPr>
    </w:p>
    <w:p>
      <w:pPr>
        <w:ind w:left="880" w:hanging="426"/>
        <w:spacing w:after="0"/>
        <w:tabs>
          <w:tab w:leader="none" w:pos="8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voting results are expected to be announced at the special meeting. In addition, within four business days following certification of the final voting results, Stronghold will file the final voting results with the SEC on a Current Report on Form 8-K.</w:t>
      </w:r>
    </w:p>
    <w:p>
      <w:pPr>
        <w:spacing w:after="0" w:line="104" w:lineRule="exact"/>
        <w:rPr>
          <w:sz w:val="20"/>
          <w:szCs w:val="20"/>
          <w:color w:val="auto"/>
        </w:rPr>
      </w:pPr>
    </w:p>
    <w:p>
      <w:pPr>
        <w:ind w:left="880" w:hanging="426"/>
        <w:spacing w:after="0"/>
        <w:tabs>
          <w:tab w:leader="none" w:pos="8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merger proposal is not approved?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the completion of the merger, Stronghold stockholders must approve the merger proposal. If the merger proposal is not approved by the Stronghold stockholders, the merger will not be completed.</w:t>
      </w:r>
    </w:p>
    <w:p>
      <w:pPr>
        <w:spacing w:after="0" w:line="91" w:lineRule="exact"/>
        <w:rPr>
          <w:sz w:val="20"/>
          <w:szCs w:val="20"/>
          <w:color w:val="auto"/>
        </w:rPr>
      </w:pPr>
    </w:p>
    <w:p>
      <w:pPr>
        <w:ind w:left="880" w:hanging="426"/>
        <w:spacing w:after="0"/>
        <w:tabs>
          <w:tab w:leader="none" w:pos="8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Stronghold’s directors and executive officers vote on the merger proposal?</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b w:val="1"/>
          <w:bCs w:val="1"/>
          <w:color w:val="auto"/>
        </w:rPr>
      </w:pPr>
    </w:p>
    <w:p>
      <w:pPr>
        <w:jc w:val="both"/>
        <w:ind w:left="880" w:right="4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record date for the special meeting, the directors and executive officers of Stronghold owned, in the aggregate, approximately 3,266,485 shares of Stronghold common stock, representing approximately 18.8% of the shares of Stronghold common stock then outstanding and entitled to vote at the special meeting.</w:t>
      </w:r>
    </w:p>
    <w:p>
      <w:pPr>
        <w:spacing w:after="0" w:line="95" w:lineRule="exact"/>
        <w:rPr>
          <w:sz w:val="20"/>
          <w:szCs w:val="20"/>
          <w:color w:val="auto"/>
        </w:rPr>
      </w:pPr>
    </w:p>
    <w:p>
      <w:pPr>
        <w:ind w:left="880" w:right="479" w:hanging="426"/>
        <w:spacing w:after="0" w:line="286" w:lineRule="auto"/>
        <w:tabs>
          <w:tab w:leader="none" w:pos="87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Stronghold’s directors or executive officers have interests in the merger that may differ from or be in addition to my interests as a stockholder?</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In considering the recommendation of the Stronghold board of directors with respect to the merger proposal, you should be aware that Stronghold’s directors and executive officers have interests in the merger that are different from, or in addition to, the interests of Stronghold stockholders generally. These interests may include, among others, certain payments and benefits payable under employment agreements entered into with executive officers, and rights to ongoing indemnification and insurance coverage by the surviving corporation for acts or omissions occurring prior to the merger. The Stronghold board of directors was aware of those interests and considered them, among other matters, in approving the merger agreement, the merger, and the other transactions contemplated by the merger agreement. For a discussion of Stronghold’s directors’ or executive officers’ interests in the merger that may differ from or be in addition to your interests as a stockholder,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right="479" w:hanging="426"/>
        <w:spacing w:after="0" w:line="286" w:lineRule="auto"/>
        <w:tabs>
          <w:tab w:leader="none" w:pos="87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obligation of each of Stronghold and Bitfarms to complete the merger subject to any conditions?</w:t>
      </w:r>
    </w:p>
    <w:p>
      <w:pPr>
        <w:spacing w:after="0" w:line="78" w:lineRule="exact"/>
        <w:rPr>
          <w:sz w:val="20"/>
          <w:szCs w:val="20"/>
          <w:color w:val="auto"/>
        </w:rPr>
      </w:pPr>
    </w:p>
    <w:p>
      <w:pPr>
        <w:jc w:val="both"/>
        <w:ind w:left="880" w:right="459" w:hanging="426"/>
        <w:spacing w:after="0" w:line="253" w:lineRule="auto"/>
        <w:tabs>
          <w:tab w:leader="none" w:pos="86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completion of the merger is subject to satisfaction or waiver of certain customary mutual closing conditions, including (i) the approval of the merger proposal by the Stronghold stockholders, (ii) 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Hart-Scott-Rodino Antitrust Improvements Act of 1976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certain materiality and de minimis exceptions), (2) the other party having performed in all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material respects its obligations required to be performed by it under the merger agreement at or prior to the effective time, (3) the absence of a material adverse effect on the other party and (4) with respect to Bitfarms’ obligation to consummate the merger, certain conditions regarding Stronghold’s Bitcoin mining facilities and their ability to import power from the grid. For more information, see the section entitled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right="479" w:hanging="426"/>
        <w:spacing w:after="0" w:line="286" w:lineRule="auto"/>
        <w:tabs>
          <w:tab w:leader="none" w:pos="87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Bitfarms common shares to be issued to me at the completion of the merger be traded on an exchange?</w:t>
      </w:r>
    </w:p>
    <w:p>
      <w:pPr>
        <w:spacing w:after="0" w:line="91" w:lineRule="exact"/>
        <w:rPr>
          <w:sz w:val="20"/>
          <w:szCs w:val="20"/>
          <w:color w:val="auto"/>
        </w:rPr>
      </w:pPr>
    </w:p>
    <w:p>
      <w:pPr>
        <w:jc w:val="both"/>
        <w:ind w:left="880" w:right="459" w:hanging="426"/>
        <w:spacing w:after="0" w:line="256" w:lineRule="auto"/>
        <w:tabs>
          <w:tab w:leader="none" w:pos="86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It is a condition to the completion of the merger that the Bitfarms common shares to be issued to Stronghold stockholders in connection with the merger be approved for listing on Nasdaq and the TSX, subject to customary conditions and official notice of issuance. Therefore, at the effective time of the merger, all Bitfarms common shares received by Stronghold stockholders in connection with the merger will be listed on Nasdaq and the TSX under the ticker symbol “BITF,” and may be traded by shareholders on either exchange.</w:t>
      </w:r>
    </w:p>
    <w:p>
      <w:pPr>
        <w:spacing w:after="0" w:line="106"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common shares received by Stronghold stockholders in connection with the merger will be freely transferable in the United States except for shares issued to any stockholder deemed to be an “affiliate” of Bitfarms for purposes of U.S. federal securities law. Bitfarms common shares received by Stronghold stockholders in connection with the merger will be freely transferable in Canada, subject to certain exceptions. For more information, see the section entitled “</w:t>
      </w:r>
      <w:r>
        <w:rPr>
          <w:rFonts w:ascii="Times New Roman" w:cs="Times New Roman" w:eastAsia="Times New Roman" w:hAnsi="Times New Roman"/>
          <w:sz w:val="18"/>
          <w:szCs w:val="18"/>
          <w:i w:val="1"/>
          <w:iCs w:val="1"/>
          <w:color w:val="auto"/>
        </w:rPr>
        <w:t>The Merger Proposal —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Resales of Bitfarms Common Shares Received in the Merger.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After the merger, how much of Bitfarms will Stronghold stockholders own?</w:t>
      </w:r>
    </w:p>
    <w:p>
      <w:pPr>
        <w:spacing w:after="0" w:line="162" w:lineRule="exact"/>
        <w:rPr>
          <w:sz w:val="20"/>
          <w:szCs w:val="20"/>
          <w:color w:val="auto"/>
        </w:rPr>
      </w:pPr>
    </w:p>
    <w:p>
      <w:pPr>
        <w:jc w:val="both"/>
        <w:ind w:left="880" w:right="459" w:hanging="426"/>
        <w:spacing w:after="0" w:line="254" w:lineRule="auto"/>
        <w:tabs>
          <w:tab w:leader="none" w:pos="86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relative ownership of holders of Bitfarms common shares and holders of Stronghold common stock in the combined company immediately following the merger will depend on the number of Bitfarms common shares and shares of Stronghold Class A common stock issued and outstanding immediately prior to the merger. Based on the number of shares of Stronghold Class A common stock outstanding as of January 27, 2025, as adjusted to give effect to the exchanges and the conversion, and the number of Bitfarms common shares outstanding as of January 27, 2025, it is expected that, immediately after completion of the merger, the former Stronghold stockholders will receive Bitfarms common shares in the merger representing approximately 10.6% of the then outstanding Bitfarms common shares.</w:t>
      </w:r>
    </w:p>
    <w:p>
      <w:pPr>
        <w:spacing w:after="0" w:line="107" w:lineRule="exact"/>
        <w:rPr>
          <w:sz w:val="20"/>
          <w:szCs w:val="20"/>
          <w:color w:val="auto"/>
        </w:rPr>
      </w:pPr>
    </w:p>
    <w:p>
      <w:pPr>
        <w:ind w:left="880" w:right="479" w:hanging="426"/>
        <w:spacing w:after="0" w:line="286" w:lineRule="auto"/>
        <w:tabs>
          <w:tab w:leader="none" w:pos="87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transaction expected to be taxable to holders of Stronghold Class A common stock for U.S. federal income tax purposes?</w:t>
      </w:r>
    </w:p>
    <w:p>
      <w:pPr>
        <w:spacing w:after="0" w:line="91" w:lineRule="exact"/>
        <w:rPr>
          <w:sz w:val="20"/>
          <w:szCs w:val="20"/>
          <w:color w:val="auto"/>
        </w:rPr>
      </w:pPr>
    </w:p>
    <w:p>
      <w:pPr>
        <w:jc w:val="both"/>
        <w:ind w:left="880" w:right="459" w:hanging="426"/>
        <w:spacing w:after="0" w:line="254" w:lineRule="auto"/>
        <w:tabs>
          <w:tab w:leader="none" w:pos="86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in which case a U.S. holder (as such term is defined below under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w:t>
      </w:r>
      <w:r>
        <w:rPr>
          <w:rFonts w:ascii="Times New Roman" w:cs="Times New Roman" w:eastAsia="Times New Roman" w:hAnsi="Times New Roman"/>
          <w:sz w:val="18"/>
          <w:szCs w:val="18"/>
          <w:color w:val="auto"/>
        </w:rPr>
        <w:t>”) that receives Bitfarms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limitations.</w:t>
      </w:r>
    </w:p>
    <w:p>
      <w:pPr>
        <w:spacing w:after="0" w:line="118" w:lineRule="exact"/>
        <w:rPr>
          <w:rFonts w:ascii="Times New Roman" w:cs="Times New Roman" w:eastAsia="Times New Roman" w:hAnsi="Times New Roman"/>
          <w:sz w:val="18"/>
          <w:szCs w:val="18"/>
          <w:b w:val="1"/>
          <w:bCs w:val="1"/>
          <w:color w:val="auto"/>
        </w:rPr>
      </w:pPr>
    </w:p>
    <w:p>
      <w:pPr>
        <w:jc w:val="both"/>
        <w:ind w:left="880" w:right="45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non-U.S. holders (as such term is defined below under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the receipt of the merger consideration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Class A common stock pursuant to the merger generally will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 — Consequences of the Merger to Non-U.S. Holders</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common stock should consult their tax advisors regarding the particular tax consequences of the merger to them in light of their particular circumstances (including the application and effect of any state, local or foreign income and other tax laws). For a more detailed discussion of the U.S. federal income tax consequences of the merger to holders of Stronghold Class A common stock, see “</w:t>
      </w:r>
      <w:r>
        <w:rPr>
          <w:rFonts w:ascii="Times New Roman" w:cs="Times New Roman" w:eastAsia="Times New Roman" w:hAnsi="Times New Roman"/>
          <w:sz w:val="18"/>
          <w:szCs w:val="18"/>
          <w:i w:val="1"/>
          <w:iCs w:val="1"/>
          <w:color w:val="auto"/>
        </w:rPr>
        <w:t>The Merger Proposal — Material U.S. Federal Income Tax Considerations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merger?</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important risks involved both in connection with the merger and in connection with an investment in Bitfarms. Before making any decision on whether and how to vote, you are urged to read carefully and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80" w:right="479" w:hanging="426"/>
        <w:spacing w:after="0" w:line="286" w:lineRule="auto"/>
        <w:tabs>
          <w:tab w:leader="none" w:pos="87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or dissenters’ rights for my Stronghold common stock in connection with the merger?</w:t>
      </w:r>
    </w:p>
    <w:p>
      <w:pPr>
        <w:spacing w:after="0" w:line="78" w:lineRule="exact"/>
        <w:rPr>
          <w:sz w:val="20"/>
          <w:szCs w:val="20"/>
          <w:color w:val="auto"/>
        </w:rPr>
      </w:pPr>
    </w:p>
    <w:p>
      <w:pPr>
        <w:jc w:val="both"/>
        <w:ind w:left="880" w:right="479" w:hanging="426"/>
        <w:spacing w:after="0" w:line="258" w:lineRule="auto"/>
        <w:tabs>
          <w:tab w:leader="none" w:pos="86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Class A common stock are not entitled to appraisal rights or dissenters’ rights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merger be completed?</w:t>
      </w:r>
    </w:p>
    <w:p>
      <w:pPr>
        <w:spacing w:after="0" w:line="162" w:lineRule="exact"/>
        <w:rPr>
          <w:sz w:val="20"/>
          <w:szCs w:val="20"/>
          <w:color w:val="auto"/>
        </w:rPr>
      </w:pPr>
    </w:p>
    <w:p>
      <w:pPr>
        <w:jc w:val="both"/>
        <w:ind w:left="880" w:right="459" w:hanging="426"/>
        <w:spacing w:after="0" w:line="254" w:lineRule="auto"/>
        <w:tabs>
          <w:tab w:leader="none" w:pos="86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and Bitfarms are working to complete the merger as quickly as possible. In addition to obtaining any required regulatory approvals, and assuming that the merger proposal is approved by Stronghold stockholders at the special meeting, other important conditions to the completion of the merger exist. The merger agreement contains an outside date of May 21, 2025, for the completion of the merger, which may be extended to August 21, 2025, by either Stronghold or Bitfarms in certain circumstances. For a discussion of the conditions to the completion of the merger,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Completion of the Merger.</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for any reason, you will not receive any consideration for your Stronghold common stock, and Stronghold will remain an independent public company with Stronghold Class A common stock being traded on Nasdaq.</w:t>
      </w:r>
    </w:p>
    <w:p>
      <w:pPr>
        <w:spacing w:after="0" w:line="104"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will bear all costs and expenses in connection with the solicitation of proxies from its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Partners, Inc. (“Mackenzie”) to assist in soliciting proxies and in communicating with Stronghold stockholders and estimates that it will pay Mackenzie a fee of approximately $12,500 plus reasonable and documented customary out-of-pocket fees and expenses for these services. Proxies may also be solicited by Stronghold’s directors, officers and other employees through the mail or by telephone, the Internet, fax, in person or other means, but no additional compensation will be paid to these persons.</w:t>
      </w:r>
    </w:p>
    <w:p>
      <w:pPr>
        <w:spacing w:after="0" w:line="120" w:lineRule="exact"/>
        <w:rPr>
          <w:sz w:val="20"/>
          <w:szCs w:val="20"/>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79" w:hanging="426"/>
        <w:spacing w:after="0" w:line="286" w:lineRule="auto"/>
        <w:tabs>
          <w:tab w:leader="none" w:pos="87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adjustment based on changes in the prices of Stronghold Class A common stock or Bitfarms common shares? Can it be adjusted for any other reason?</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merger consideration, you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or market value of Stronghold Class A common stock. Therefore, the aggregate market value of the Bitfarms common shares that you are entitled to receive at the time that the merger is completed could vary significantly from the value of such shares on the date of this proxy statement/prospectus or the date of the special meeting.</w:t>
      </w:r>
    </w:p>
    <w:p>
      <w:pPr>
        <w:spacing w:after="0" w:line="122"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the merger consideration will be equitably adjusted to provide you and Bitfarms with the same economic effect as contemplated by the merger agreement in the event of any reclassification, stock split (including a reverse stock split), stock dividend or distribution, recapitalization, merger or other similar transaction involving Stronghold Class A common stock or Bitfarms common shares prior to the completion of the merger. For further information,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Merger Consideration.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Stronghold stockholder and you have any questions about the merger or you would like to request additional documents, including copies of this proxy statement/prospectus, please contact Stronghold’s proxy solicitor: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ind w:left="880" w:right="479" w:hanging="426"/>
        <w:spacing w:after="0" w:line="286" w:lineRule="auto"/>
        <w:tabs>
          <w:tab w:leader="none" w:pos="87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Stronghold, Bitfarms and the transactions contemplated by the merger agreement?</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out more information about Stronghold, Bitfarms and the transactions contemplated by the merger agreement by reading this proxy statement/prospectus and, with respect to Stronghold and Bitfarms, from various sources described in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16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161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statement/prospectus and may not contain all of the information that might be important to you. Stronghold and Bitfarms urge you to read carefully the remainder of this proxy statement/prospectus, including the attached annexes, the documents incorporated by reference into this proxy statement/prospectus and the other documents to which Stronghold and Bitfarms have referred you. You may obtain the information incorporated by reference in this proxy statement/prospectus without charge by following the instructions in the section entitled “Where You Can Find Additional Information.” Each item in this summary includes a page reference to direct you to a more complete description of the topics presented in this summary.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about the Companies (page 85)</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Bitfarms Ltd.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2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Backbone Mining Solutions LLC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3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95"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HPC &amp; AI Megacorp,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Stronghold Digital Mining,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5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(845) 579-5992</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(page 21)</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merger and an investment in Bitfarms common shares involve risks, some of which are related to the merger. In considering the merger,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together with the other information included or incorporated by reference in this proxy statement/prospectus.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 (page 86)</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at the effective time, Merger Sub, an indirect, wholly-owned subsidiary of Bitfarms, will merge with and into Stronghold. As a result, Stronghold will continue as the surviving corporation in the merger, become an indirect, wholly-owned subsidiary of Bitfarms and cease to be a publicly traded company.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(page 38)</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if the merger is completed, each share of Stronghold Class A common stock issued and outstanding immediately prior to the effective time (including shares of Stronghold Class A common stock issued pursuant to the exchanges and conversion (each, as defined herein), but excluding shares of Stronghold common stock owned directly by Bitfarms, Stronghold or any of their respective subsidiaries) will be converted into the right to receive 2.520 validly issued, fully paid and non-assessable Bitfarms common shares. For a full description of the treatment of Stronghold stock options, restricted stock units and warrants,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Treatment of Stronghold Equity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 Agreement — Merger Consideration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 (page 52)</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Platforms, Inc. (“Riot”),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 (as defined below). Pursuant to the Settlement Agreement, Bitfarms held a special meeting of shareholders on November 20, 2024 (the “Bitfarms special meeting”), at which Bitfarms shareholders were asked to, and did, approve an expansion of the board of directors from five members to six members, elect an independent director nominated by the Bitfarms board of directors to serve as the sixth member of the Bitfarms board of directors, and ratify the Revised Rights Plan (as defined below).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Stronghold Board of Directors’ Recommendation (page 55)</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recommended that the holders of Stronghold common stock approve and adopt the merger agreement and the transactions contemplated thereby, including the merger.</w:t>
      </w:r>
    </w:p>
    <w:p>
      <w:pPr>
        <w:spacing w:after="0" w:line="10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Accordingly, the Stronghold board of directors recommends that Stronghold stockholders vote “FOR” the merger proposal. For the factors considered by the Stronghold board of directors in reaching this decision, see the section entitled “</w:t>
      </w:r>
      <w:r>
        <w:rPr>
          <w:rFonts w:ascii="Times New Roman" w:cs="Times New Roman" w:eastAsia="Times New Roman" w:hAnsi="Times New Roman"/>
          <w:sz w:val="18"/>
          <w:szCs w:val="18"/>
          <w:i w:val="1"/>
          <w:iCs w:val="1"/>
          <w:color w:val="auto"/>
        </w:rPr>
        <w:t>The Merger Proposal — Stronghold’s Reasons for the Merger;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 Board of Directors.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 (page 19)</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closing price per Bitfarms common share on Nasdaq and the TSX and the closing price per share of Stronghold Class A common stock on Nasdaq on (i) August 20, 2024, the last full trading day prior to the public announcement of the merger agreement, and (ii) January 27, 2025, the last practicable trading day prior to the date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 value</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merger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 per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Bitfarms</w:t>
            </w:r>
          </w:p>
        </w:tc>
      </w:t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r>
      <w:tr>
        <w:trPr>
          <w:trHeight w:val="212"/>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TSX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Nasdaq</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27,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bl>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 (page 59)</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Opinion of Cohen &amp; Co. Capital Markets</w:t>
      </w:r>
    </w:p>
    <w:p>
      <w:pPr>
        <w:spacing w:after="0" w:line="160"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August 20, 2024 meeting of the Stronghold board of directors, Cohen &amp; Co. Capital Markets, financial advisor to Stronghold, rendered its oral opinion to the Stronghold board of directors, confirmed by delivery of a written opinion dated August 20, 2024, to the effect that as of the date of such opinion, and based upon and subject to the assumptions made, procedures followed, matters considered and limitations, qualifications and conditions on the review undertaken in connection therewith, as described in Cohen &amp; Co. Capital Markets’ opinion, the exchange ratio of 2.520 of a Bitfarms common share per share of Stronghold Class A common stock was fair, from a financial point of view, to the holders of Stronghold Class A common stock (other than Bitfarms and its affiliates).</w:t>
      </w:r>
    </w:p>
    <w:p>
      <w:pPr>
        <w:spacing w:after="0" w:line="124"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The full text of Cohen &amp; Co. Capital Markets’ written opinion, dated August 20, 2024, which sets forth the assumptions made, procedures followed, matters considered and limitations, qualifications and conditions on the review undertaken in connection with the opinion, is attached to this proxy statement/prospectus as Annex E and is incorporated herein by reference. The summary of Cohen &amp; Co. Capital Markets’ opinion set forth in this proxy statement/prospectus is qualified in its entirety by reference to the full text of the opinion. Cohen &amp; Co. Capital Markets’ opinion was addressed to, and for the use and benefit of, the Stronghold board of directors in connection with and for the purpose of its evaluation of the merger. Cohen &amp; Co. Capital Markets’ opinion does not constitute a recommendation as to how any holder of Stronghold Class A common stock should vote with respect to the merger or any related matter. Cohen &amp; Co. Capital Markets’ opinion was limited solely to the fairness of the exchange ratio, from a financial point of view, to the holders of outstanding Stronghold Class A common stock (other than Bitfarms and its affiliates), and Cohen &amp; Co. Capital Markets did not express any opinion as to the underlying decision by Stronghold to engage in the merger or the relative merits of the merger as compared to any alternative transactions or business strategies. For a full description of the opinion that the Stronghold board of directors received from Cohen &amp; Co. Capital Markets, see the section entitled “</w:t>
      </w:r>
      <w:r>
        <w:rPr>
          <w:rFonts w:ascii="Times New Roman" w:cs="Times New Roman" w:eastAsia="Times New Roman" w:hAnsi="Times New Roman"/>
          <w:sz w:val="18"/>
          <w:szCs w:val="18"/>
          <w:i w:val="1"/>
          <w:iCs w:val="1"/>
          <w:color w:val="auto"/>
        </w:rPr>
        <w:t>The Merger Proposal — Opinion of Stronghold’s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Special Meeting (page 33)</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and Place of the Special Meeting</w:t>
      </w:r>
    </w:p>
    <w:p>
      <w:pPr>
        <w:spacing w:after="0" w:line="14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 xml:space="preserve">The special meeting will be held virtually at 10:00 a.m., Eastern Time, on February 27, 2025, at </w:t>
      </w:r>
      <w:r>
        <w:rPr>
          <w:rFonts w:ascii="Times New Roman" w:cs="Times New Roman" w:eastAsia="Times New Roman" w:hAnsi="Times New Roman"/>
          <w:sz w:val="18"/>
          <w:szCs w:val="18"/>
          <w:i w:val="1"/>
          <w:iCs w:val="1"/>
          <w:color w:val="auto"/>
        </w:rPr>
        <w:t>www.virtualshareholdermeeting.com/SDIG2025SM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Record Date and Outstanding Shares of Stronghold Common Stock</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Only Stronghold stockholders of record as of the close of business on December 31, 2024, which is the record date, will be entitled to receive notice of, and to vote at, the special meeting or at any adjournment or postponement thereof.</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14,957,379 shares of Stronghold Class A common stock and 2,405,760 shares of Stronghold Class V common stock issued and outstanding and entitled to notice of, and to vote at, the special meeting. Each Stronghold stockholder is entitled to one vote for each share of Stronghold common stock owned as of the record date.</w:t>
      </w:r>
    </w:p>
    <w:p>
      <w:pPr>
        <w:spacing w:after="0" w:line="9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and entitled to vote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subject to approval of the adjournment proposal by Stronghold stockholders present virtually or represented by proxy at the special meeting,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21"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Required Vote to Approve the Merger Proposal</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Voting by Directors and Executive Officers</w:t>
      </w:r>
    </w:p>
    <w:p>
      <w:pPr>
        <w:spacing w:after="0" w:line="14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As of the record date, Stronghold directors and executive officers had the right to vote approximately 3,266,485 shares of Stronghold common stock, representing approximately 18.8%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7" w:lineRule="auto"/>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 As of the record date, Bitfarms directors and executive officers did not beneficially own any shares of Stronghold common stock and therefore will not have any entitlement to vote at the special meeting.</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Bitfarms Common Shares (page 71)</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approval for listing of Bitfarms common shares issuable pursuant to the merger agreement on Nasdaq and the TSX, subject to customary conditions and official notice of issuance.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 (page 72)</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(page 77)</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may also be taxable under state and local and other tax laws, in which case the U.S. federal income tax consequences to holders of Stronghold Class A common stock of the exchange of Stronghold Class A common stock for Bitfarms common shares pursuant to the merger are as follows:</w:t>
      </w:r>
    </w:p>
    <w:p>
      <w:pPr>
        <w:spacing w:after="0" w:line="116" w:lineRule="exact"/>
        <w:rPr>
          <w:sz w:val="20"/>
          <w:szCs w:val="20"/>
          <w:color w:val="auto"/>
        </w:rPr>
      </w:pPr>
    </w:p>
    <w:p>
      <w:pPr>
        <w:jc w:val="both"/>
        <w:ind w:left="1400" w:right="559" w:hanging="424"/>
        <w:spacing w:after="0" w:line="254"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Stronghold Class A common stock that receives Bitfarms common shares 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 for U.S. federal income tax purposes. A U.S. holder of Stronghold Class A common stock will be subject to U.S. federal income tax on any gain recognized regardless of whether there is a corresponding receipt of cash.</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of Stronghold Class A common stock that receives Bitfarms common shares in connection with the merger will generally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Consequences of the Merger to Non-U.S. Holders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You are urged to consult your tax advisors regarding the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 to you in your particular circumstances, as well as tax consequences arising under the laws of any state, local or foreign taxing jurisdiction.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(page 83)</w:t>
      </w:r>
    </w:p>
    <w:p>
      <w:pPr>
        <w:spacing w:after="0" w:line="16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and consult your own tax advisors regarding the particular Canadian federal or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of the ownership and disposition of Bitfarms common shares acquired pursuant to the merger.</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75)</w:t>
      </w:r>
    </w:p>
    <w:p>
      <w:pPr>
        <w:spacing w:after="0" w:line="14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The merger will be accounted for as a business combination using the acquisition method of accounting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Bitfarms has determined that it is the acquirer for accounting purposes, and accordingly, will record identifiable assets acquired and liabilities assumed from Stronghold at their respective fair values (except for limited exceptions where IFRS 3 requires a different measurement basis) at the closing date. Any excess of the merger consideration over the net fair value of such assets and liabilities will be recorded as goodwill.</w:t>
      </w:r>
    </w:p>
    <w:p>
      <w:pPr>
        <w:spacing w:after="0" w:line="118"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the accounting treatment of the Transaction,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Accounting Treatment of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Stronghold Equity Awards and Warrants (page 72)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At the effective time, each outstanding Stronghold option, whether vested or unvested, other than 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(“Bitfarms options”). Each of these converted options will continue to have and be subject to substantially the same terms and conditions as were applicable to such option immediately prior to the effective time, except that (i) 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denominated in Stronghold Class A common stock (each a “Stronghold RSU”), whether vested or unvested, will automatically vest in full and any restrictions thereon will lapse. Each such Stronghold RSU will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(each a “Bitfarms RSU”)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issued and outstanding Stronghold warrant to purchase Stronghold Class A common stock (“Stronghold warrant”) unless otherwise mutually agreed upon by the holder of any such Stronghold warrant and Bitfarms, each Stronghold warrant will cease to represent to a right to acquire Stronghold Class A common stock and will be replaced with a warrant to acquire Bitfarms common shares. The number of such Bitfarms common shares will be equal to the product of the number of shares of Stronghold Class A common stock subject to such Stronghold warrant immediately prior to the effective time multiplied by the exchange ratio. The exercise price for each Bitfarms common share will be equal to the exercise price per share of Stronghold Class A common stock under such Stronghold warrant divided by the exchange ratio.</w:t>
      </w:r>
    </w:p>
    <w:p>
      <w:pPr>
        <w:spacing w:after="0" w:line="11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description of the treatment of Stronghold equity awards and warrants,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Stronghold Equity Awards and Warrants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(page 76)</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file such filings and obtain such approvals necessary to complete the merger and the other transactions contemplated by the merger agreement (except for the filings and notifications made pursuant to the HSR Act as described below).</w:t>
      </w:r>
    </w:p>
    <w:p>
      <w:pPr>
        <w:spacing w:after="0" w:line="121"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07"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Stronghold and Bitfarms are not currently aware of any material governmental filings, authorizations, approvals or consents that are required prior to the parties’ completion of the merger other than those described in the section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the timing of these consents and approvals, Bitfarms’ or Stronghold’s ultimate ability to obtain such consents or approvals (or any additional consents or approvals that may otherwise become necessary), or the conditions or limitations that such approvals may contain or impose.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or Dissenters’ Rights (page 77)</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103)</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108" w:lineRule="exact"/>
        <w:rPr>
          <w:sz w:val="20"/>
          <w:szCs w:val="20"/>
          <w:color w:val="auto"/>
        </w:rPr>
      </w:pPr>
    </w:p>
    <w:p>
      <w:pPr>
        <w:ind w:left="1400" w:hanging="424"/>
        <w:spacing w:after="0"/>
        <w:tabs>
          <w:tab w:leader="none" w:pos="1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to the merger agreement shall have issued any order, decree, ruling, injunction or other action that is in effect restraining, enjoining or otherwise prohibiting the consummation of the merger, and no law shall have been adopted that makes consummation of the merger illegal or otherwise prohibited.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from Stronghold to that effect;</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dated the closing date from Stronghold to that effect;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 (collectively, the “mining facility conditions”).</w:t>
      </w:r>
    </w:p>
    <w:p>
      <w:pPr>
        <w:spacing w:after="0" w:line="10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dated the closing date from Bitfarms to that effect;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the closing date from Bitfarms to that effect; and</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dated the closing date from Bitfarms to that effect.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Solicitation (page 96)</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Stronghold has agreed that, during the period from the execution of the merger agreement until the earlier to occur of the closing and the termination of the merger agreement, Stronghold will, and will cause its subsidiaries and instruct its representatives, (i) to immediately cease any discussion or negotiations with any person with respect to a “competing proposal” (as defined below), and (ii) not to directly or indirectly,</w:t>
      </w:r>
    </w:p>
    <w:p>
      <w:pPr>
        <w:spacing w:after="0" w:line="112" w:lineRule="exact"/>
        <w:rPr>
          <w:sz w:val="20"/>
          <w:szCs w:val="20"/>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with any person with respect to a competing proposal;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59" w:hanging="424"/>
        <w:spacing w:after="0" w:line="282"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merger agreement sets forth certain exceptions, and Stronghold or any of its representatives may, in response to an inquiry or proposal from a third party, inform a third party or its representatives of the restrictions describe above.</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Additionally, the merger agreement contains notice requirements, limits on the Stronghold board of directors’ ability to change their recommendation to Stronghold stockholders regarding the merger, and other terms relating to a competing proposal. For further information, including what constitutes a “competing proposal” and a “superior proposal” (as defined below), see the section entitled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104)</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Subject to conditions and circumstances described in the merger agreement, the merger agreement may be terminated as follows:</w:t>
      </w:r>
    </w:p>
    <w:p>
      <w:pPr>
        <w:spacing w:after="0" w:line="81" w:lineRule="exact"/>
        <w:rPr>
          <w:sz w:val="20"/>
          <w:szCs w:val="20"/>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Stronghold and Bitfarms;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57"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issues a final and non-appealable order, decree, ruling or injunction restraining, enjoining or otherwise prohibiting the consummation of the merger;</w:t>
      </w:r>
    </w:p>
    <w:p>
      <w:pPr>
        <w:spacing w:after="0" w:line="94"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5:00 p.m. New York, New York time, on May 21, 2025 (the “end date”); provided that (i) if the registration statement has not become effective at that time, or if the registration statement becomes effective after February 21, 2025 but the Stronghold stockholder approval has not been obtained on that date, the end date shall be automatically extended to August 21, 2025; and</w:t>
      </w:r>
    </w:p>
    <w:p>
      <w:pPr>
        <w:spacing w:after="0" w:line="3" w:lineRule="exact"/>
        <w:rPr>
          <w:rFonts w:ascii="Times New Roman" w:cs="Times New Roman" w:eastAsia="Times New Roman" w:hAnsi="Times New Roman"/>
          <w:sz w:val="18"/>
          <w:szCs w:val="18"/>
          <w:color w:val="auto"/>
        </w:rPr>
      </w:pPr>
    </w:p>
    <w:p>
      <w:pPr>
        <w:jc w:val="both"/>
        <w:ind w:left="1840" w:right="559"/>
        <w:spacing w:after="0" w:line="253" w:lineRule="auto"/>
        <w:tabs>
          <w:tab w:leader="none" w:pos="2122"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21"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giving written notice to the breaching party of such breach and (ii) three business days prior to the end date; provided, however, that the terminating party is not then in terminable breach of any representation, warranty, covenant or other agreement contained in the merger agreement; or</w:t>
      </w:r>
    </w:p>
    <w:p>
      <w:pPr>
        <w:spacing w:after="0" w:line="124"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(as defined below)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and Stronghold has complied in all material respects with the no solicitation provisions of the merger agreement; or</w:t>
      </w:r>
    </w:p>
    <w:p>
      <w:pPr>
        <w:sectPr>
          <w:pgSz w:w="11900" w:h="16838" w:orient="portrait"/>
          <w:cols w:equalWidth="0" w:num="1">
            <w:col w:w="9019"/>
          </w:cols>
          <w:pgMar w:left="1440" w:top="270"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3"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w:t>
      </w:r>
    </w:p>
    <w:p>
      <w:pPr>
        <w:spacing w:after="0" w:line="12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Merger Agreement — 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94" w:lineRule="exact"/>
        <w:rPr>
          <w:sz w:val="20"/>
          <w:szCs w:val="20"/>
          <w:color w:val="auto"/>
        </w:rPr>
      </w:pPr>
    </w:p>
    <w:p>
      <w:pPr>
        <w:jc w:val="both"/>
        <w:ind w:left="1400" w:right="559" w:hanging="424"/>
        <w:spacing w:after="0" w:line="257"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400" w:right="559" w:firstLine="8"/>
        <w:spacing w:after="0" w:line="260" w:lineRule="auto"/>
        <w:tabs>
          <w:tab w:leader="none" w:pos="169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0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9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Expenses and Termination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Termination of the Merger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color w:val="auto"/>
        </w:rPr>
        <w:t>Your Rights as a Bitfarms Shareholder Will Be Different from Your Rights as a Stronghold Stockholder (page 132)</w:t>
      </w:r>
    </w:p>
    <w:p>
      <w:pPr>
        <w:spacing w:after="0" w:line="7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if the merger is completed, each share of Stronghold Class A common stock (other than shares of Stronghold Class A common stock owned directly by Bitfarms, Stronghold or any of their respective subsidiaries) issued and outstanding immediately prior to the effective time will be converted into the right to receive the merger consideration, consisting of 2.520 validly issued, fully paid and non-assessable Bitfarms common shares. As a result, Stronghold stockholders will become Bitfarms shareholders and, as such, their rights will be governed principally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Bitfarms’ articles of continuance and by-laws, each as amended. These rights differ from the existing rights of Stronghold stockholders, which are governed principally by Delaware Law (as defined below) and Stronghold’s articles of incorporation and by-laws. For a summary of the material differences between the rights of Bitfarms shareholders and the existing rights of Stronghold stockholders,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 (page 72)</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agreement, you should be aware that Stronghold’s directors and executive officers have interests in the merger that are different from, or in addition to, the interests of Stronghold’s stockholders generally. Interests of directors and executive officers that may differ from or be in addition to the interests of Stronghold’s stockholders generally include, but are not limited to, the treatment of outstanding incentive awards held by Stronghold’s directors and executive officers, potential severance payments and benefits upon a Stronghold executive officer’s qualifying termination of employment that occurs on or following the closing date, and rights to ongoing indemnification and insurance coverage.</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110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7110730"/>
                    </a:xfrm>
                    <a:prstGeom prst="rect">
                      <a:avLst/>
                    </a:prstGeom>
                    <a:noFill/>
                  </pic:spPr>
                </pic:pic>
              </a:graphicData>
            </a:graphic>
          </wp:anchor>
        </w:drawing>
      </w:r>
    </w:p>
    <w:p>
      <w:pPr>
        <w:spacing w:after="0" w:line="325"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These interests are discussed in more detail in the section entitled “</w:t>
      </w:r>
      <w:r>
        <w:rPr>
          <w:rFonts w:ascii="Times New Roman" w:cs="Times New Roman" w:eastAsia="Times New Roman" w:hAnsi="Times New Roman"/>
          <w:sz w:val="18"/>
          <w:szCs w:val="18"/>
          <w:i w:val="1"/>
          <w:iCs w:val="1"/>
          <w:color w:val="auto"/>
        </w:rPr>
        <w:t>The Merger Proposal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Stronghold’s Directors and Executive Officers in the Merger</w:t>
      </w:r>
      <w:r>
        <w:rPr>
          <w:rFonts w:ascii="Times New Roman" w:cs="Times New Roman" w:eastAsia="Times New Roman" w:hAnsi="Times New Roman"/>
          <w:sz w:val="18"/>
          <w:szCs w:val="18"/>
          <w:color w:val="auto"/>
        </w:rPr>
        <w:t>.” The Stronghold board of directors was 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different or additional interests described herein and considered these interests along with other matters in approving and adopting the merger agreement.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Voting Agreement (page 107)</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 a Delaware limited liability company controlled by Mr. Beard.</w:t>
      </w:r>
    </w:p>
    <w:p>
      <w:pPr>
        <w:spacing w:after="0" w:line="95"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Mr. Beard and Q Power have agreed to vote (i) in favor of adopting the merger agreement and the transactions contemplated thereby, (ii) in favor of any other matters that would reasonably be expected to facilitate the consummation of the merger and the other transactions contemplated by the merger agreement,</w:t>
      </w:r>
    </w:p>
    <w:p>
      <w:pPr>
        <w:spacing w:after="0" w:line="1" w:lineRule="exact"/>
        <w:rPr>
          <w:sz w:val="20"/>
          <w:szCs w:val="20"/>
          <w:color w:val="auto"/>
        </w:rPr>
      </w:pPr>
    </w:p>
    <w:p>
      <w:pPr>
        <w:jc w:val="both"/>
        <w:ind w:left="540" w:right="559" w:firstLine="4"/>
        <w:spacing w:after="0" w:line="253" w:lineRule="auto"/>
        <w:tabs>
          <w:tab w:leader="none" w:pos="8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and (iv) against any proposal that would reasonably be expected to delay the completion of the merger. Mr. Beard and Q Power, as the sole holder of Stronghold Class V common stock, and Mr. Beard, as a control person of Q Power, agreed to certain transfer restrictions and to waive appraisal rights with respect to Stronghold Class V common stock in connection with the merger.</w:t>
      </w:r>
    </w:p>
    <w:p>
      <w:pPr>
        <w:spacing w:after="0" w:line="119"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16.4% of the outstanding shares of Stronghold common stock.</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 (page 108)</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Q Power and Mr. Spence entered into the TRA Waiver and Termination Agreement, pursuant to which, subject to and effective at the effective time of the merger, Q Power and Mr. Spence agreed to waive in full all or any portion of the early termination payment which would otherwise be payable at the effective time of the merger or any other amounts payable pursuant to the TRA, and to terminate the TRA.</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TRA Waiver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Conversion Agreement (page 109)</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and the holders of all of the issued and outstanding shares of Stronghold Series C preferred stock (the “Stronghold Series C preferred stockholders”) entered into the conversion agreement, pursuant to which the Stronghold Series C preferred stockholders agreed that, conditioned upon and immediately prior to the effective time, the conversion agreement shall be deemed an Optional Conversion Notice (as defined in the certificate of designations of the Stronghold Series C preferred stock, filed with the Secretary of State of the State of Delaware, effective February 20, 2023 (the “Stronghold Series C certificate of designations”)), pursuant to which all of the issued and outstanding shares of Stronghold Series C preferred stock held by such Stronghold Series C preferred stockholders shall be converted into shares of Stronghold Class A common stock in accordance with the terms of the Stronghold Series C certificate of designations. In addition, subject to certain exceptions, the Stronghold Series C preferred stockholders agreed not to sell, transfer or assign any shares of Stronghold Series C preferred stock.</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Conversion Agreement</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contains, certain “forward-looking information” and “forward-looking statements” (collectively, “forward-looking information”) within the meaning of certain securities laws, including the “safe harbor” provisions of the U.S. Private Securities Litigation Reform Act of 1995 and any applicable Canadian securities legislation. This forward-looking information includes, but is not limited to, statements regarding the expectations for and timing of the completion of the merger, the occurrence of any event giving rise to the right of a party to terminate the merger agreement, the expected benefits of the merger, considerations taken into account when approving the merger, the value of the merger to Stronghold stockholders, expectations for Bitfarms following the closing of the merger or termination of the merger agreement, and statements regarding Bitfarms or Stronghold’s future expectations, beliefs, plans, objectives, results of operations, financial condition and cash flows or future events or performance. These statements are often, but not always, made through the use of words or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and are not statements of historical fact and may be forward-looking information.</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w:t>
      </w:r>
    </w:p>
    <w:p>
      <w:pPr>
        <w:spacing w:after="0" w:line="89" w:lineRule="exact"/>
        <w:rPr>
          <w:sz w:val="20"/>
          <w:szCs w:val="20"/>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merger and the failure to consummate or delays in consummating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close the merger;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 or otherwise require Stronghold and Bitfarms to modify the terms and conditions of the merger, including to achieve regulatory or stockholder approval;</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associated with financial, or other, projections;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businesses successfully and risks of not achieving all or any of the anticipated benefits and synergies of the merger, or the risk that the anticipated benefits and synergies of the merger may not be fully realized or take longer to realize than expected;</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merger;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 that may impact the ability of Bitfarms and Stronghold to pursue certain business opportunities or strategic transactions;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performance of Stronghold or Bitfarms or more generally due to broader stock market movements and the performance of peer group companies;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financial and business performance of Bitfarms following the completion of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markets in which Stronghold and Bitfarms operate;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securities markets impacting security pricing unrelated to operating 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the ability to complete current and future financings;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proceedings relating to the merger and the outcome of any such legal proceeding;</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cost and regulatory penalties due to the operation of Stronghold plants which entail environmental risk;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each of Bitfarms and Stronghold has attempted to identify important factors that could cause actual results to differ materially from those expressed in the forward-looking information,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The forward-looking information speaks only as of the date of this proxy statement/prospectus, in the case of forward-looking information contained in this proxy statement/prospectus, or the dates of the documents incorporated by reference into this proxy statement/prospectus, in the case of forward-looking information made in those incorporated documents. Readers are cautioned not to place undue reliance on forward-looking information.</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more information about these and other risks, contingencies and uncertainties applicable to Bitfarms and Stronghold, please see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and the section of this proxy statement/prospectus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beginning on page 163.</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subsequent written or oral forward-looking information concerning the merger or other matters addressed in this proxy statement/prospectus and attributable to Bitfarms or Stronghold or any person acting on its or their behalf are expressly qualified in their entirety by the cautionary statements contained or referred to in this section. Except as may be required by law, neither Bitfarms nor Stronghold is under any obligation, and each expressly disclaims any obligation, to update, alter or otherwise revise any forward-looking information, whether written or oral, that may be made from time to time, whether as a result of new information, future events or otherwise. Bitfarms and Stronghold and their respective directors, employees, agents and advisers do not accept or assume responsibility to any other person to whom this proxy statement/prospectus is shown or into whose hands it may come and any such responsibility or liability is expressly disclaimed.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STRONGHOLD</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is derived from Stronghold’s audited consolidated financial statements for the years ended December 31, 2023 and 2022 and restated unaudited consolidated financial statements for the nine months ended September 30, 2024 and 2023 prepared in accordance with U.S. GAAP. The information set forth below is only a summary that you should read together with the historical audited consolidated financial statements of Stronghold and the related notes, as well as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contained in Stronghold’s Annual Report on Form 10-K (as amended) for the fiscal year ended December 31, 2023 and Quarterly Report on Form 10-Q/A for the nine months ended September 30, 2024 that Stronghold previously filed with the SEC and that are incorporated by reference into this proxy statement/prospectus. Historical results are not necessarily indicative of any results to be expected in the future.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2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28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7"/>
        </w:trPr>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1160" w:type="dxa"/>
            <w:vAlign w:val="bottom"/>
          </w:tcPr>
          <w:p>
            <w:pPr>
              <w:spacing w:after="0"/>
              <w:rPr>
                <w:sz w:val="20"/>
                <w:szCs w:val="20"/>
                <w:color w:val="auto"/>
              </w:rPr>
            </w:pPr>
          </w:p>
        </w:tc>
      </w:tr>
    </w:tbl>
    <w:p>
      <w:pPr>
        <w:spacing w:after="0" w:line="46" w:lineRule="exact"/>
        <w:rPr>
          <w:sz w:val="20"/>
          <w:szCs w:val="20"/>
          <w:color w:val="auto"/>
        </w:rPr>
      </w:pPr>
    </w:p>
    <w:p>
      <w:pPr>
        <w:sectPr>
          <w:pgSz w:w="11900" w:h="16838" w:orient="portrait"/>
          <w:cols w:equalWidth="0" w:num="2">
            <w:col w:w="3680" w:space="380"/>
            <w:col w:w="49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mining</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52,885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58,764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37,765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hosting</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8,048</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9,195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5,814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45,385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1,424</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4,683</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74,966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110,225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54,649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53,227</w:t>
            </w:r>
          </w:p>
        </w:tc>
      </w:tr>
      <w:tr>
        <w:trPr>
          <w:trHeight w:val="277"/>
        </w:trPr>
        <w:tc>
          <w:tcPr>
            <w:tcW w:w="3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32,971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22,262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57,030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22,322</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24,206</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44,461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26,672</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25,145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47,235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(gain) on sale of digital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5"/>
        </w:trPr>
        <w:tc>
          <w:tcPr>
            <w:tcW w:w="3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currencies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(1,102)</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miner assets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8,012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40,683</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17,349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137,401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257,490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94,457</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103,127</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(9,846)</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(13,911)</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(7,429)</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(28,961)</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(28,961)</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4,226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8,445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5,580</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fair value of forward sale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(2,168)</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117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50" w:lineRule="exact"/>
        <w:rPr>
          <w:sz w:val="20"/>
          <w:szCs w:val="20"/>
          <w:color w:val="auto"/>
        </w:rPr>
      </w:pPr>
    </w:p>
    <w:p>
      <w:pPr>
        <w:ind w:left="640" w:right="300" w:hanging="179"/>
        <w:spacing w:after="0" w:line="273" w:lineRule="auto"/>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 w:lineRule="exact"/>
        <w:rPr>
          <w:sz w:val="20"/>
          <w:szCs w:val="20"/>
          <w:color w:val="auto"/>
        </w:rPr>
      </w:pPr>
    </w:p>
    <w:p>
      <w:pPr>
        <w:jc w:val="right"/>
        <w:ind w:left="460" w:right="240"/>
        <w:spacing w:after="0" w:line="273" w:lineRule="auto"/>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p>
      <w:pPr>
        <w:spacing w:after="0" w:line="2"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3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0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(101,824)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(80,665)</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2"/>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(105,910)</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(26,664)</w:t>
            </w:r>
          </w:p>
        </w:tc>
      </w:tr>
      <w:tr>
        <w:trPr>
          <w:trHeight w:val="48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25"/>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(50,904)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(89,261)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(32,507)</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(54,001)</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-1087755</wp:posOffset>
            </wp:positionV>
            <wp:extent cx="514350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-607695</wp:posOffset>
            </wp:positionV>
            <wp:extent cx="514350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514350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60"/>
            <w:col w:w="4979"/>
          </w:cols>
          <w:pgMar w:left="1440" w:top="270" w:right="1440" w:bottom="1440" w:gutter="0" w:footer="0" w:header="0"/>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Class A</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tcBorders>
              <w:bottom w:val="single" w:sz="8" w:color="CCEEFF"/>
            </w:tcBorders>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362"/>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3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common stock</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43,398</w:t>
            </w:r>
          </w:p>
        </w:tc>
      </w:tr>
      <w:tr>
        <w:trPr>
          <w:trHeight w:val="445"/>
        </w:trPr>
        <w:tc>
          <w:tcPr>
            <w:tcW w:w="3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summary historical financial data of Bitfarms is derived from Bitfarms’ audited consolidated financial statements and the related notes incorporated by reference in this proxy statement/prospectus, Bitfarms’ restated Management’s Discussion and Analysis for the year ended December 31, 2023, included as Exhibit 99.3 to Amendment No. 1 to Bitfarms’ Annual Report on Form 40-F for the year ended December 31, 2023, Bitfarms’ interim condensed consolidated financial statements for the three and nine months ended September 30, 2024 and Bitfarms’ restated Management’s Discussion and Analysis for the three and nine months ended September 30, 2024, included as Exhibit 99.2 on Bitfarms’ Form 6-K/A dated December 9, 2024, each of which is incorporated by reference into this proxy statement/prospectus.</w:t>
      </w:r>
    </w:p>
    <w:p>
      <w:pPr>
        <w:spacing w:after="0" w:line="8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All references in this proxy statement/prospectus to Bitfarms’ audited consolidated financial statements are to the restated audited consolidated financial statements for the year ended December 31, 2023, included as exhibit 99.2 to Amendment No. 1 to Bitfarms’ Annual Report on Form 40-F for the year ended December 31, 2023. All references in this proxy statement/prospectus to Bitfarms’ unaudited interim condensed consolidated financial statements are to the restated unaudited interim condensed consolidated financial statements for the three and nine months ended September 30, 2024, included as exhibit 99.1 to Bitfarms’ Form 6-K/A dated December 9, 2024. For more information, see Note 3(e) to the audited consolidated financial statements and Note 3(d) to the unaudited interim condensed consolidated financial statements, referred to above.</w:t>
      </w:r>
    </w:p>
    <w:p>
      <w:pPr>
        <w:spacing w:after="0" w:line="8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audited consolidated financial statements and unaudited interim condensed consolidated financial statements have been prepared in accordance with International Financial Reporting Standards as issued by the International Accounting Standards Board (“IFRS Accounting Standards”) and are presented in U.S. dollars. Historical results are not necessarily indicative of any results to be expected in the future, and results for any interim period are not necessarily indicative of results that may be expected for any full year.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0" w:gutter="0" w:footer="0" w:header="0"/>
        </w:sectPr>
      </w:pPr>
    </w:p>
    <w:p>
      <w:pPr>
        <w:spacing w:after="0" w:line="244" w:lineRule="exact"/>
        <w:rPr>
          <w:sz w:val="20"/>
          <w:szCs w:val="20"/>
          <w:color w:val="auto"/>
        </w:rPr>
      </w:pPr>
    </w:p>
    <w:p>
      <w:pPr>
        <w:ind w:left="460" w:right="700"/>
        <w:spacing w:after="0" w:line="270" w:lineRule="auto"/>
        <w:rPr>
          <w:sz w:val="20"/>
          <w:szCs w:val="20"/>
          <w:color w:val="auto"/>
        </w:rPr>
      </w:pPr>
      <w:r>
        <w:rPr>
          <w:rFonts w:ascii="Times New Roman" w:cs="Times New Roman" w:eastAsia="Times New Roman" w:hAnsi="Times New Roman"/>
          <w:sz w:val="16"/>
          <w:szCs w:val="16"/>
          <w:b w:val="1"/>
          <w:bCs w:val="1"/>
          <w:color w:val="auto"/>
        </w:rPr>
        <w:t>Consolidated Statements of Profit or Loss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1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1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29845</wp:posOffset>
            </wp:positionV>
            <wp:extent cx="514350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040" w:space="140"/>
            <w:col w:w="4839"/>
          </w:cols>
          <w:pgMar w:left="1440" w:top="270" w:right="1440" w:bottom="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p>
      <w:pPr>
        <w:spacing w:after="0" w:line="50" w:lineRule="exact"/>
        <w:rPr>
          <w:sz w:val="20"/>
          <w:szCs w:val="20"/>
          <w:color w:val="auto"/>
        </w:rPr>
      </w:pPr>
    </w:p>
    <w:p>
      <w:pPr>
        <w:ind w:left="820" w:hanging="179"/>
        <w:spacing w:after="0" w:line="273" w:lineRule="auto"/>
        <w:rPr>
          <w:sz w:val="20"/>
          <w:szCs w:val="20"/>
          <w:color w:val="auto"/>
        </w:rPr>
      </w:pPr>
      <w:r>
        <w:rPr>
          <w:rFonts w:ascii="Times New Roman" w:cs="Times New Roman" w:eastAsia="Times New Roman" w:hAnsi="Times New Roman"/>
          <w:sz w:val="18"/>
          <w:szCs w:val="18"/>
          <w:color w:val="auto"/>
        </w:rPr>
        <w:t>Gain (loss) on disposition of property, plant and equipment</w:t>
      </w:r>
    </w:p>
    <w:p>
      <w:pPr>
        <w:spacing w:after="0" w:line="2" w:lineRule="exact"/>
        <w:rPr>
          <w:sz w:val="20"/>
          <w:szCs w:val="20"/>
          <w:color w:val="auto"/>
        </w:rPr>
      </w:pPr>
    </w:p>
    <w:p>
      <w:pPr>
        <w:ind w:left="820" w:right="60" w:hanging="179"/>
        <w:spacing w:after="0" w:line="282" w:lineRule="auto"/>
        <w:rPr>
          <w:sz w:val="20"/>
          <w:szCs w:val="20"/>
          <w:color w:val="auto"/>
        </w:rPr>
      </w:pPr>
      <w:r>
        <w:rPr>
          <w:rFonts w:ascii="Times New Roman" w:cs="Times New Roman" w:eastAsia="Times New Roman" w:hAnsi="Times New Roman"/>
          <w:sz w:val="18"/>
          <w:szCs w:val="18"/>
          <w:color w:val="auto"/>
        </w:rPr>
        <w:t>Impairment on short-term prepaid deposits and property, plant and equipment</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Impairment on goodwill</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378" w:lineRule="exact"/>
        <w:rPr>
          <w:sz w:val="20"/>
          <w:szCs w:val="20"/>
          <w:color w:val="auto"/>
        </w:rPr>
      </w:pPr>
    </w:p>
    <w:p>
      <w:pPr>
        <w:ind w:left="460" w:right="1300"/>
        <w:spacing w:after="0" w:line="395" w:lineRule="auto"/>
        <w:rPr>
          <w:sz w:val="20"/>
          <w:szCs w:val="20"/>
          <w:color w:val="auto"/>
        </w:rPr>
      </w:pPr>
      <w:r>
        <w:rPr>
          <w:rFonts w:ascii="Times New Roman" w:cs="Times New Roman" w:eastAsia="Times New Roman" w:hAnsi="Times New Roman"/>
          <w:sz w:val="17"/>
          <w:szCs w:val="17"/>
          <w:color w:val="auto"/>
        </w:rPr>
        <w:t xml:space="preserve">Net financial (expenses) income </w:t>
      </w:r>
      <w:r>
        <w:rPr>
          <w:rFonts w:ascii="Times New Roman" w:cs="Times New Roman" w:eastAsia="Times New Roman" w:hAnsi="Times New Roman"/>
          <w:sz w:val="17"/>
          <w:szCs w:val="17"/>
          <w:b w:val="1"/>
          <w:bCs w:val="1"/>
          <w:color w:val="auto"/>
        </w:rPr>
        <w:t>Net loss before income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recovery</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p>
      <w:pPr>
        <w:spacing w:after="0" w:line="50" w:lineRule="exact"/>
        <w:rPr>
          <w:sz w:val="20"/>
          <w:szCs w:val="20"/>
          <w:color w:val="auto"/>
        </w:rPr>
      </w:pPr>
    </w:p>
    <w:p>
      <w:pPr>
        <w:ind w:left="820" w:right="140" w:hanging="179"/>
        <w:spacing w:after="0" w:line="282" w:lineRule="auto"/>
        <w:rPr>
          <w:sz w:val="20"/>
          <w:szCs w:val="20"/>
          <w:color w:val="auto"/>
        </w:rPr>
      </w:pPr>
      <w:r>
        <w:rPr>
          <w:rFonts w:ascii="Times New Roman" w:cs="Times New Roman" w:eastAsia="Times New Roman" w:hAnsi="Times New Roman"/>
          <w:sz w:val="18"/>
          <w:szCs w:val="18"/>
          <w:color w:val="auto"/>
        </w:rPr>
        <w:t>Change in revaluation surplus – digital assets, net of tax</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146,366</w:t>
            </w:r>
          </w:p>
        </w:tc>
        <w:tc>
          <w:tcPr>
            <w:tcW w:w="80" w:type="dxa"/>
            <w:vAlign w:val="bottom"/>
          </w:tcPr>
          <w:p>
            <w:pPr>
              <w:spacing w:after="0"/>
              <w:rPr>
                <w:sz w:val="21"/>
                <w:szCs w:val="21"/>
                <w:color w:val="auto"/>
              </w:rPr>
            </w:pPr>
          </w:p>
        </w:tc>
        <w:tc>
          <w:tcPr>
            <w:tcW w:w="100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142,428</w:t>
            </w:r>
          </w:p>
        </w:tc>
        <w:tc>
          <w:tcPr>
            <w:tcW w:w="80" w:type="dxa"/>
            <w:vAlign w:val="bottom"/>
          </w:tcPr>
          <w:p>
            <w:pPr>
              <w:spacing w:after="0"/>
              <w:rPr>
                <w:sz w:val="21"/>
                <w:szCs w:val="21"/>
                <w:color w:val="auto"/>
              </w:rPr>
            </w:pPr>
          </w:p>
        </w:tc>
        <w:tc>
          <w:tcPr>
            <w:tcW w:w="104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136,718</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120" w:type="dxa"/>
            <w:vAlign w:val="bottom"/>
            <w:tcBorders>
              <w:top w:val="single" w:sz="8" w:color="auto"/>
            </w:tcBorders>
          </w:tcPr>
          <w:p>
            <w:pPr>
              <w:spacing w:after="0"/>
              <w:rPr>
                <w:sz w:val="21"/>
                <w:szCs w:val="21"/>
                <w:color w:val="auto"/>
              </w:rPr>
            </w:pPr>
          </w:p>
        </w:tc>
      </w:tr>
      <w:tr>
        <w:trPr>
          <w:trHeight w:val="29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(170,464)</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(123,384)</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80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(25,887)</w:t>
            </w:r>
          </w:p>
        </w:tc>
      </w:tr>
      <w:tr>
        <w:trPr>
          <w:trHeight w:val="284"/>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24"/>
                <w:szCs w:val="24"/>
                <w:color w:val="auto"/>
              </w:rPr>
            </w:pP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97"/>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90,966</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17,367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17,412</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-3154045</wp:posOffset>
            </wp:positionV>
            <wp:extent cx="514350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-2785110</wp:posOffset>
            </wp:positionV>
            <wp:extent cx="514350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-2425065</wp:posOffset>
            </wp:positionV>
            <wp:extent cx="51435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-2065020</wp:posOffset>
            </wp:positionV>
            <wp:extent cx="514350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-1464945</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-1104900</wp:posOffset>
            </wp:positionV>
            <wp:extent cx="514350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-736600</wp:posOffset>
            </wp:positionV>
            <wp:extent cx="514350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-367665</wp:posOffset>
            </wp:positionV>
            <wp:extent cx="514350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-8255</wp:posOffset>
            </wp:positionV>
            <wp:extent cx="51435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360045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9,242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60" w:type="dxa"/>
            <w:vAlign w:val="bottom"/>
          </w:tcPr>
          <w:p>
            <w:pPr>
              <w:spacing w:after="0"/>
              <w:rPr>
                <w:sz w:val="20"/>
                <w:szCs w:val="20"/>
                <w:color w:val="auto"/>
              </w:rPr>
            </w:pPr>
          </w:p>
        </w:tc>
      </w:tr>
      <w:tr>
        <w:trPr>
          <w:trHeight w:val="27"/>
        </w:trPr>
        <w:tc>
          <w:tcPr>
            <w:tcW w:w="11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-187960</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179705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4080" w:space="100"/>
            <w:col w:w="4839"/>
          </w:cols>
          <w:pgMar w:left="1440" w:top="270" w:right="1440" w:bottom="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4"/>
        </w:trPr>
        <w:tc>
          <w:tcPr>
            <w:tcW w:w="3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9"/>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1"/>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 Information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expect share amounts)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378,725</w:t>
            </w: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83,963</w:t>
            </w:r>
          </w:p>
        </w:tc>
      </w:tr>
      <w:tr>
        <w:trPr>
          <w:trHeight w:val="40"/>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r>
      <w:tr>
        <w:trPr>
          <w:trHeight w:val="392"/>
        </w:trPr>
        <w:tc>
          <w:tcPr>
            <w:tcW w:w="57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DATA</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was prepared using the acquisition method of accounting for business combinations under IFRS Accounting Standards, with Bitfarms being the accounting and legal acquirer. The following information should be read in conjunction with the audited consolidated financial statements of Bitfarms and the audited consolidated financial statements of Stronghold, for the year ended December 31, 2023, including the respective notes thereto, the unaudited interim condensed consolidated financial statements of Bitfarms and the unaudited interim consolidated financial statements of Stronghold, for the nine months ended September 30, 2024, each of which are incorporated by reference into this proxy statement/prospectus.</w:t>
      </w:r>
    </w:p>
    <w:p>
      <w:pPr>
        <w:spacing w:after="0" w:line="11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statements of earnings (loss) for the nine months ended September 30, 2024 and for the year ended December 31, 2023 have been prepared to give effect to the merger as if it occurred on January 1, 2023.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has been prepared to give effect to the merger as if it had occurred on September 30, 2024. The historical financial statements of Bitfarms were prepared in accordance with IFRS Accounting Standards, whereas the historical financial statements of Stronghold were prepared in accordance with U.S. GAAP. As a result, 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reflect adjustments to Stronghold historical financial statements to conform with Bitfarms’ IFRS Accounting Standards, as applied by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which is preliminary in nature, has been derived from, and should be read in conjunction with, the more detailed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of the combined company and the accompanying notes appearing in the section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Statements</w:t>
      </w:r>
      <w:r>
        <w:rPr>
          <w:rFonts w:ascii="Times New Roman" w:cs="Times New Roman" w:eastAsia="Times New Roman" w:hAnsi="Times New Roman"/>
          <w:sz w:val="18"/>
          <w:szCs w:val="18"/>
          <w:color w:val="auto"/>
        </w:rPr>
        <w:t>.” The unaudited</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condensed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have been presented in accordance with SEC Regulation S-X Article 11 for illustrative purposes only and are not necessarily indicative of what the combined company’s financial position or results of operations actually would have been had the merger been completed as of the dates indicated. In addition,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does not purport to project the future financial position or operating results of the combined company.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Earnings (Loss) Data</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except per share amounts)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195,259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221,332</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(100,677)</w:t>
            </w:r>
          </w:p>
        </w:tc>
        <w:tc>
          <w:tcPr>
            <w:tcW w:w="6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(208,544)</w:t>
            </w:r>
          </w:p>
        </w:tc>
      </w:tr>
      <w:tr>
        <w:trPr>
          <w:trHeight w:val="40"/>
        </w:trPr>
        <w:tc>
          <w:tcPr>
            <w:tcW w:w="5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444,522,037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310,335,985</w:t>
            </w:r>
          </w:p>
        </w:tc>
      </w:tr>
      <w:tr>
        <w:trPr>
          <w:trHeight w:val="403"/>
        </w:trPr>
        <w:tc>
          <w:tcPr>
            <w:tcW w:w="5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Financial Position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6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712,235</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121,964</w:t>
            </w:r>
          </w:p>
        </w:tc>
      </w:tr>
      <w:tr>
        <w:trPr>
          <w:trHeight w:val="40"/>
        </w:trPr>
        <w:tc>
          <w:tcPr>
            <w:tcW w:w="56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590,271</w:t>
            </w:r>
          </w:p>
        </w:tc>
      </w:tr>
      <w:tr>
        <w:trPr>
          <w:trHeight w:val="405"/>
        </w:trPr>
        <w:tc>
          <w:tcPr>
            <w:tcW w:w="556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Bitfarms common shares are currently listed on Nasdaq and the TSX under the ticker symbol “BITF” and Stronghold Class A common stock is currently listed on Nasdaq under the ticker symbol “SDIG.” There is no active trading market for Stronghold Class V common stock.</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closing price per Bitfarms common share on Nasdaq and the TSX and of Stronghold Class A common stock on Nasdaq on (i) August 20, 2024, the last full trading day prior to the public announcement of the signing of the merger agreement, and (ii) January 27, 2025, the last practicable trading day prior to the date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merger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Bitfarms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TSX</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Nasdaq</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27, 2025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bl>
    <w:p>
      <w:pPr>
        <w:spacing w:after="0" w:line="21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Stronghold stockholders will not receive the merger consideration until the merger is completed, which may occur a substantial period of time after the special meeting, or not at all. There can be no assurance as to the trading prices of Stronghold Class A common stock or Bitfarms common shares at the time of the completion of the merger. The market prices of Stronghold Class A common stock and Bitfarms common shares are likely to fluctuate prior to completion of the merger and cannot be predicted. </w:t>
      </w:r>
      <w:r>
        <w:rPr>
          <w:rFonts w:ascii="Times New Roman" w:cs="Times New Roman" w:eastAsia="Times New Roman" w:hAnsi="Times New Roman"/>
          <w:sz w:val="18"/>
          <w:szCs w:val="18"/>
          <w:b w:val="1"/>
          <w:bCs w:val="1"/>
          <w:color w:val="auto"/>
        </w:rPr>
        <w:t>We urge you to obtain current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quotations for both Stronghold Class A common stock and Bitfarms common shares.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or Stronghold have paid any dividends relating to the Bitfarms common shares or the Stronghold Class A common stock, respectively. It is not anticipated that Bitfarms or Stronghold will pay any dividends in the immediate or foreseeable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AND UNAUDITED PRO FORMA COMPARATIVE PER SHARE DATA</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tables present, as of the dates and for the periods indicated, selected historical,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equivalent per share financial information for Bitfarms common shares and Stronghold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You should read this information in conjunction with, and the information is qualified in its entirety by</w:t>
      </w:r>
    </w:p>
    <w:p>
      <w:pPr>
        <w:spacing w:after="0" w:line="1" w:lineRule="exact"/>
        <w:rPr>
          <w:sz w:val="20"/>
          <w:szCs w:val="20"/>
          <w:color w:val="auto"/>
        </w:rPr>
      </w:pPr>
    </w:p>
    <w:p>
      <w:pPr>
        <w:jc w:val="both"/>
        <w:ind w:left="460" w:right="459" w:hanging="6"/>
        <w:spacing w:after="0" w:line="252"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Bitfarms and notes thereto incorporated by reference into this proxy statement/prospectus, (ii) the consolidated financial statements of Stronghold and notes thereto incorporated by reference into this proxy statement/prospectus, and (iii) the financial information contained in the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and notes thereto included elsewhere in this proxy statement/prospectus. For information about the filings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has been prepared in accordance with the rules and regulations of the SEC to depict the accounting for business combinations. This information is presented for illustrative purposes only. You should not rely 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or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amounts as they are not necessarily indicative of the operating results or financial position that would have occurred if the merger had been completed as of the dates indicated, nor are they necessarily indicative of the future operating results or financial position of the combined company.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although helpful in illustrating the financial characteristics of the combined company under one set of assumptions, does not reflect the benefits of expected cost savings, synergies, opportunities to earn additional revenue, the impact of restructuring and merger-related costs, or other factors that may result from the merger and, accordingly, does not attempt to predict or suggest future results.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tables assume the issuance of approximately 48,076,299 Bitfarms common shares in connection with the merger, which is the number of shares issuable by Bitfarms in connection with the merger assuming the merger was completed on September 30, 2024 and based on the number of outstanding shares of Stronghold Class A common stock as at August 21, 2024, as adjusted to give effect to the exchanges and the conversion. As discussed in this proxy statement/prospectus, the actual number of Bitfarms common shares issuable in connection with the merger will be adjusted based on the number of shares of Stronghold Class A common stock outstanding at the completion of the merger, as adjusted to give effect to the exchanges and the conversion.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data in the tables assume that the merger occurred on January 1, 2023 for income statement purposes and on September 30, 2024 for balance sheet purposes, and that the merger is accounted for as a business combination.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Bitfarms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common share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unaudited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per share combined information for Stronghold set forth below shows the effect of the merger from the perspective of a Stronghold stockholder. The information was calculated by multiplying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per share data for Bitfarms common shares by the exchange ratio of 2.520.</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Stronghold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Class A common stock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as well as the other information set forth in and incorporated by reference into this proxy statement/prospectus, before making a decision on the merger proposal. As a Bitfarms shareholder following completion of the merger, you will be subject to all risks inherent in the business of Bitfarms in addition to the risks relating to Stronghold. The market value of your Bitfarms common shares will reflect the performance of the business relative to, among other things, that of the competitors of Bitfarms and Stronghold and general economic, market and industry conditions. The value of your investment may increase or may decline and could result in a loss. You should carefully consider the following factors as well as the other information contained in and incorporated by reference into this proxy statement/prospectus. For information about the filings incorporated by reference in this proxy statement/prospectus, see the section entitled “Where You Can Find Additional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value of Bitfarms common shares that Stronghold stockholders will receive in the merger may fluctuate, Stronghold stockholders cannot be sure of the market value of the merger consideration that they will receive in the merger.</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merger consideration, Stronghold stockholders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the comparative value of the Canadian dollar and U.S. dollar or market value of the Stronghold Class A common stock. Therefore, the aggregate market value of the Bitfarms common shares that a Stronghold stockholder is entitled to receive at the time that the merger is completed could vary significantly from the value of such shares on the date of this proxy statement/prospectus, the date of the special meeting or the date on which a Stronghold stockholder actually receives its Bitfarms common shares.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 including, but not limited to, regulatory approvals which may not be received, may take longer than expected or may impose conditions that are not presently anticipated or cannot be satisfied.</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satisfaction or waiver of certain customary mutual closing conditions, including (i) the approval of the merger proposal by the holders of Stronghold common stock,</w:t>
      </w:r>
    </w:p>
    <w:p>
      <w:pPr>
        <w:jc w:val="both"/>
        <w:ind w:left="460" w:right="459" w:hanging="6"/>
        <w:spacing w:after="0" w:line="251" w:lineRule="auto"/>
        <w:tabs>
          <w:tab w:leader="none" w:pos="7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with respect to Bitfarms’ obligation to consummate the merger, the mining facility conditions. There can be no assurance as to when these conditions will be satisfied or waived, if at all, or that other events will not intervene to delay or result in the failure to complete the merger.</w:t>
      </w:r>
    </w:p>
    <w:p>
      <w:pPr>
        <w:spacing w:after="0" w:line="11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each agreed to, promptly following the execution of the merger agreement, prepare and file certain filings, submissions and notices and obtain consents, orders and approvals necessary to complete the merger and the other transactions contemplated by the merger agreement. No assurance can be given that the required consents, orders and approvals will be obtained or that the required conditions to the completion of the merger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timing of such consents, orders and approvals. For example, these consents, orders and approvals may impose conditions on or require divestitures relating to the divisions, operations or assets of Stronghold and Bitfarms or may impose requirements, limitations or costs or place restrictions on the conduct of Stronghold’s or Bitfarms’ business, and if such consents, orders or approvals require an extended period of time to be obtained, such extended period of time could increase the chance that a material adverse event occurs with respect to Stronghold or Bitfarms. Such extended period of time also may increase the chance that other adverse effects with respect to Stronghold or Bitfarms could occur, such as the loss of key personnel. Each party’s obligation to complete the merger is also subject to the accuracy of the representations and warranties of the other party (subject to certain qualifications and exceptions) and the performance in all material respects of the other party’s covenants under the merger agreement. As a result of these conditions, Stronghold and Bitfarms cannot provide assurance that the merger will be completed on the terms or timeline currently contemplated, or at all. For more information,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may take place before all of the required regulatory approvals have been obtained and before all conditions to such approvals, if any, are known. Notwithstanding the foregoing, if the merger proposal is approved by Stronghold stockholders, Stronghold and Bitfarms would not be required to seek further approval of Stronghold stockholders, even if the conditions imposed in obtaining required regulatory approvals could have an adverse effect on Stronghold or Bitfarms either before or after completing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rights of Stronghold stockholders will change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no longer be stockholders of Stronghold, a Delaware corporation, but will be shareholders of Bitfarms, a corporation organized under the OBCA. There will be certain differences between your current rights as a Stronghold stockholder, on the one hand, and the rights to which you will be entitled as a Bitfarms shareholder, on the other hand. For a more detailed discussion of the differences in the rights of Stronghold stockholders and Bitfarms shareholders,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merger, Stronghold stockholders will become Bitfarms shareholders, and the market price for Bitfarms common shares may be affected by factors different from those that historically have affected Stronghold.</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become Bitfarms shareholders. Bitfarms’ businesses differ from those of Stronghold, and accordingly, the results of operations of Bitfarms will be affected by some factors that are different from those currently affecting the results of operations of Stronghold. For a discussion of the businesses of Stronghold and Bitfarms and of some important factors to consider in connection with those businesses, see the documents incorporated by reference in this proxy statement/prospectus and referred to in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could adversely affect each of Stronghold’s and Bitfarms’ business, results of operations and financial condition.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merger could cause disruptions in and create uncertainty surrounding Stronghold’s and Bitfarms’ business, including affecting Stronghold’s and Bitfarms’ relationships with its existing and future partners, suppliers and employees, which could have an adverse effect on Stronghold’s or Bitfarms’ business, results of operations and financial condition, regardless of whether the merger is completed. In particular, Stronghold and Bitfarms could potentially lose important personnel as a result of the departure of employees who decide to pursue other opportunities in light of the merger, such as the resignation of Stronghold’s Chief Financial Officer, Matthew Smith. Stronghold and Bitfarms could also potentially lose business partners or suppliers, and business partner or supplier contracts could be delayed or decreased. In addition, each of Stronghold and Bitfarms has expended, and continues to expend, significant management resources in an effort to complete the merger, which are being diverted from Stronghold’s and Bitfarms’ day-to-day operations.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trading prices of Stronghold Class A common stock and Bitfarms common shares may fall to the extent that the current prices reflect a market assumption that the merger will be completed. In addition, the failure to complete the merger may result in negative publicity or a negative impression of Stronghold and/or Bitfarms in the investment community and may affect Stronghold’s and Bitfarms’ relationship with employees, suppliers and other partners in the business community.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and Bitfarms will incur substantial transaction fees and costs in connection with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and Bitfarms have incurred and expect to incur additional material non-recurring expenses in connection with the merger and completion of the transactions contemplated by the merger agreement, including costs relating to obtaining required approvals. Stronghold and Bitfarms have incurred significant legal, advisory and financial services fees in connection with the process of negotiating and evaluating the terms of the merger. Additional significant unanticipated costs may be incurred in the course of coordinating the businesses of Stronghold and Bitfarms after completion of the merger. The cumulative amount of non-recurring expenses expected to be incurred by Stronghold and Bitfarms in connection with the merger and completion of the transactions contemplated by the merger agreement is currently estimated to be approximately $18.0 million, of which approximately $9.0 million in costs will be incurred by Stronghold and approximately $9.0 million in costs will be incurred by Bitfarms. Although it is expected that the elimination of certain duplicative costs, as well as the realization of other efficiencies related to the integration of the two businesses, will offset the incremental transaction and other merger-related costs over time, Stronghold and Bitfarms may incur costs in excess of their expectations, and whether or not unexpected costs arise, this net benefit may not be achieved in the near term, or at all. Even if the merger is not completed, Stronghold and Bitfarms will be required to pay certain costs relating to the merger incurred prior to the date the merger was abandoned, such as legal, accounting, financial advisory, filing and printing fees. Such costs may be significant and could have an adverse effect on the parties’ future results of operations, cash flows and financial condition. In addition, the merger agreement provides that, in certain circumstances, one party to the merger agreement may be required to pay a termination fee (and certain related expenses) to the other. For more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Expenses and Termination Fees Relating to the Termination of the Merger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Stronghold and Bitfarms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pursuit and completion of the merger, significant demands will be placed on the managerial, operational and financial personnel and systems of Stronghold and Bitfarms. Stronghold and Bitfarms cannot assure you that their systems, procedures and controls will be adequate to support the expansion of operations following and resulting from the merger. The future operating results of the combined company will be affected by the ability of its officers and key employees to manage changing business conditions and to implement and expand its operational and financial controls and reporting systems in response to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will have additional capital requirements.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require significant ongoing capital expenditures and, although Bitfarms and Stronghold anticipate that the combined company will be able to fund these expenditures through usage of the combined company’s cash and cash equivalents, cash generated from operations, letters of credit and subsequent debt, equity or hybrid offerings, there can be no assurances that the combined company will be able to obtain financing on acceptable terms.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projections and forecasts presented in this proxy statement/prospectus may not be an indication of the actual results of the merger or Stronghold’s or Bitfarms’ future results.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projections and forecasts relating to each of Stronghold and Bitfarms. None of the projections and forecasts included in this proxy statement/prospectus have been prepared with a view toward public disclosure other than to certain parties involved in the merger, or toward complying with SEC guidelines, U.S. GAAP or IFRS Accounting Standards. Accordingly, such projections and forecasts should not be viewed as public guidance. The projections and forecasts were prepared based on numerous variables and assumptions which are inherently uncertain and may be beyond the control of Stronghold and Bitfarms. Important factors that may affect the actual results of Stronghold and Bitfarms or could lead to such projections and forecasts not being achieved include, but are not limited to: the cost of power, Bitcoin miner efficiency, receipt of certain payments from business counterparties, volatility in the price of Bitcoin, increases in Bitcoin network difficulty, the potential future regulation of the digital asset industry and the state of the market for digital assets generally, potential future environmental regulation, closing of the merger and the timing thereof, the ability to successfully integrate Stronghold and Bitfarms, the issuance of new equity to fund growth, and other factors described under the captions “</w:t>
      </w:r>
      <w:r>
        <w:rPr>
          <w:rFonts w:ascii="Times New Roman" w:cs="Times New Roman" w:eastAsia="Times New Roman" w:hAnsi="Times New Roman"/>
          <w:sz w:val="18"/>
          <w:szCs w:val="18"/>
          <w:i w:val="1"/>
          <w:iCs w:val="1"/>
          <w:color w:val="auto"/>
        </w:rPr>
        <w:t>Cautionary Note Concerning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 Investors are accordingly cautioned not to place undue reliance on the projections, as the projections may be materially different than actual results.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Bitfarms is presented for illustrative purposes only and may not be indicative of the results of operations or financial condition of the combined company following the merger.</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in this proxy statement/prospectus has been prepared using information derived from the consolidated historical financial statements of Bitfarms and Stronghold, respectively, is presented for illustrative purposes only and should not be considered to be an indication of the results of operations or financial condition of the combined company following the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in this proxy statement/prospectus is based in part on certain assumptions regarding the merger. These assumptions may not prove to be accurate, and other factors may affect the combined company’s results of operations or financial condition following the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in this proxy statement/prospectus does not necessarily represent the combined company’s results of operations and financial condition had Stronghold and Bitfarms operated as a combined entity during the periods presented, or of the combined company’s results of operations and financial condition following completion of the merger. The combined company’s potential for future business success and operating profitability must be considered in light of the risks, uncertainties, expenses and difficulties inherent in Bitfarms’ and Stronghold’s respective businesses, as well as those typically encountered by recently combined companies.</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proxy statement/prospectus, Bitfarms has given effect to, among other items, the completion of the merger and related transactions (including the exchanges and the conversion), the payment of the merger consideration and the indebtedness of Bitfarms on a combined basis after giving effect to the merger, including the indebtedness of Stronghold. The unaudited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information does not reflect all of the costs that are expected to be incurred by Stronghold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in connection with the merger. In addition, the merger is based on a share exchange ratio with the result that the purchase price recorded upon completion of the acquisition will not be known until that time and cannot be predicted due to volatility of prices in the trading of Bitfarms common shares. For more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including the notes thereto.</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Stronghold, Bitfarms and their respective subsidiaries’ businesses are subject to restrictions on their business activities.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merger agreement, Stronghold and its respective subsidiaries are subject to certain restrictions on the conduct of their respective businesses and generally must operate their respective businesses in the ordinary course prior to completing the merger (unless Stronghold obtains Bitfarms’ written consent, which is not to be unreasonably withheld, delayed or conditioned), which may restrict Stronghold’s ability to exercise certain of its business strategies. Under the merger agreement, Bitfarms is subject to certain restrictions on the conduct of its business and generally must operate its business in the ordinary course prior to completing the merger (unless Bitfarms obtains Stronghold’s written consent, which is not to be unreasonably withheld, delayed or conditioned), which may restrict Bitfarms’ ability to exercise certain of its business strategies. These restrictions may prevent Stronghold and Bitfarms from pursuing otherwise attractive business opportunities, making certain investments or acquisitions, selling assets, engaging in capital expenditures in excess of certain agreed limits, repurchasing or issuing securities, or incurring indebtedness prior to the completion of the merger or termination of the merger agreement, as applicable. These restrictions could have an adverse effect on Stronghold’s and Bitfarms’ respective businesses, financial results, financial condition or stock price.</w:t>
      </w:r>
    </w:p>
    <w:p>
      <w:pPr>
        <w:spacing w:after="0" w:line="9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subject to certain exceptions set forth in the merger agreement, the merger agreement prohibits Stronghold from, among other things: (i) initiating, soliciting or knowingly encouraging the making of any inquiry, proposal or offer that would constitute, or would reasonably be expected to lead to, an acquisition proposal; (ii) engaging in any discussions relating to any acquisition proposal, or any inquiry, proposal or offer that would reasonably be expected to lead to an acquisition proposal; (iii) furnishing any non-public information regarding Stronghold or its subsidiaries, or access to the properties, assets or employees of Stronghold or its subsidiaries, to any person in connection with an acquisition proposal; (iv) entering into any letter of intent or agreement in principal, or other agreement that would constitute, or would reasonably be expected to lead to, an acquisition proposal; or (v) releasing or permitting the release of any person from, or amending, waiving or permitting the amendment or waiver of any provision of, any “standstill” or similar agreement or provision to allow such person to make or amend an agreement that would constitute, or would reasonably be expected to lead to, an acquisition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provisions may limit Stronghold’s ability to pursue offers from third parties that could result in greater value to Stronghold stockholders than the merger consideration. The termination fee may also discourage third parties from pursuing an alternative acquisition proposal with respect to Stronghold.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Stronghold and Bitfarms and, in certain circumstances, could require Stronghold or Bitfarms to pay certain termination fees.</w:t>
      </w:r>
    </w:p>
    <w:p>
      <w:pPr>
        <w:spacing w:after="0" w:line="6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merger and contains certain termination rights for both Stronghold and Bitfarms, which, if exercised, would result in the merger not being completed. If the merger is not completed for any reason, including as a result of Stronghold stockholders failing to approve the merger proposal or if the merger agreement is terminated in accordance with its terms, the ongoing businesses of Stronghold and Bitfarms may be adversely affected and, without realizing any of the anticipated benefits of having completed the merger, Stronghold and Bitfarms would be subject to a number of risks, including the following:</w:t>
      </w:r>
    </w:p>
    <w:p>
      <w:pPr>
        <w:spacing w:after="0" w:line="121" w:lineRule="exact"/>
        <w:rPr>
          <w:sz w:val="20"/>
          <w:szCs w:val="20"/>
          <w:color w:val="auto"/>
        </w:rPr>
      </w:pPr>
    </w:p>
    <w:p>
      <w:pPr>
        <w:jc w:val="both"/>
        <w:ind w:left="1320" w:right="479" w:hanging="434"/>
        <w:spacing w:after="0" w:line="266"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the financial markets, including a decline of their respective stock prices (which may reflect a market assumption that the merger will be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or irreparable reputational harm as perceived by each of Stronghold’s and Bitfarms’ investment community, customers, suppliers, peers regulators, employees, partners in the business community and any other third party whether presently known or unknown;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be required to pay substantial costs relating to the merger, whether or not the merger is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will have required substantial commitments of time and resources by Stronghold’s and Bitfarms’ respective management teams, which would otherwise have been devoted to day-to-day operations and other opportunities that may have been beneficial to Stronghold or Bitfarms had the merger not been contemplated;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a material adverse effect on each of Stronghold’s and Bitfarms’ respective businesses, operations, earnings and financial results.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merger agreement is terminated and the Stronghold board of directors seeks another merger, business combination or other transaction, Stronghold stockholders cannot be certain that Stronghold will find a party willing to offer equivalent or more attractive consideration than the merger consideration Stronghold stockholders would receive from Bitfarms in the merger. If the merger agreement is terminated under circumstances specified in the merger agreement, Stronghold may be required to pay Bitfarms a termination fee of $5,000,000, in the form of cash and/or Bitcoin (at the election of Stronghold), and Bitfarms may be required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depending on the circumstances surrounding the termination. There is no guarantee that Stronghold or Bitfarms will have sufficient funds to make these contractually required payments to the other party, as applicable.</w:t>
      </w:r>
    </w:p>
    <w:p>
      <w:pPr>
        <w:spacing w:after="0" w:line="12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for a more complete discussion of the circumstances under which the merger agreement could be terminated and when the termination fee may be payable by Stronghold or Bitfarms, as applicable.</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Stronghold have interests in the merger that may differ from the interests of Stronghold stockholders generally, including, if the merger is completed, the receipt of financial and other benefits.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you should be aware that Stronghold’s directors and executive officers have interests in the merger that are different from, or in addition to, those of Stronghold stockholders generally. These interests include, among others, the treatment of outstanding equity awards pursuant to the merger agreement, potential severance benefits and other payments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specified circumstances, if the merger is not completed by May 21, 2025, subject to extension in specified circumstances, either Stronghold or Bitfarms may choose not to proceed with the merger.</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Either Stronghold or Bitfarms may terminate the merger agreement if the merger has not been completed by 5:00 p.m. New York, New York time, on May 21, 2025. However, this right to terminate the merger agreement will not be available to Stronghold or Bitfarms if the failure of such party to perform any of its obligations under the merger agreement has been the principal cause of or resulted in the failure of the merger to be complete on or before such time. Termination of the merger agreement will also result in termination of the voting agreement, the TRA Waiver and Termination Agreement and conversion agreement. For more information, see the sections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Merger Proposal — The Voting Agreement.”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is organized in Canada, and it may therefore be difficult to bring and enforce suits against Bitfarms in the United States.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may be difficult to bring and enforce suits against Bitfarms in the United States because Bitfarms is organized pursuant to the laws of the Province of Ontario, Canada, Bitfarms is governed by the OBCA and most of Bitfarms’ assets are located outside the United States. It may not be possible for an investor to effect service of process within the United States on, or enforce judgments obtained in the United States courts against, Bitfarms or certain of Bitfarms’ directors and officers based upon the civil liability provisions of United States federal securities laws or the securities laws of any state of the United States.</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Because a substantial portion of the assets of Bitfarms are located outside of Canada, it may also not be possible for holders of Bitfarms common shares to collect on judgments obtained in courts in Canada predicated on the civil liability provisions of applicable securities legislation of the provinces and territories of Canada. In the event a judgment is obtained in a Canadian court against one or more of Bitfarms’ directors or officers for violations of applicable securities laws or otherwise, it may not be possible to enforce such judgment against those directors and officers of Bitfarms not resident in Canada.</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Bitfarms or Bitfarms’ directors and officers and (ii) an original action could be brought in Canada against Bitfarms or its directors and officers to enforce liabilities based solely upon United States federal or state securities laws.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Stronghold and Bitfarms may be targets of securities class action and derivative lawsuits which could result in substantial costs and may delay or prevent the merger from being completed.</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by purported stockholders against companies (or their directors and officers) that have entered into merger agreements. Such lawsuits may seek, among other things, to enjoin the consummation of the merger. Even if the lawsuits are without merit, defending against these claims can result in substantial costs and divert management time and resources. Stronghold has received a number of letters from purported stockholders that allege the disclosures in the proxy statement/prospectus are deficient and that demand Stronghold or Bitfarms, as the case may be, make corrective disclosures. No lawsuits have thus far been filed in connection with these letters, and Stronghold and Bitfarms believe the allegations in the letters are without merit. If a stockholder is successful in obtaining an injunction prohibiting consummation of the merger, then that injunction may delay or prevent the merger from being completed or otherwise cause Stronghold and/or Bitfarms to incur substantial costs.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Cohen &amp; Co. Capital Markets will not reflect changes in circumstances between the signing of the merger agreement and completion of the merger.</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received an opinion from Cohen &amp; Co. Capital Markets, their financial advisor, in connection with the signing of the merger agreement, but have not obtained an updated opinion from their financial advisor as of the date of this proxy statement/prospectus. Changes in the operations and prospects of Bitfarms or Stronghold, general market and economic conditions and other factors on which Cohen &amp; Co. Capital Markets’ opinion was based may be beyond the control of Bitfarms or Stronghold and may significantly alter the value of Bitfarms or Stronghold or the prices of the Bitfarms common shares or Stronghold common stock by the time the merger is completed. The opinion does not speak as of the time the merger will be completed or as of any date other than the date of such opinion. Because the Stronghold board of directors do not currently anticipate asking their financial advisor to update its opinion,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opinion does not and will not address the fairness of the merger consideration from a financial point of view at the time the merger is completed. The Stronghold board of directors’ recommendation that Stronghold stockholders vote “FOR” approval of the merger proposal, however, is made as of the date of this proxy statement/prospectus.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a description of the opinion that the Stronghold board of directors received from their financial advisor, see the section entitled “</w:t>
      </w:r>
      <w:r>
        <w:rPr>
          <w:rFonts w:ascii="Times New Roman" w:cs="Times New Roman" w:eastAsia="Times New Roman" w:hAnsi="Times New Roman"/>
          <w:sz w:val="18"/>
          <w:szCs w:val="18"/>
          <w:i w:val="1"/>
          <w:iCs w:val="1"/>
          <w:color w:val="auto"/>
        </w:rPr>
        <w:t>The Merger Proposal — Opinion of Stronghold’s Financial Advisor</w:t>
      </w:r>
      <w:r>
        <w:rPr>
          <w:rFonts w:ascii="Times New Roman" w:cs="Times New Roman" w:eastAsia="Times New Roman" w:hAnsi="Times New Roman"/>
          <w:sz w:val="18"/>
          <w:szCs w:val="18"/>
          <w:color w:val="auto"/>
        </w:rPr>
        <w:t>” beginning on page 59. A copy of the opinion of Cohen &amp; Co. Capital Markets is attached as Annex E to this proxy statement/prospectus.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stockholders are not entitled to appraisal rights in connection with the merger.</w:t>
      </w:r>
    </w:p>
    <w:p>
      <w:pPr>
        <w:spacing w:after="0" w:line="162" w:lineRule="exact"/>
        <w:rPr>
          <w:sz w:val="20"/>
          <w:szCs w:val="20"/>
          <w:color w:val="auto"/>
        </w:rPr>
      </w:pPr>
    </w:p>
    <w:p>
      <w:pPr>
        <w:jc w:val="both"/>
        <w:ind w:left="460" w:right="459"/>
        <w:spacing w:after="0" w:line="273" w:lineRule="auto"/>
        <w:rPr>
          <w:sz w:val="20"/>
          <w:szCs w:val="20"/>
          <w:color w:val="auto"/>
        </w:rPr>
      </w:pPr>
      <w:r>
        <w:rPr>
          <w:rFonts w:ascii="Times New Roman" w:cs="Times New Roman" w:eastAsia="Times New Roman" w:hAnsi="Times New Roman"/>
          <w:sz w:val="17"/>
          <w:szCs w:val="17"/>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the DGCL, holders of shares of Stronghold Class A common stock will not have rights to an appraisal of the fair value of their shares in connection with the merger. The sole holder of Stronghold Class V common stock has waived its appraisal rights pursuant to the terms of the voting agreement. See “</w:t>
      </w:r>
      <w:r>
        <w:rPr>
          <w:rFonts w:ascii="Times New Roman" w:cs="Times New Roman" w:eastAsia="Times New Roman" w:hAnsi="Times New Roman"/>
          <w:sz w:val="17"/>
          <w:szCs w:val="17"/>
          <w:i w:val="1"/>
          <w:iCs w:val="1"/>
          <w:color w:val="auto"/>
        </w:rPr>
        <w:t>The Merger Proposal — Appraisal or Dissenters’ Rights</w:t>
      </w:r>
      <w:r>
        <w:rPr>
          <w:rFonts w:ascii="Times New Roman" w:cs="Times New Roman" w:eastAsia="Times New Roman" w:hAnsi="Times New Roman"/>
          <w:sz w:val="17"/>
          <w:szCs w:val="17"/>
          <w:color w:val="auto"/>
        </w:rPr>
        <w:t>” beginning on page 77 for additional information.</w:t>
      </w:r>
    </w:p>
    <w:p>
      <w:pPr>
        <w:spacing w:after="0" w:line="16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or Stronghold may waive one or more of the closing conditions without re-soliciting Stronghold stockholder approval.</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extent permitted by law, Bitfarms or Stronghold may determine to waive, in whole or part, one or more of the conditions of its obligations to consummate the merger. Bitfarms or Stronghold currently expect to evaluate the materiality of any waiver and its effect on Stronghold stockholders in light of the facts and circumstances at the time to determine whether any amendment of this proxy statement/prospectus or any re-solicitation of proxies or voting instruction forms is required in light of such waiver. Any determination whether to waive any condition to the merger or as to re-soliciting Stronghold stockholder approval or amending this proxy statement/prospectus as a result of a waiver will be made by Bitfarms or Stronghold, as applicable, at the time of such waiver based on the facts and circumstances as they exist at that time.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and Stronghold received comments from the SEC staff in connection with the staff’s routine review of filings and registration statements.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stated in Bitfarms’ restated Management’s Discussion and Analysis for the fiscal year ended December 31, 2023 and Stronghold’s Annual Report on Form 10-K for the fiscal year ended December 31, 2023, respectively, Bitfarms and Stronghold received SEC staff (the “Staff”) comments regarding certain accounting policies that affected such reports and the financial statements contained therein. 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in response to the Staff’s comments and to correct a material error in the classification of proceeds derived from the sale of digital assets. Furthermore, in response to the Staff’s comments, Stronghold revised its revenue recognition policy with respect to the measurement of noncash (Bitcoin) consideration, and determined that the unaudited condensed consolidated financial statements for the three and nine months ended September 30, 2024 should be restated due to an error in recording the cumulative impact of Stronghold’s revised revenue recognition policy with respect to the Bitcoin miner hosting contracts the Company had in place with two customers during those periods. On December 13, 2024, Stronghold filed an amendment to its Quarterly Report on Form 10-Q for the quarter ended September 30, 2024, containing, among other information, restated unaudited condensed consolidated financial statements as of and for the three and nine months ended September 30, 2024, and a restated Management’s Discussion and Analysis for the three and nine months ended September 30, 2024.</w:t>
      </w:r>
    </w:p>
    <w:p>
      <w:pPr>
        <w:spacing w:after="0" w:line="12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 On January 6, 2025, the Staff advised Bitfarms that it had concluded its review of Bitfarms’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Bitfarms common shares following the merger may cause the market value of Bitfarms common shares to decline.</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expects that it will issue up to approximately 66,071,717 Bitfarms common shares at the effective time in connection with the merger. The issuance of these new Bitfarms common shares and the sale of additional Bitfarms common shares that may become eligible for sale in the public market from time to time could have the effect of depressing the market value for Bitfarms common shares. The increase in the number of Bitfarms common shares may lead to sales of such Bitfarms common shares or the perception that such sales may occur, either of which may adversely affect the market for, and the market value of, Bitfarms common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Bitfarms common shares may decline as a result of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market value of Bitfarms common shares may decline as a result of the merger if, among other things, the combined company is unable to achieve the expected growth in earnings, or if the operational cost savings estimates in connection with the integration of Stronghold’s and Bitfarms’ businesses are not realized or if the transaction costs related to the merger are greater than expected. The market value also may decline if the combined company does not achieve the perceived benefits of the merger as rapidly or to the extent anticipated by the market or if the effect of the merger on the combined company’s business, financial position, results of operations or cash flows is not consistent with the expectations of financial or industry analysts.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merger.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and Stronghold believe that the merger will provide benefits to the combined company as described elsewhere in this proxy statement/prospectus. However, there is a risk that some or all of the expected benefits of the merger may fail to materialize, or may not occur within the time periods anticipated by Bitfarms and Stronghold.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the merger difficult. Stronghold and Bitfarms have operated and, until completion of the merger, will continue to operate, independently. The success of the merger,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merger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merger and the coordination of the two companies’ operations could have an adverse effect on the business, financial results, financial condition or the share price of the combined company following the merger. The coordination process may also result in additional and unforeseen expenses.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may be less publicly available information concerning Bitfarms than there is for issuers that are not foreign private issuers (such as Stronghold) because Bitfarms, as a foreign private issuer, is exempt from a number of rules under the Exchange Act, is permitted to file less information with the SEC than issuers that are not foreign private issuers and is permitted to follow Canadian corporate governance requirements in lieu of the listing requirements of Nasdaq, subject to certain exceptions.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foreign private issuer (“FPI”) under the Exchange Act and pursuant to the multijurisdictional disclosure system (the “MJDS”), Bitfarms is exempt from certain rules under the Exchange Act and Nasdaq listing requirements. Bitfarms is not required to file periodic reports and financial statements with the SEC as frequently or as promptly as companies whose securities are registered under the Exchange Act but are not FPIs, or to comply with Regulation FD, which restricts the selective disclosure of material non-public information. Furthermore, as an FPI that reports under the MJDS, Bitfarms is also permitted, and intends to continue, to follow certain Canadian corporate governance practices instead of those otherwise required under Nasdaq listing rules. Bitfarms prepares its annual report in accordance with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Canadian disclosure requirements and financial statements in accordance with IFRS Accounting Standards, which differ in certain respects from U.S. GAAP and from practices prescribed by the SEC. Accordingly, there may be less publicly available information concerning Bitfarms than there is for companies whose securities are registered under the Exchange Act but are not FPIs or subject to the MJDS, and such information may not be provided as promptly as it is provided by such companies.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Accordingly, Stronghold stockholders will not have the same protections afforded to stockholders of Delaware companies that are generally required under Nasdaq corporate governance requirements. For a discussion of certain rights of Bitfarms shareholders compared to Stronghold’s stockholders, please see the section of this proxy statement/prospectus entitled “C</w:t>
      </w:r>
      <w:r>
        <w:rPr>
          <w:rFonts w:ascii="Times New Roman" w:cs="Times New Roman" w:eastAsia="Times New Roman" w:hAnsi="Times New Roman"/>
          <w:sz w:val="18"/>
          <w:szCs w:val="18"/>
          <w:i w:val="1"/>
          <w:iCs w:val="1"/>
          <w:color w:val="auto"/>
        </w:rPr>
        <w:t>omparison of Rights of Bitfarms Shareholders and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investors who are U.S. persons may face potential adverse United States federal income tax consequences if Bitfarms or any of its subsidiaries is treated as a “controlled foreign corporation” for U.S. federal income tax purposes.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Bitfarms’ common shares, such person may be treated as a “United States shareholder” with respect to each “controlled foreign corporation” in Bitfarms’ company group. If Bitfarms or any of its subsidiaries is treated as a controlled foreign corporation, any such United States shareholder may be required to report annually and include in its U.S. taxable income its pro rata share of “subpart F income,” “global intangible low-taxed income,” and investments in United States property of such controlled foreign corporations, regardless of whether Bitfarms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reporting obligations may subject a United States shareholder to significant monetary penalties and may toll the statute of limitations with respect to such shareholder’s U.S. federal income tax return for the year for which reporting was due. Bitfarms cannot provide any assurances that Bitfarms will assist investors in determining whether any of Bitfarms’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Investors who are U.S. persons should consult their advisors regarding the potential application of these rules to an investment in Bitfarms common shares.</w:t>
      </w:r>
    </w:p>
    <w:p>
      <w:pPr>
        <w:spacing w:after="0" w:line="14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 if Bitfarms is treated as a passive foreign investment company.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Bitfarms’ gross income is passive income, or at least 50% of the average quarterly value of Bitfarms’ assets are held for the production of, or produce, passive income, Bitfarms would be characterized as a passive foreign investment company (“PFIC”) for U.S. federal income tax purposes. Although not free from doubt, Bitfarms does not believe it was a PFIC for 2023 and does not expect to be a PFIC for 2024; however, PFIC status is determined annually, and whether Bitfarms will be a PFIC for any future taxable year is uncertain. Moreover, Bitfarms is not committing to determine whether it is or is not a PFIC on an annual basis. If Bitfarms is characterized as a PFIC, United States holders of Bitfarms common shares may suffer adverse tax consequences, including the treatment of gains realized on the sale of Bitfarms common shares as ordinary income, rather than as capital gain, the loss of the preferential income tax rate applicable to dividends received on Bitfarms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However, Bitfarms does not intend to provide the information necessary for United States shareholders to make a QEF election if Bitfarms is classified as a PFIC for any year. Please read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U.S. Federal Income Tax Considerations for U.S. Holders Owning and Disposing of Bitfarms Common Shares — PFIC Rules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challenges by taxing authorities to the combined companies’ transfer pricing could adversely affect the combined company.</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undertakes cross-border transactions among the entities within Bitfarms’ company group in relation to various aspects of its business. Canadian and U.S. transfer pricing regulations, as well as regulations applicable in other countries in which Bitfarms operates, require that any international transaction involving associated enterprises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be on arm’s-length terms and conditions. Bitfarms views the transactions entered into among Bitfarms and Bitfarms’ subsidiaries to be priced on arm’s length terms and conditions and to be in accordance with the relevant transfer pricing regulations. If, however, a tax authority in any jurisdiction successfully challenges Bitfarms’ position and asserts that the terms and conditions of such transactions are not on arm’s length terms and conditions, or that other income of Bitfarms’ subsidiaries should be taxed in that jurisdiction, Bitfarms may incur increased tax liability, including accrued interest and penalties, which would cause Bitfarms’ tax expense to increase, possibly materially, thereby reducing Bitfarms’ profitability and cash flows, which in turn could have a material adverse effect on Bitfarms’ future cash flows, future earnings and financial condition.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U.S., Canadian and foreign tax laws could adversely affect the combined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Canadian and foreign tax treatment of transactions involving digital assets are uncertain, and it is unclear what guidance may be issued in the future on the treatment of digital asset transactions for U.S. federal income and Canadian and foreign tax purposes. Any alteration of existing IRS, CRA and other foreign tax authority positions or additional guidance regarding digital asset products and transactions could result in adverse tax consequences for the combined company’s business and could have an adverse effect on the value of digital assets and the broader digital asset markets.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U.S. Congress, the Canadian House of Commons, the Organization for Economic Co-operation and Development, and other government agencies in jurisdictions where Bitfarms and its affiliates do business have been focused on issues related to the taxation of multinational corporations. Specific attention has been paid to “base erosion and profit shifting,” where payments are made between affiliates from a jurisdiction with high tax rates to a jurisdiction with lower tax rates. As a result, the tax laws in the United States, Canada and other countries in which Bitfarms and its affiliates do business could change on a prospective or retroactive basis, and any such change could adversely affect the combined company.</w:t>
      </w:r>
    </w:p>
    <w:p>
      <w:pPr>
        <w:spacing w:after="0" w:line="185"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the consolidated indebtedness of Bitfarms may increase substantially, including with respect to the satisfaction or assumption of the outstanding obligations under Stronghold’s credit agreement, and the increased level of indebtedness following the completion of the merger could adversely affect the combined company, including by decreasing its business flexibility and by impacting its ability to raise additional capital and to meet its obligations under its indebtedness.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be required to satisfy all outstanding obligations under such credit agreement and certain other debt instruments of Stronghold prior to or substantially concurrently with the consummation of the merger, which could reduce funds available for capital expenditures and other activities of Bitfarms. If the COC Amendment is obtained on or prior to closing, Bitfarms may assume an estimated $50 million of outstanding net debt of Stronghold, which could have the effect of, among other things, reducing Bitfarms’ flexibility to respond to changing business and economic conditions.</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Bitfarms assumes in connection with the merger, could have important consequences for the combined company’s creditors and its shareholders. For example, it could limit the combined company’s ability to obtain additional financing for working capital, capital expenditures, debt service requirements, acquisitions and general corporate or other purposes; restrict the combined company from making strategic acquisitions or cause the combined company to make non-strategic divestitures; restrict the combined company from paying dividends to its shareholders; increase the combined company’s vulnerability to general economic and industry conditions; and require a substantial portion of cash flow from operations to be dedicated to the payment of principal and interest on the combined company’s indebtedness, thereby reducing the combined company’s ability to use cash flows to fund its operations, capital expenditures and future business opportunities. Any increased levels of indebtedness following completion of the merger and corresponding increased demands on Bitfarms’ cash resources may create competitive disadvantages for Bitfarms relative to other companies with lower debt levels.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Stronghold’s Business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should read and consider the risk factors specific to Stronghold’s business that will also affect the combined company after completion of the merger. These risks are described in Stronghold’s Annual Report on Form 10-K for the fiscal year ended December 31, 2023, Quarterly Report on Form 10-Q for the fiscal quarter ended March 31, 2024, Quarterly Report on Form 10-Q for the fiscal quarter ended June 30, 2024, Quarterly Report on Form 10-Q/A for the fiscal quarter ended September 30, 2024, and subsequent reports on Form 10-Q and Form 8-K, which are incorporated by reference into this proxy statement/prospectus, and in other documents that are incorporated by reference into this proxy statement/prospectus.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 for the location of information incorporated by reference into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Stronghold has identified a material weakness in its internal control over financial reporting. This material weakness could continue to adversely affect its ability to report its results of operations and financial condition accurately and in a timely manner.</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Stronghold’s management is likewise required, on a quarterly basis, to evaluate the effectiveness of its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4"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As reported in its Quarterly Report on Form 10-Q/A and Current Report on Form 8-K, each filed on December 13, 2024, Stronghold identified a material weakness in its internal control over financial reporting relating to its revenue recognition policy with respect to the Bitcoin miner hosting contracts Stronghold had in place with two customers during the nine months ended September 30, 2024. Specifically, its management has concluded that it did not appropriately evaluate the U.S. GAAP guidance associated with the measurement of noncash (Bitcoin) consideration, in accordance with ASC 606-10-32-21 through 24, and how it should apply to Stronghold’s facts and circumstances surrounding its Bitcoin miner hosting contracts. This material weakness resulted in the restatement of Stronghold’s unaudited condensed consolidated financial statements as of, and for the three- and nine-month periods ended, September 30, 2024, filed on Form 10-Q filed on November 13, 2024, through the filing of a Form 10-Q/A filed on December 13, 2024. As a result of this material weakness, Stronghold’s management concluded that a deficiency in internal control over financial reporting existed relating to the measurement of noncash (Bitcoin) consideration, and that such deficiency constituted a material weakness.</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failure to maintain adequate internal control over financial reporting could adversely impact Stronghold’s ability to report its financial position and results of operations on a timely and accurate basis. If Stronghold’s financial statements are not accurate, investors may not have a complete understanding of Stronghold’s operations. Likewise, if Stronghold’s financial statements are not filed on a timely basis, it could be subject to sanctions or investigations by Nasdaq, the SEC or other regulatory authorities. In either case, there could result a material adverse effect on Stronghold’s business. Ineffective internal controls could also cause investors to lose confidence in Stronghold’s reported financial information, which could have a negative effect on the trading price of the Stronghold Class A Common Stock.</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Stronghold can give no assurance that any additional material weaknesses or restatements of financial results will not arise in the future due to a failure to implement and maintain adequate internal control over financial reporting or circumvention of these controls. In addition, even if Stronghold is successful in strengthening its controls and procedures, in the future those controls, and procedures may not be adequate to prevent or identify irregularities or errors or to facilitate the fair presentation of its financial statements.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Business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You should read and consider the risk factors specific to Bitfarms’ business that will also affect the combined company after completion of the merger. These risks are described in Bitfarms’ restated Management’s Discussion and Analysis for the fiscal year ended December 31, 2023, and the Annual Information Form for the fiscal year ended December 31, 2023, both of which are contained in Amendment No. 1 to Bitfarms’ Annual Report on Form 40-F, and the restated Management’s Discussion and Analysis for the three and nine months ended September 30, 2024, each of which</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are incorporated by reference into this proxy statement/prospectus, and in other documents that are incorporated by reference into this proxy statement/prospectus. These risks and uncertainties have not materially changed during the nine months ended September 30, 2024, other than the risks described below, and hereby incorporated by reference.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for the location of information incorporated by reference into this proxy statement/prospectus.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business could be negatively impacted by unsolicited investor interest, takeover proposals, shareholder activism or proxy contests relating to the election of directors.</w:t>
      </w:r>
    </w:p>
    <w:p>
      <w:pPr>
        <w:spacing w:after="0" w:line="5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Bitfarms common shares (the “April 22 Riot Proposal”). A special committee of the Bitfarms board of directors, consisting solely of independent directors (the “Bitfarms Special Committee”), considered the April 22 Riot Proposal and determined it significantly undervalued Bitfarms and its growth prospects. On June 24, 2024, the April 22 Riot Proposal was withdrawn; however, Riot requisitioned a special meeting of Bitfarms shareholders for the purpose of replacing a majority of the Bitfarms board of directors with three of its nominees and initiated a hearing before the Capital Markets Tribunal of the Ontario Securities Commission (the “Tribunal”). On September 3, 2024, Riot amended its requisition, instead seeking to replace two members of the board of directors with two of its nominees and also threatened litigation.</w:t>
      </w:r>
    </w:p>
    <w:p>
      <w:pPr>
        <w:spacing w:after="0" w:line="8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of directors, including the resignation of an existing director and the appointment of a nominee of Riot to Bitfarms’ board of directors and governance and nominating and compensation committees and the Bitfarms Special Committee. Bitfarms also provided Riot with certain rights (subject to certain exceptions) to purchase shares of Bitfarms, provided Riot holds 15% or more of the outstanding Bitfarms common shares.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8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events surrounding the April 22 Riot Proposal, Bitfarms special meeting, Settlement Agreement and related circumstances and Bitfarms’ responses thereto required significant time and attention by Bitfarms’ management team and board of directors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ceased to qualify as an “emerging growth company” as of December 31, 2024, and is required to comply with the auditor attestation requirements of Section 404(b) of the Sarbanes-Oxley Act.</w:t>
      </w:r>
    </w:p>
    <w:p>
      <w:pPr>
        <w:spacing w:after="0" w:line="5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was previously an “emerging growth company” as defined in the Jumpstart our Business Startups Act of 2012, and was able to take advantage of certain exemptions and relief from various reporting requirements that are applicable to other public companies that are not emerging growth companies. In particular, as an emerging growth company, Bitfarms was not required to comply with the auditor attestation requirements of Section 404(b) of the Sarbanes-Oxley Act of 2002 (the “Sarbanes-Oxley Act”). However, Bitfarms ceased to qualify as an emerging growth company as of December 31, 2024.</w:t>
      </w:r>
    </w:p>
    <w:p>
      <w:pPr>
        <w:spacing w:after="0" w:line="7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Bitfarms no longer qualifies as an emerging growth company, the exemption from the auditor attestation report requirements under Section 404(b) of the Sarbanes-Oxley Act no longer applies. Any testing by Bitfarms conducted in connection with Section 404(b) of the Sarbanes-Oxley Act, or the subsequent testing by Bitfarms’ independent registered public accounting firm conducted in connection with Section 404(b) of the Sarbanes-Oxley Act, may reveal additional deficiencies in Bitfarms’ internal control over financial reporting that are deemed to be material weaknesses or that may require prospective or retroactive changes to Bitfarms’ financial statements or identify other areas for further attention or improvement. Any additional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Stronghold is providing this proxy statement/prospectus to Stronghold stockholders for the solicitation of proxies to be voted at the special meeting that Stronghold has called for the purposes described below. This proxy statement/prospectus is first being mailed to Stronghold stockholders on or about January 29, 2025 and provides Stronghold stockholders with the information they need to know about the merger to be able to vote or instruct their vote to be cast at the special meeting.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The special meeting will be held at 10:00 a.m., Eastern Time, on February 27, 2025. The special meeting will be a completely virtual meeting, which will be conducted through an audio webcast. You may attend by registering at </w:t>
      </w:r>
      <w:r>
        <w:rPr>
          <w:rFonts w:ascii="Times New Roman" w:cs="Times New Roman" w:eastAsia="Times New Roman" w:hAnsi="Times New Roman"/>
          <w:sz w:val="18"/>
          <w:szCs w:val="18"/>
          <w:i w:val="1"/>
          <w:iCs w:val="1"/>
          <w:color w:val="auto"/>
        </w:rPr>
        <w:t>www.virtualshareholdermeeting.com/SDIG2025SM</w:t>
      </w:r>
      <w:r>
        <w:rPr>
          <w:rFonts w:ascii="Times New Roman" w:cs="Times New Roman" w:eastAsia="Times New Roman" w:hAnsi="Times New Roman"/>
          <w:sz w:val="18"/>
          <w:szCs w:val="18"/>
          <w:color w:val="auto"/>
        </w:rPr>
        <w:t xml:space="preserve"> and following the instructions provided during registration. You may be required to enter the control number included on the proxy card you received or in the instructions that accompanied your proxy materials.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At the special meeting, Stronghold stockholders will be asked to consider and vote on the merger proposal to approve and adopt the merger agreement, pursuant to which Merger Sub will merge with and into Stronghold, with Stronghold surviving the merger as an indirect, wholly-owned subsidiary of Bitfarms. Stronghold will transact no other business at the special meeting, except such business as may properly be brought before the special meeting or any adjournments or postponements thereof.</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Stronghold Board of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After careful consideration, the Stronghold board of directors has unanimously (i) determined that the merger agreement and the transactions contemplated by the merger agreement, including the merger, are in the best interests of Stronghold and the holders of Stronghold common stock, (ii) approved and declared advisable the merger agreement and the transactions contemplated by the merger agreement, including the merger,</w:t>
      </w:r>
    </w:p>
    <w:p>
      <w:pPr>
        <w:spacing w:after="0" w:line="3" w:lineRule="exact"/>
        <w:rPr>
          <w:sz w:val="20"/>
          <w:szCs w:val="20"/>
          <w:color w:val="auto"/>
        </w:rPr>
      </w:pPr>
    </w:p>
    <w:p>
      <w:pPr>
        <w:jc w:val="both"/>
        <w:ind w:left="460" w:right="479" w:hanging="6"/>
        <w:spacing w:after="0" w:line="271" w:lineRule="auto"/>
        <w:tabs>
          <w:tab w:leader="none" w:pos="81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directed that the merger agreement be submitted to a vote at the special meeting of the holders of Stronghold common stock and (iv) resolved to recommend that holders of Stronghold common stock vote to approve the merger proposal. </w:t>
      </w:r>
      <w:r>
        <w:rPr>
          <w:rFonts w:ascii="Times New Roman" w:cs="Times New Roman" w:eastAsia="Times New Roman" w:hAnsi="Times New Roman"/>
          <w:sz w:val="17"/>
          <w:szCs w:val="17"/>
          <w:b w:val="1"/>
          <w:bCs w:val="1"/>
          <w:color w:val="auto"/>
        </w:rPr>
        <w:t>The Stronghold board of directors unanimously recommends that Stronghold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vote “FOR” the merger proposal</w:t>
      </w:r>
      <w:r>
        <w:rPr>
          <w:rFonts w:ascii="Times New Roman" w:cs="Times New Roman" w:eastAsia="Times New Roman" w:hAnsi="Times New Roman"/>
          <w:sz w:val="17"/>
          <w:szCs w:val="17"/>
          <w:color w:val="auto"/>
        </w:rPr>
        <w:t>. For more information, see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Proposal — Stronghold’s Reasons for the Merger; Recommendation of the Stronghold Board of Directors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proposal, you should be aware that Stronghold’s directors and executive officers have interests that are different from, or in addition to, the interests of Stronghold stockholders generally. For more information, see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Stronghold Common Stock</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Only holders of record of Stronghold common stock as of the close of business on December 31, 2024, the record date, will be entitled to receive notice of, and to vote at, the special meeting or at any adjournment or postponement thereof.</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14,957,379 shares of Stronghold Class A common stock and 2,405,760 shares of Stronghold Class V common stock issued and outstanding and entitled to vote at the special meeting. Each Stronghold stockholder is entitled to one vote for each share of Stronghold common stock owned as of the record date.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 approximately 16.4%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Proposal — The Voting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 to Approve the Merger Proposal</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Stronghold is required to adjourn or postpone the special meeting to the extent necessary to ensure that any required supplement or amendment to this proxy statement/prospectus is provided to the holders of Stronghold common stock or if, as of the time for which the special meeting is scheduled, there are insufficient shares of Stronghold common stock represented (either virtually or by proxy) to constitute a quorum necessary to conduct business at the special meeting, subject to certain exceptions. In accordance with the Stronghold by-laws, the chairman of the special meeting or holders of shares of Stronghold common stock with a majority of the voting power entitled to vote thereat shall have the power to adjourn the special meeting, whether or not a quorum is present. If the special meeting is adjourned, stockholders who have already submitted their proxies will be able to revoke them at any time prior to their use.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record date for the special meeting, the Stronghold directors and executive officers had the right to vote approximately 3,266,485 shares of Stronghold common stock, representing approximately 18.8%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Voting Agreement</w:t>
      </w:r>
      <w:r>
        <w:rPr>
          <w:rFonts w:ascii="Times New Roman" w:cs="Times New Roman" w:eastAsia="Times New Roman" w:hAnsi="Times New Roman"/>
          <w:sz w:val="18"/>
          <w:szCs w:val="18"/>
          <w:color w:val="auto"/>
        </w:rPr>
        <w:t>.” As of the record date, Bitfarms directors and executive officers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any shares of Stronghold common stock and therefore will not have any entitlement to vote at the special meeting.</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 or Virtually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by Holders of Record</w:t>
      </w:r>
    </w:p>
    <w:p>
      <w:pPr>
        <w:spacing w:after="0" w:line="146"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90" w:lineRule="exact"/>
        <w:rPr>
          <w:sz w:val="20"/>
          <w:szCs w:val="20"/>
          <w:color w:val="auto"/>
        </w:rPr>
      </w:pPr>
    </w:p>
    <w:p>
      <w:pPr>
        <w:jc w:val="both"/>
        <w:ind w:left="1320" w:right="47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89"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108" w:lineRule="exact"/>
        <w:rPr>
          <w:rFonts w:ascii="Times New Roman" w:cs="Times New Roman" w:eastAsia="Times New Roman" w:hAnsi="Times New Roman"/>
          <w:sz w:val="18"/>
          <w:szCs w:val="18"/>
          <w:b w:val="1"/>
          <w:bCs w:val="1"/>
          <w:color w:val="auto"/>
        </w:rPr>
      </w:pPr>
    </w:p>
    <w:p>
      <w:pPr>
        <w:jc w:val="both"/>
        <w:ind w:left="1320" w:right="459" w:hanging="434"/>
        <w:spacing w:after="0" w:line="268"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When you submit a proxy by telephone or the Internet, your proxy is recorded immediately. We encourage you to submit your proxy using these methods whenever possible. If you submit a proxy by telephone or the Internet, please do not return your proxy card by mail.</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shares of Stronghold common stock represented by each properly executed and valid proxy received by 11:59 p.m., Eastern Time, on February 26, 2025 will be voted in accordance with the instructions given on the proxy. If a Stronghold stockholder executes a proxy card without giving instructions, the Stronghold common stock represented by that proxy card will be voted “FOR” each of the proposals.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in “Street Name”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 and Changes to a Stronghold Stockholder’s Vote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and/or change your vote by:</w:t>
      </w:r>
    </w:p>
    <w:p>
      <w:pPr>
        <w:spacing w:after="0" w:line="158" w:lineRule="exact"/>
        <w:rPr>
          <w:sz w:val="20"/>
          <w:szCs w:val="20"/>
          <w:color w:val="auto"/>
        </w:rPr>
      </w:pPr>
    </w:p>
    <w:p>
      <w:pPr>
        <w:jc w:val="both"/>
        <w:ind w:left="1320" w:right="479" w:hanging="434"/>
        <w:spacing w:after="0" w:line="25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(bearing a date later than the date of the proxy) stating that you revoke your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valid, later-dated proxy by the Internet, telephone or mail prior to your shares being voted at the special meeting;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by ballot virtually (your attendance at the special meeting will not, without voting, revoke any proxy that you have previously given).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choose to revoke your proxy by written notice or submit a later-dated proxy, you must do so by 11:59 p.m., Eastern Time, on February 26, 2025.</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by your bank, broker or other nominee and you have directed such bank, broker or other nominee to vote your shares, you may instruct such bank, broker or other nominee to change your vote and follow the directions you receive from your bank, broker or other nominee in order to change or revoke your vote.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mark your proxy or voting instructions to abstain, it will have the same effect as a vote “AGAINST” the merger proposal. If no instruction as to how to vote is given (including an instruction to abstain) in an executed, duly returned and not revoked proxy, the proxy will be voted “FOR”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inspector at the special meeting will, among other matters, determine the number of shares of Stronghold common stock represented at the special meeting to confirm the existence of a quorum, determine the validity of all proxies and ballots and certify the results of voting on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will bear all costs and expenses in connection with the solicitation of proxies from the Stronghold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to assist in soliciting proxies and in communicating with Stronghold stockholders and estimates that it will pay them a fee of approximately $12,500 plus reasonable and documented customary out-of-pocket fees and expenses for these services. Proxies may also be solicited by Stronghold’s directors, officers and other employees through the mail or by telephone, the Internet, fax or other means, but no additional compensation will be paid to these persons.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other matters that will be presented for consideration at the special meeting other than as described in this proxy statement/prospectus. If any other matters properly come before the special meeting, or any adjournments of the special meeting, that are set forth in the notice for such special meeting in accordance with the Stronghold by-laws and are proposed and are properly voted upon, the enclosed proxies will give the individuals that Stronghold stockholders name as proxies discretionary authority to vote the shares represented by these proxies as to any of these matters.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special meeting are of great importance to Stronghold stockholders. Accordingly, you are urged to read and carefully consider the information contained in or incorporated by reference into this proxy statement/prospectus and submit your proxy by telephone or the Internet or complete, date, sign and promptly return the enclosed proxy in the enclosed postage-paid envelope. If you submit your proxy by telephone or the Internet, you do not need to return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the special meeting, or would like additional copies, without charge, of this proxy statement/prospectus, please contact Stronghold’s proxy solicitor, Mackenzie, 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proxy statement/prospectus describes the various aspects of the merger and related matters.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A-1 (the initial merger agreement) and Annex A-2 (amendment no. 1), for a more complete understanding of the merger. In addition, important business and financial information about each of Stronghold and Bitfarms is included in or incorporated by reference into this proxy statement/prospectus. For a listing of the documents incorporated by reference into this proxy statement/prospectus, see the section entitled “Where You Can Find Additional Information.”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at the effective time, Merger Sub, an indirect, wholly-owned subsidiary of Bitfarms, will merge with and into Stronghold. As a result, Stronghold will survive the merger as an indirect, wholly-owned subsidiary of Bitfarms. In addition, the merger agreement provides that, immediately prior to and conditioned on the effective time, Stronghold shall effect the conversion and the exchanges.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if the merger is completed, each share of Stronghold Class A common stock issued and outstanding immediately prior to the effective time after giving effect to the exchanges and the conversion, will be automatically converted into the merger consideration.</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 January 27, 2025, as adjusted to give effect to the exchanges and the conversion, Bitfarms will issue approximately 58,815,459 Bitfarms common shares to Stronghold stockholders at the effective time pursuant to the merger agreement. The actual number of Bitfarms common shares to be issued pursuant to the merger agreement will be determined at the effective time based on the exchange ratio, the number of shares of Stronghold Class A common stock outstanding at such time and the number of Stronghold stock options, other equity-based awards and warrants. Based on the number of shares of Stronghold Class A common stock outstanding as of January 27, 2025, as adjusted to give effect to the exchanges and the conversion, and the number of Bitfarms common shares outstanding as of January 27, 2025, immediately after completion of the merger, former Stronghold stockholders would own approximately 10.6% of the then outstanding Bitfarms common shares.</w:t>
      </w:r>
    </w:p>
    <w:p>
      <w:pPr>
        <w:spacing w:after="0" w:line="1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 common stock implied by the merger consideration was $5.95. Based on the closing price of Bitfarms common shares on Nasdaq on January 27, 2025, the most recent practicable date prior to the date of this proxy statement/prospectus, the per share value of Stronghold Class A common stock implied by the merger consideration was $3.53. The implied value of the merger consideration will fluctuate, however, as the market price of Bitfarms common 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approval of the merger agreement.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3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together with Stronghold senior management, regularly reviews and assesses Stronghold’s performance, strategy, financial position, opportunities and risks in light of current business and economic conditions and developments in the cryptocurrency and power industries, in each case across a range of scenarios and potential future developments. Set forth below is a detailed summary of the key events, meetings and decisions that led the Stronghold board of directors to approve the execution of the merger agreement on August 20, 2024, as amended by amendment no. 1 on September 12, 2024. The following summary does not purport to catalogue every conversation among representatives of Stronghold, Bitfarms and other parties.</w:t>
      </w:r>
    </w:p>
    <w:p>
      <w:pPr>
        <w:spacing w:after="0" w:line="9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summer of 2021, Stronghold discussed a potential merger and acquisition (“M&amp;A”) transaction with several parties, including Bitfarms. However, discussions between Stronghold and potential M&amp;A counterparties, including Bitfarms, ultimately ceased in the summer of 2021, when Stronghold decided to proceed with an initial public offering instead of an M&amp;A transaction.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October 20, 2021, Stronghold completed its initial public offering of Stronghold Class A common stock (the “IPO”). In the years following the IPO, the cryptocurrency industry experienced significant setbacks, including in connection with the bankruptcies of FTX Trading Ltd., Three Arrows Capital, Voyager Digital and Celsius Network, among others. Stronghold, in particular, also experienced financial and operational difficulties during this period, and as a result, the price of the Stronghold Class A common stock declined significantly over the course of 2022 and 2023.</w:t>
      </w:r>
    </w:p>
    <w:p>
      <w:pPr>
        <w:spacing w:after="0" w:line="93"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On February 17, 2022, at a meeting of the Bitfarms board of directors, the Bitfarms board of directors considered Stronghold as a potential candidate for a strategic merger and directed Bitfarms’ management to initiate preliminary due diligence on Stronghold, and on April 6, 2022, Gregory Beard (Chief Executive Officer), Thomas B. Tyree III (Senior Vice President, Finance &amp; Corporate Development) and Christian Ocampo (Director, Finance &amp; Corporate Development) of Stronghold and Emiliano Grodzki (then-current Chief Executive Officer), Geoff Morphy (then-current Chief Operating Officer and President), Benjamin Gagnon (then-current Chief Mining Officer) and Philippe Fortier (then-current Vice President of Special Projects) of Bitfarms met to re-engage and discuss a potential business combination, resulting in the execution of a mutual non-disclosure agreement between Stronghold and Bitfarms in June 2022, which did not include a standstill or “don’t ask, don’t waive” provision.</w:t>
      </w:r>
    </w:p>
    <w:p>
      <w:pPr>
        <w:spacing w:after="0" w:line="10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Messrs. Beard and Tyree of Stronghold and Mr. Gagnon of Bitfarms met again in June 2022 to further discuss the merits of a potential business combination. Also in June 2022, Stronghold executed a mutual non-disclosure agreement with Party A, a publicly traded Bitcoin mining company, which did not include a standstill or “don’t ask, don’t waive” provision, to discuss a potential combination transaction. Shortly thereafter, however, Stronghold decided to focus on amending its existing debt agreements and put discussions with Bitfarms and Party A on hold.</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September 2022, Stronghold was contacted by an investment bank regarding the sell-side process of Party B, a privately held digital assets mining company. Over the next several months, Stronghold and Party B engaged in discussions regarding an acquisition of Party B by Stronghold before discussions paused for a brief period. Messrs. Beard, Tyree, Ocampo and Matthew J. Smith (then-current Chief Financial Officer of Stronghold) represented Stronghold in such discussions.</w:t>
      </w:r>
    </w:p>
    <w:p>
      <w:pPr>
        <w:spacing w:after="0" w:line="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November 2022, Messrs. Beard, Smith, Tyree and Ocampo of Stronghold contacted Party C, a publicly traded Bitcoin mining company, about a potential partnership. Stronghold and Party C entered into a non-disclosure agreement on November 18, 2022, which did not include a standstill or a “don’t ask, don’t waive” provision. In December 2022, both parties agreed to discuss a potential business combination at a later date.</w:t>
      </w:r>
    </w:p>
    <w:p>
      <w:pPr>
        <w:spacing w:after="0" w:line="85"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February 2023, Stronghold and Party B re-engaged to discuss a purchase of Party B’s miners in exchange for Stronghold equity. Stronghold and Party B entered into a non-disclosure agreement on March 17, 2023, which did not include a standstill or a “don’t ask, don’t waive” provision. Messrs. Beard, Smith, Tyree, Ocampo and Matthew C. Usdin (Senior Vice President, General Counsel of Stronghold) represented Stronghold in the discussions. However, later in March 2023, the parties could not agree to terms and discussions ended.</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in March 2023, Stronghold sent a non-binding letter of intent for a business combination with Party C, and Messrs. Smith and Ocampo conducted site visits at Party C’s locations. However, Stronghold ended discussions with Party C after a preliminary due diligence period.</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May 2023, Messrs. Smith and Ocampo of Stronghold met with the management of Party A to discuss potential partnership opportunities, including, among others, a merger. However, Stronghold and Party A agreed to pause discussions while Party A pursued a different strategic transaction.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October 2023, members of the Stronghold and Party A management teams re-engaged and agreed to discuss a potential business combination in early 2024. The Stronghold management team included Messrs. Beard, Smith, Tyree and Ocampo.</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Over the course of 2023, Mr. Beard of the Stronghold management team and Mr. Morphy of the Bitfarms management team remained in touch and had several discussions regarding the state of the industry and other matters, including exploring a potential combination of the two companies in the future. In December 2023, Mr. Beard of the Stronghold management team and Mr. Morphy of the Bitfarms management team agreed to set up a formal discussion in January 2024 to explore a business combination.</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early January 2024, in light of upcoming discussions with Bitfarms and Party A, and anticipating that the Stronghold board of directors may determine to launch a broad strategic review process in early 2024, Stronghold management began preparing for a potential strategic review process, including interviewing potential financial advisors to assist with such a process.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8, 2024, Stronghold and Bitfarms entered into a new mutual non-disclosure agreement, which was based on the same form as the non-disclosure agreement executed by Stronghold and Bitfarms in June 2022 and did not include a standstill or “don’t ask, don’t waive” provision. Following execution of the non-disclosure agreement, Stronghold and Bitfarms exchanged diligence information and held an initial call between the management teams on January 11, 2024. Stronghold’s and Bitfarms’ full management teams participated in the call.</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January 11, 2024, Messrs. Beard, Smith Tyree and Ocampo of the Stronghold management team held a meeting with the management team of Party A to discuss a potential business combination. Over the next several weeks, Stronghold and Party A periodically discussed preliminary information and explored high-level details of a potential transaction.</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23, 2024, Messrs. Smith, Richard J. Shaffer (Senior Vice President, Asset Manager &amp; Environmental Lead), Jeffrey Campbell (Lead Engineer), Tyree and Ocampo of the Stronghold management team and Messrs. Benoit Gobeil (Senior Vice President – Operations &amp; Infrastructure), Gagnon and Fortier of the Bitfarms management team met at the Scrubgrass Plant and the Panther Creek Plant for site visits.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24, 2024, the Stronghold board of directors held a special meeting attended by representatives of Stronghold management. During the meeting, the Stronghold board of directors formally initiated a strategic review process. In addition, following a review of information regarding potential financial advisors for the process, the Stronghold board of directors approved the engagement of Cohen &amp; Co. Capital Markets as Stronghold’s financial advisor, which Stronghold later documented through an engagement letter executed with Cohen &amp; Co. Capital Markets on January 30, 2024.</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30, 2024, Stronghold management, including Messrs. Beard, Smith (attending virtually), Tyree and Ocampo, held an in-person meeting with the Bitfarms board of directors and Messrs. Jeffrey Lucas (Chief Financial Officer), Gagnon, Gobeil and Fortier of the Bitfarms management team at the New York City office of Cohen &amp; Co. Capital Markets to present information on Stronghold’s business.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Over the course of the spring and summer 2024, Cohen &amp; Co. Capital Markets, on behalf of Stronghold, contacted a total of 163 counterparties (including Bitfarms and Parties A through M) to gauge interest in a potential transaction, including public and private companies, Bitcoin miners, various types of data center operators and developers, power companies and credit providers. During this time, Stronghold executed confidentiality agreements with, and granted data room access to, 40 parties. The majority of the confidentiality agreements included a standstill and “don’t ask, don’t waive” provision, but each such agreement included a carve out to such provisions for the submission of private proposals or requests to the Stronghold board of directors. In addition, Stronghold management held meetings with 22 of such parties during this period.</w:t>
      </w:r>
    </w:p>
    <w:p>
      <w:pPr>
        <w:spacing w:after="0" w:line="1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9, 2024, Mr. Fortier of Bitfarms contacted Cohen &amp; Co. Capital Markets and stated that Bitfarms expected to submit a non-binding proposal to acquire Stronghold in late February.</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9, 2024, Cohen &amp; Co. Capital Markets held a call with representatives from Party D, a privately held Bitcoin mining company, to discuss a potential transaction. Two days later, on February 11, 2024, Stronghold executed a non-disclosure agreement with Party D, which included a standstill and “don’t ask, don’t waive” provision with a carve out for the submission of private proposals or requests to the Stronghold board of directors.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12, 2024, Cohen &amp; Co. Capital Markets held a call with representatives from Party E, a privately held Bitcoin mining company, to discuss a potential transaction. The next day, on February 13, 2024, Stronghold executed a non-disclosure agreement with Party E, which included a standstill and “don’t ask, don’t waive” provision with a carve out for the submission of private proposals or requests to the Stronghold board of directors. Over the next few weeks, Cohen &amp; Co. Capital Markets shared certain diligence information with Party E.</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February 12, 2024, Mr. Beard called the chief executive officer of Party F, a privately held Bitcoin financial services company, to discuss a potential business combination. Over the next few days, Cohen &amp; Co. Capital Markets contacted representatives of Party F and shared information regarding Stronghold and a potential transaction.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14, 2024, Mr. Beard met with representatives from Party D. Over the next few weeks, Cohen &amp; Co. Capital Markets discussed a potential transaction with Party D and shared certain diligence information.</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February 15, 2024, the Stronghold board of directors held a special meeting, attended by Stronghold management and representatives of Cohen &amp; Co. Capital Markets and Vinson &amp; Elkins L.L.P. (“V&amp;E”), Stronghold’s primary outside legal counsel. During the meeting, representatives of Cohen &amp; Co. Capital Markets reviewed a process summary and illustrative timeline, in addition to certain financial and operating metrics of Stronghold compared to peer companies. Stronghold management and Cohen &amp; Co. Capital Markets also provided the Stronghold board of directors with an update on discussions held with potential counterparties to date. In addition, representatives of V&amp;E reviewed with the Stronghold board of directors a summary of directors’ fiduciary duties in considering strategic alternatives.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February 15, 2024, Stronghold executed a non-disclosure agreement with Party G, a publicly traded Bitcoin</w:t>
      </w:r>
    </w:p>
    <w:p>
      <w:pPr>
        <w:spacing w:after="0" w:line="7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mining company, which included a standstill and “don’t ask, don’t waive” provision with a carve out for the submission of private proposals or requests to the Stronghold board of directors.</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16, 2024, Stronghold executed an engagement letter with V&amp;E to serve as Stronghold’s primary legal advisor for the strategic review process.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February 20, 2024, Stronghold executed a non-disclosure agreement with Party F,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February 21, 2024, Mr. Fortier of the Bitfarms management team notified Cohen &amp; Co. Capital Markets that Bitfarms had decided to pass on the opportunity and would no longer be submitting a bid to acquire Stronghold. Despite formal merger discussions being put on hold, Cohen &amp; Co. Capital Markets and Mr. Fortier continued to discuss a potential transaction, including feedback from Bitfarms’ board of directors.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27, 2024, Cohen &amp; Co. Capital Markets held a call with representatives from Party A to discuss the process and to share preliminary information.</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29, 2024, Stronghold executed a non-disclosure agreement with Party H, a publicly traded Bitcoin mining company, which did not include a standstill provision.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29, 2024, Stronghold executed a non-disclosure agreement with Party A, superseding the non-disclosure agreement between Stronghold and Party A from June 2022, and which included a standstill and “don’t ask, don’t waive” provision with a carve out for the submission of private proposals or requests to the Stronghold board of directors. After this date, Party A was provided additional diligence information; however, discussions ultimately ceased due to challenges facing Party A’s business.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5, 2024, the Stronghold board of directors held a regular meeting, attended by representatives of Stronghold management. During the meeting, the Stronghold board of directors received an update from Stronghold’s management team on the strategic review process.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March 5, Party E communicated to Cohen &amp; Co. Capital Markets that its board of directors may not be open to moving forward with a transaction at that time, but that it would be willing to discuss a possible transaction further.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early March 2024, several parties indicated an interest in making a proposal to acquire only Stronghold’s Bitcoin mining assets. Stronghold management and Cohen &amp; Co. Capital Markets began engaging with such parties on a potential asset transaction.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7, 2024, representatives from Stronghold, including Messrs. Beard, Smith, Tyree, Ocampo and Usdin, and Cohen &amp; Co. Capital Markets met with Party H to discuss a potential transaction. Over the next several weeks, the parties shared diligence information and explored the details of a potential transaction.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11, 2024, Stronghold executed a non-disclosure agreement with Party I,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12, 2024, Cohen &amp; Co. Capital Markets discussed a potential business combination with representatives from Party E. Party E informed Cohen &amp; Co. Capital Markets that it was continuing to evaluate the transaction and that it would schedule a call to discuss with Cohen &amp; Co. Capital Markets the following week.</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March 12, 2024, the chief executive officer of Party F contacted Cohen &amp; Co. Capital Markets to inquire about the status of Stronghold’s strategic review. Cohen &amp; Co. Capital Markets scheduled a call to discuss further with that executive.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15, 2024, Stronghold executed a non-disclosure agreement with Party J,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March 21, 2024, Stronghold executed a non-disclosure agreement with Party K, a privately held Bitcoin mining company, which included a standstill and “don’t ask, don’t waive” provision with a carve out for the submission of private proposals or requests to the Stronghold board of directors. That same day, members of Stronghold management, including Messrs. Beard, Smith, Tyree, Ocampo and Usdin, met with representatives from Party I to discuss a potential transaction.</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Also on March 21, 2024, Party E informed Cohen &amp; Co. Capital Markets that it was not interested in exploring a transaction with any company at this time, including Stronghold.</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March 26, 2024, members of Stronghold management, including Messrs. Beard, Smith, Tyree, Ocampo and Usdin, held a call with representatives from Party D.</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On March 27, 2024, representatives from Cohen &amp; Co. Capital Markets had dinner with a representative from Party L, a publicly traded Bitcoin mining company. At this meeting, representatives from Cohen &amp; Co. Capital Markets provided information regarding Stronghold and shared a draft non-disclosure agreement. Two days later, on March 29, 2024, Stronghold and Party L executed the non-disclosure agreement, which included a standstill and “don’t ask, don’t waive” provision with a carve out for the submission of private proposals or requests to the Stronghold board of directors. Over the coming weeks, Cohen &amp; Co. Capital Markets and Stronghold provided Party L with certain diligence information.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 2024, representatives from Stronghold, including Messrs. Beard, Smith, Tyree, Ocampo and Usdin, and Party H held a call. During this call, Party H expressed its interest in purchasing only Stronghold’s Bitcoin mining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April 5, 2024, Party D declined to pursue a potential transaction with Stronghold. Although Party D later asked for additional information to evaluate a transaction further, discussions did not progress.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12, 2024, Stronghold received a non-binding indication of interest from Party G to acquire Stronghold’s Bitcoin mining assets at a purchase price of $90 million, with consideration to be paid in the form of Party G stock (the “April 12 Proposal”).</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15, 2024, Cohen &amp; Co. Capital Markets contacted Party H and provided additional information relating to Stronghold. Party H reaffirmed that it was only interested in an acquisition of Stronghold’s Bitcoin mining assets.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Also on April 15, 2024, Mr. Fortier of Bitfarms management contacted Cohen &amp; Co. Capital Markets to re-engage with members of Stronghold management. That same day, Cohen &amp; Co. Capital Markets initiated email communication connecting Mr. Fortier of Bitfarms management with Messrs. Tyree and Ocampo of Stronghold management, and the parties agreed to meet on April 23, 2024 to discuss a potential transaction between the two companies.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early 2024, Bitfarms received expressions of interest from two third parties (“Interested Party A” and “Interested Party B”) regarding potential transactions involving Bitfarms. As discussions with Interested Party A and Interested Party B progressed, Bitfarms entered into customary non-disclosure agreements with each party in the first half of April, with each agreement including a customary standstill provision.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response to these unsolicited expressions of interest and in consideration of how the discussions were progressing, the Bitfarms board of directors decided it would be appropriate to establish a committee comprised of independent directors. Accordingly, on April 16, 2024, the Bitfarms board of directors formed the Bitfarms Special Committee consisting of Brian Howlett (Chair of the Bitfarms Special Committee), Edith Hofmeister and Andres Finkielsztain to consider unsolicited proposals from third parties with respect to an acquisition, merger or other transaction related to the business activities of Bitfarms or certain of its assets and acquisitions of other companies. The Bitfarms Special Committee engaged its own independent advisors, including, among others, Moelis &amp; Company LLC (“Moelis”) as its independent financial advisor and McMillan LLP (“McMillan”) and Skadden, Arps, Slate, Meagher &amp; Flom LLP (“Skadden”) as its independent legal advisors.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18, 2024, Mr. Beard met separately with a member of Party H’s management team and with members of Party L’s management team.</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22, 2024, in addition to the unsolicited proposals Bitfarms received from Interested Party A and Interested Party B, Riot submitted the non-binding April 22 Riot Proposal to the Bitfarms board of directors offering to acquire 100% of the Bitfarms common shares at a price of $2.30 per Bitfarms common share for consideration consisting of a combination of cash and Riot common stock.</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23, 2024, Mr. Tyree of Stronghold management and Mr. Fortier of Bitfarms management met in Miami, Florida. Later that day, Mr. Fortier engaged with Messrs. Beard and Ocampo to discuss a transaction whereby Bitfarms would acquire certain assets of Stronghold.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24, 2024, Stronghold management, including Messrs. Beard, Smith, Tyree, Ocampo and Usdin, held a meeting with management of Party G to discuss the April 12 Proposal. During the meeting, Stronghold management conveyed its view that the April 12 Proposal undervalued Stronghold’s Bitcoin mining assets and encouraged Party G to increase its valuation.</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25, 2024, members of Stronghold management, including Messrs. Tyree and Ocampo, and members of Bitfarms management, including Mr. Fortier, met again to discuss a potential business combination, and identified further business synergies which would increase the operational value of a potential transaction.</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May 1, 2024, the Stronghold board of directors held a regularly scheduled meeting, attended by representatives of Stronghold management. During this meeting, representatives of Stronghold management gave the Stronghold board of directors an update on the strategic review process. The Stronghold board of directors and Stronghold management discussed a potential sale of only Stronghold’s Bitcoin mining assets, including the April 12 Proposal from Party G, determining that such transaction should continue to be explored but noting that it would carry significant execution risk and leave Stronghold with only the Scrubgrass Plant and the Panther Creek Plant after closing. The Stronghold board of directors also discussed the pros and cons of publicly announcing that the Stronghold board of directors was reviewing strategic alternatives, with management relaying guidance it had received from Cohen &amp; Co. Capital Markets and V&amp;E prior to the meeting. Ultimately, the Stronghold board of directors concluded that a public announcement of a strategic review process would result in more interest in a potential transaction from potential buyers and instructed management to make such an announcement in Stronghold’s first quarter earnings press release to be issued the following day.</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May 2, 2024, Stronghold announced its first quarter 2024 operating and financial results. In the earnings release, Stronghold announced that the Stronghold board of directors had initiated a formal strategic review process, which involved considering a wide range of alternatives to maximize shareholder value, including, but not limited to, the sale of all or part of Stronghold, or another strategic transaction involving the sale of some, or all of, the assets of Stronghold.</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8, 2024, Bitfarms responded to the April 22 Riot Proposal, advising Riot that the premium offered pursuant to the April 22 Riot Proposal was too low, but Bitfarms would be interested in having meaningful discussions with Riot in respect of Riot’s offer. Following Bitfarms’ response, Bitfarms and Riot did not further engage in any material discussions regarding a potential merger transaction between the parties.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10, 2024, Stronghold received an email from Party K including an illustrative framework for a business combination between Stronghold and Party K, which implied an enterprise value for Stronghold of $138 million. Following the submission of this framework, Stronghold and Party K further analyzed the details of a potential transaction, with discussions ultimately ceasing due to the low likelihood of execution and uncertainty around structure and the type of consideration. Messrs. Beard, Smith, Tyree and Ocampo represented Stronghold in these discussions.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14, 2024, Stronghold received a revised non-binding proposal from Party G to acquire Stronghold’s Bitcoin mining assets at a purchase price of $100 million, with consideration to be a combination of cash and stock of Party G. In the weeks following this proposal, Cohen &amp; Co. Capital Markets and the financial advisor for Party G discussed the proposal and exchanged valuation information in an attempt to get Party G to further increase the valuation in its proposal.</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May 14, 2024, Mr. Fortier of Bitfarms management notified Messrs. Tyree and Ocampo of Stronghold management that Bitfarms was interested in re-engaging with Stronghold on a potential transaction, including a potential acquisition of Stronghold’s Bitcoin mining assets.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14, 2024, representatives from Cohen &amp; Co. Capital Markets and Party I discussed and exchanged information regarding a potential transaction with Stronghold. Two days later, on May 16, 2024, representatives from Party I contacted Cohen &amp; Co. Capital Markets to schedule further discussions.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16, 2024, Cohen &amp; Co. Capital Markets spoke to a member of Party H’s management team regarding a potential transaction between the two companies. A few days later, Party H proposed a transaction structure by which Party H would acquire the mining assets of Stronghold, and Stronghold would acquire Party H’s power plants. Discussions ceased following this proposal.</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21, 2024, the Stronghold board of directors held a special meeting, attended by representatives of Stronghold management and Cohen &amp; Co. Capital Markets. During this meeting, representatives of Cohen &amp; Co. Capital Markets reviewed the terms of the non-binding proposals received to date. Given the valuations and preliminary nature of each of the non-binding proposals, the Stronghold board of directors instructed Cohen &amp; Co. Capital Markets to continue seeking offers for Stronghold as a whole and/or only Stronghold’s Bitcoin mining assets.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May 22, 2024, Cohen &amp; Co. Capital Markets sent a bid letter and financial information to Party I. The next day, Cohen &amp; Co. Capital Markets spoke to a representative of Party I via telephone, and Party I conveyed that it would not be pursuing a potential acquisition of Stronghold further.</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22, 2024, Cohen &amp; Co. Capital Markets sent a letter to Bitfarms requesting a preliminary, non-binding proposal for an acquisition of or strategic combination with Stronghold, following which Stronghold and Bitfarms continued to engage in negotiations regarding a potential business combination.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23, 2024, Party G notified Cohen &amp; Co. Capital Markets that it was not in a position to increase its proposal and would be dropping out of the bid process.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28, 2024, Stronghold executed a non-disclosure agreement with Party M, a publicly traded Bitcoin mining company, which did not include a standstill provision.</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28, 2024, Riot publicly announced: (i) the terms of the April 22 Riot Proposal, (ii) its intention to requisition a special meeting of Bitfarms’ shareholders to “add new, well-qualified and independent directors” to the Bitfarms board of directors and (iii) that it had acquired 9.25% of the issued and outstanding Bitfarms common shares.</w:t>
      </w:r>
    </w:p>
    <w:p>
      <w:pPr>
        <w:spacing w:after="0" w:line="11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 xml:space="preserve">On May 28, 2024, Riot filed a Form 62-103F1 </w:t>
      </w:r>
      <w:r>
        <w:rPr>
          <w:rFonts w:ascii="Times New Roman" w:cs="Times New Roman" w:eastAsia="Times New Roman" w:hAnsi="Times New Roman"/>
          <w:sz w:val="18"/>
          <w:szCs w:val="18"/>
          <w:i w:val="1"/>
          <w:iCs w:val="1"/>
          <w:color w:val="auto"/>
        </w:rPr>
        <w:t>Required Disclosure under the Early Warning Requirements</w:t>
      </w:r>
      <w:r>
        <w:rPr>
          <w:rFonts w:ascii="Times New Roman" w:cs="Times New Roman" w:eastAsia="Times New Roman" w:hAnsi="Times New Roman"/>
          <w:sz w:val="18"/>
          <w:szCs w:val="18"/>
          <w:color w:val="auto"/>
        </w:rPr>
        <w:t xml:space="preserve"> (“Form 62-103F1”) disclosing that Riot beneficially owned 39,858,700 Bitfarms common shares, representing approximately 10.00% of the issued and outstanding Bitfarms common shares as at the date thereof.</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29, 2024, Bitfarms announced that after careful consideration of the April 22 Riot Proposal, the Bitfarms Special Committee determined that the proposal significantly undervalued Bitfarms and its growth prospects. Bitfarms also announced that the Bitfarms Special Committee was conducting a thorough strategic alternatives review process to ensure it achieved maximum shareholder value, which alternatives could include, among others, continuing to execute on Bitfarms’ business plan, a strategic business combination or other strategic transaction, or a sale of Bitfarms.</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May and June 2024, Stronghold received preliminary financing term sheets from three parties; however, none advanced past the term sheet stage due to the unfavorable terms and significant execution and timing risks associated with each proposal.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1, 2024, Stronghold received a non-binding letter of intent from Bitfarms to acquire Stronghold’s Bitcoin mining assets for a purchase price of $120 million, consisting of $75 million in Bitfarms stock and $45 million assumption of Stronghold debt. Over the next several weeks, Stronghold management and Cohen &amp; Co. Capital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Markets had a number of discussions with Bitfarms and Moelis, and in connection with such discussions provided Bitfarms with information to support significant value creation to Bitfarms at higher purchase prices, including opportunities to upgrade Stronghold’s current fleet of mining equipment, expansion opportunities available via access to power from the grid, new demand response opportunities, and information regarding the value of Stronghold’s current equipment inventory.</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2024, Riot filed a Form 62-103F1 disclosing that Riot beneficially owned 47,830,440 Bitfarms common shares, representing approximately 12.00% of the issued and outstanding Bitfarms common shares as at the date thereof.</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6, 2024, Party L informed Cohen &amp; Co. Capital Markets that it declined to pursue a transaction further with Stronghold.</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7, 2024, Stronghold received a non-binding proposal from Party M for a portion of Stronghold’s assets at a purchase price range of $69 to $86 million in cash. Separately, a representative of Party M orally indicated to Cohen &amp; Co. Capital Markets that Party M may be able to increase its offer to a purchase price of $125 million for Stronghold’s Bitcoin mining assets.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10, 2024, Stronghold received an updated non-binding letter of intent from Bitfarms to acquire Stronghold’s Bitcoin mining assets at a purchase price of $140 million, consisting of $95 million in Bitfarms common shares and $45 million of assumption of Stronghold debt.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Stronghold received a non-binding proposal from Party J to acquire Stronghold’s Bitcoin mining assets at an enterprise value of $100 million, consisting of an unspecified mix of cash and stock of Party J.</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Bitfarms adopted a shareholder rights plan pursuant to a shareholder rights plan agreement entered into with TSX Trust Company, as rights agent, dated June 10, 2024 (the “Original Rights Plan”).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13, 2024, Riot filed a Form 62-103F1 disclosing that Riot beneficially owned 57,627,036 Bitfarms common shares, representing approximately 14.00% of the issued and outstanding Bitfarms common shares as at the date thereof.</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14, 2024, Party J spoke to Cohen &amp; Co. Capital Markets and made an oral offer for Stronghold’s Bitcoin mining assets at a purchase price of $110 million, with consideration in the form of cash, stock or a mix of both to be determined.</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18, 2024, representatives of Party M conducted site visits to the Scrubgrass Plant and the Panther Creek Plant.</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18, 2024, Stronghold received an updated non-binding letter of intent from Bitfarms to acquire substantially all of Stronghold’s Bitcoin mining assets at a purchase price of $150 million, consisting of $100 million in Bitfarms common shares and $50 million for the assumption of Stronghold’s debt. The $100 million of stock consideration was subject to a reduction of $0 to $10 million, depending on the total aggregate power proven to be available at the Scrubgrass Plant and the Panther Creek Plant as of the closing of such proposed transaction. The non-binding letter of intent also included a 60-business day exclusivity period during which Stronghold was prohibited from entering into any agreement, letter of intent or similar arrangement with respect to Stronghold’s Bitcoin mining assets with other parties, and expressly provided that the exclusivity period would not apply to Stronghold’s power plant assets.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days leading up to the meeting of the Stronghold board of directors on June 24, 2024, Cohen &amp; Co. Capital Markets contacted each remaining interested party in an attempt to get each party to submit new proposals at higher, more competitive valuations. Ultimately, none of the remaining interested parties increased their proposals.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June 24, 2024, the Stronghold board of directors held a special meeting, attended by representatives of Stronghold management, Cohen &amp; Co. Capital Markets and V&amp;E. During this meeting, the Stronghold board of directors reviewed information with respect to bids received during the process. Following a review and discussion of such information, the Stronghold board of directors determined that the Bitfarms bid was the best transaction for Stronghold to pursue and authorized the execution of the non-binding letter of intent with Bitfarms.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Also on June 24, 2024, Riot filed an application with the Capital Markets Tribunal of the Ontario Securities Commission (the “Tribunal”) requesting, among other things, that the Tribunal make an order to cease trading with immediate effect all securities issued, or that may be issued, pursuant to the Original Rights Plan in accordance with the Tribunal’s public interest jurisdiction. On the same day, Riot submitted its requisition for a special meeting of Bitfarms shareholders, seeking to replace a majority of the incumbent Bitfarms board of directors with the three of its own nominees.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24, 2024, Riot filed a Form 62-103F1 disclosing that Riot beneficially owned 61,331,631 Bitfarms common shares, representing approximately 14.90% of the issued and outstanding Bitfarms common shares as at the date thereof.</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25, 2024, Stronghold and Bitfarms executed the non-binding letter of intent, which contained substantially the same terms as the non-binding letter of intent submitted by Bitfarms on June 18, 2024, except that the exclusivity period was shortened to 45 business days (the “June 25 Bitfarms LOI”). Following execution of the June 25 Bitfarms LOI, Stronghold and its representatives ceased discussions with the other interested parties and engaged in exclusive discussions with Bitfarms.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June 27, 2024, Fanny Philip was appointed to the Bitfarms board of directors as an independent director. Ms. Philip’s appointment to the Bitfarms board of directors followed a comprehensive search performed by the Bitfarms Special Committee. The Bitfarms board of directors’ decision to appoint Ms. Philip was made independently of Riot.</w:t>
      </w:r>
    </w:p>
    <w:p>
      <w:pPr>
        <w:spacing w:after="0" w:line="9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3, 2024, V&amp;E sent Skadden an initial draft purchase agreement for the purchase of Stronghold’s Bitcoin mining assets by Bitfarms.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July 8, 2024, Bitfarms announced the appointment of Ben Gagnon as Chief Executive Officer. Mr. Gagnon’s appointment was the result of a comprehensive search and evaluation process conducted over several months by an independent search committee comprised of independent members of the Bitfarms board of directors and chaired by Ms. Hofmeister. The Bitfarms board of directors’ decision to appoint Mr. Gagnon was made independently of Riot.</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several weeks, Stronghold and Bitfarms exchanged diligence information and engaged in further discussions regarding a transaction, including the possibility of Bitfarms acquiring all of Stronghold (a “WholeCo Acquisition”). The parties also discussed how much value should be attributed to Stronghold’s plants and associated real estate in a WholeCo Acquisition if it were pursued. During this time, Messrs. Fortier and Harry Harsimrat (Corporate Development Senior Associate) of Bitfarms and Bitfarms’ consultants also visited the Scrubgrass Plant and the Panther Creek Plant.</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hearing before the Tribunal with respect to the Original Rights Plan took place over July 22 and 23, 2024, and on July 24, 2024, the Tribunal released its decision to cease trade the Original Rights Plan. Subsequently, Bitfarms adopted a revised shareholder rights plan pursuant to a shareholder rights plan agreement entered into with TSX Trust Company, as rights agent, dated July 24, 2024 (the “Revised Rights Plan”).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Also on July 24, 2024, Mr. Beard met with a member of Party H’s management team regarding the potential sale of the Scrubgrass Plant and the Panther Creek Plant to Party H.</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July 24, 2024, Mr. Gagnon called Mr. Beard, stating that Bitfarms desired to proceed with a WholeCo Acquisition at an enterprise value of $175 million, with the increase in consideration from the June 25 Bitfarms LOI due to Bitfarms also acquiring the Scrubgrass Plant and the Panther Creek Plant, transmission lines, substations and associated real estate in a WholeCo Acquisition.</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Over the next week, Stronghold, Bitfarms and their respective advisors engaged in a series of discussions regarding an all-stock, WholeCo Acquisition, including, among others, the structure of such a transaction, the treatment of Stronghold’s debt and the treatment of the TRA in such a transaction. In addition, V&amp;E began preparing a draft merger agreement providing for a WholeCo Acquisition.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25, 2024, Stronghold engaged Blake, Cassels &amp; Graydon LLP to serve as Stronghold’s Canadian counsel in connection with the potential Bitfarms transaction.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July 29, 2024, the Stronghold board of directors held a special meeting, attended by Stronghold management and representatives of Cohen &amp; Co. Capital Markets and V&amp;E. During the meeting, Stronghold management provided the Stronghold board of directors with an update regarding the potential transaction with Bitfarms. The Stronghold board of directors and meeting participants also discussed the Bitfarms transaction compared to other potential alternatives, including remaining a standalone company. Also at the meeting, representatives of Cohen &amp; Co. Capital Markets reviewed with the Stronghold board of directors certain preliminary financial information, including with respect to trading metrics and comparable transactions. In addition, the Stronghold board of directors reviewed and discussed projections prepared by Stronghold management in connection with the transaction. Further, a representative of V&amp;E reviewed with the Stronghold board of directors a summary of directors’ fiduciary duties in considering the Bitfarms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transaction. A representative of V&amp;E also reviewed with the Stronghold board of directors a summary of the initial draft merger agreement prepared by V&amp;E and Stronghold management, which the Stronghold board of directors instructed V&amp;E to send to Skadden following the meeting.</w:t>
      </w:r>
    </w:p>
    <w:p>
      <w:pPr>
        <w:spacing w:after="0" w:line="108" w:lineRule="exact"/>
        <w:rPr>
          <w:sz w:val="20"/>
          <w:szCs w:val="20"/>
          <w:color w:val="auto"/>
        </w:rPr>
      </w:pPr>
    </w:p>
    <w:p>
      <w:pPr>
        <w:jc w:val="both"/>
        <w:ind w:left="460" w:right="479"/>
        <w:spacing w:after="0" w:line="276" w:lineRule="auto"/>
        <w:rPr>
          <w:sz w:val="20"/>
          <w:szCs w:val="20"/>
          <w:color w:val="auto"/>
        </w:rPr>
      </w:pPr>
      <w:r>
        <w:rPr>
          <w:rFonts w:ascii="Times New Roman" w:cs="Times New Roman" w:eastAsia="Times New Roman" w:hAnsi="Times New Roman"/>
          <w:sz w:val="17"/>
          <w:szCs w:val="17"/>
          <w:color w:val="auto"/>
        </w:rPr>
        <w:t>Following the Stronghold board of directors meeting on July 29, 2024, V&amp;E sent an initial draft merger agreement to Skadden. The draft merger agreement provided for, among other things, (1) a fixed exchange ratio,</w:t>
      </w:r>
    </w:p>
    <w:p>
      <w:pPr>
        <w:spacing w:after="0" w:line="1" w:lineRule="exact"/>
        <w:rPr>
          <w:sz w:val="20"/>
          <w:szCs w:val="20"/>
          <w:color w:val="auto"/>
        </w:rPr>
      </w:pPr>
    </w:p>
    <w:p>
      <w:pPr>
        <w:jc w:val="both"/>
        <w:ind w:left="460" w:right="459" w:hanging="6"/>
        <w:spacing w:after="0" w:line="251" w:lineRule="auto"/>
        <w:tabs>
          <w:tab w:leader="none" w:pos="73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of $25 million payable by Bitfarms in the event Bitfarms failed to close when required under the agreement, which fee would be in addition to any other damages suffered by Stronghold in the event of Bitfarms’ fraud or willful breach of the agreement (the “Bitfarms reverse termination fee”), (3) a right of Stronghold to terminate the agreement in order to enter into a definitive agreement with respect to a superior proposal, if applicable (the “superior proposal termination right”), (4) a termination fee of $3.75 million, in the event the agreement is terminated due to a change of recommendation or due to Stronghold exercising the superior proposal termination right (the “Stronghold termination fee”) and (5) customary closing conditions, including with respect to the accuracy of each parties’ representations and warranties (subject to certain materiality qualifiers) and the performance in all material respects of each parties’ obligations required to be performed at or prior to the closing. Also at this time, Stronghold proposed an exchange ratio of 2.436 Bitfarms common shares for each share of Stronghold Class A common stock.</w:t>
      </w:r>
    </w:p>
    <w:p>
      <w:pPr>
        <w:spacing w:after="0" w:line="12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Over the next several weeks, the Stronghold and Bitfarms management teams continued to exchange diligence information, including financial projections prepared by each party. The parties and their advisors also held mutual diligence calls as each party continued to evaluate the potential transaction.</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From July 30, 2024 to August 1, 2024, Messrs. Beard and Tyree of Stronghold management met Messrs. Pedro Goglino (Director of Corporate Development), Nicolás Vilchez (Director, Bitfarms Operating Way — Operations), Gabriel Lamas (Director of Operations &amp; Infrastructure), Gobeil and Gagnon of Bitfarms management for site visits to Bitfarms’ Latin American facilities in Río Cuarto, Argentina and Paso Pe, Villarrica and Yguazú, Paraguay.</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1, 2024, Mr. Ocampo of Stronghold management also met Messrs. Fortier and Sebastien Ouellet (Director of Logistics and Mining Operations) of Bitfarms management for site visits to Bitfarms’ Québec, Canada facilities in Sherbrooke, Cowansville and Farnham.</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1, 2024, Mr. Beard, on behalf of Q Power, and William Spence, in his personal capacity, the holders under the TRA, notified Stronghold that, in order to help facilitate the transaction, they intended to agree to terminate the TRA at the closing of the Bitfarms transaction and to waive their right to an early termination payment under the TRA, which an advisor to Stronghold had estimated would equal approximately $15 million in the aggregate. Following Messrs. Beard and Spence notifying Stronghold of this intent, V&amp;E began drafting a “TRA Waiver and Termination Agreement” to memorialize the termination of the TRA and waiver of the early termination payment, which in each case would be conditioned upon the closing of the Bitfarms transaction.</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 2024, Skadden sent a revised merger agreement to V&amp;E. The revised merger agreement, among other things, (1) accepted the fixed exchange ratio concept, at a value to later be agreed upon between Bitfarms and Stronghold, (2) reduced the amount of the Bitfarms reverse termination fee to $10 million and provided that such termination fee would be Stronghold’s sole and exclusive monetary remedy in the event of Bitfarms’ failure to close when required under the agreement, (3) accepted the superior proposal termination right,</w:t>
      </w:r>
    </w:p>
    <w:p>
      <w:pPr>
        <w:spacing w:after="0" w:line="3" w:lineRule="exact"/>
        <w:rPr>
          <w:sz w:val="20"/>
          <w:szCs w:val="20"/>
          <w:color w:val="auto"/>
        </w:rPr>
      </w:pPr>
    </w:p>
    <w:p>
      <w:pPr>
        <w:jc w:val="both"/>
        <w:ind w:left="460" w:right="459" w:hanging="6"/>
        <w:spacing w:after="0" w:line="255" w:lineRule="auto"/>
        <w:tabs>
          <w:tab w:leader="none" w:pos="73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Stronghold termination fee to $5 million and (5) added certain closing conditions, including the mining facility conditions. Also at this time, Bitfarms conveyed that Stronghold’s proposed exchange ratio was not yet agreed upon and was subject to further discussion.</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2, 2024, the full management team of Stronghold and Messrs. Gagnon, Lucas, Gobeil, Fortier, Harsimrat, Damian Polla (General Manager — Latin American Operations), Marc-André Amman (Senior Vice President of Finance and Accounting), Paul Magrath (Vice President of Taxation &amp; Sustainability) and Arnold Lee (Director of Sustainability) and Mses. Silverstein, Patricia Osorio (Vice President &amp; Corporate Secretary) and Andrea Keen (Vice President of Human Resources) of Bitfarms, as well as representatives of each of V&amp;E, Skadden, McMillan, Fasken Martineau DuMoulin LLP and Moelis, met via videoconference to discuss due diligence matters of Bitfarms in connection with the transaction, as part of Stronghold’s reverse due diligence process.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2, 2024, Riot filed a Form 62-103F1 disclosing that Riot beneficially owned 76,267,318 Bitfarms common shares, representing approximately 16.90% of the issued and outstanding Bitfarms common shares as at the date thereof.</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6, 2024, the Stronghold board of directors held a special meeting, attended by Stronghold management and representatives of Cohen &amp; Co. Capital Markets and V&amp;E. During the meeting, Stronghold management provided the Stronghold board of directors with an update on the potential Bitfarms transaction. In addition, representatives of Cohen &amp; Co. Capital Markets reviewed financial analysis regarding the potential Bitfarms transaction. Further, representatives of V&amp;E reviewed with the Stronghold board of directors the open points in the merger agreement. The Stronghold board of directors discussed how to respond to Bitfarms on the open points and instructed V&amp;E to send a revised merger agreement to Skadden following the meeting.</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Stronghold board of directors meeting on August 6, 2024, V&amp;E sent a revised merger agreement to Skadden. The revised merger agreement, among other things, (1) increased the amount of the Bitfarms reverse termination fee to $15 million and provided that such termination fee would not be Stronghold’s sole and exclusive monetary remedy in the event of Bitfarms’ failure to close when required under the agreement,</w:t>
      </w:r>
    </w:p>
    <w:p>
      <w:pPr>
        <w:spacing w:after="0" w:line="3" w:lineRule="exact"/>
        <w:rPr>
          <w:sz w:val="20"/>
          <w:szCs w:val="20"/>
          <w:color w:val="auto"/>
        </w:rPr>
      </w:pPr>
    </w:p>
    <w:p>
      <w:pPr>
        <w:jc w:val="both"/>
        <w:ind w:left="460" w:right="459" w:hanging="6"/>
        <w:spacing w:after="0" w:line="255" w:lineRule="auto"/>
        <w:tabs>
          <w:tab w:leader="none" w:pos="7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the Stronghold termination fee of $5 million, which the Stronghold board of directors deemed appropriate after reviewing precedent transactions and in light of the thorough sale process conducted by Stronghold management and Cohen &amp; Co. Capital Markets and (3) removed the mining facility conditions.</w:t>
      </w:r>
    </w:p>
    <w:p>
      <w:pPr>
        <w:spacing w:after="0" w:line="11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6, 2024, the full management teams of Stronghold and Bitfarms held a call to discuss the open points in the merger agreement, including the methodology for calculating the exchange ratio, which call was attended by representatives from each of Skadden, V&amp;E, Moelis and Cohen &amp; Co. Capital Markets.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6, 2024, as well as the following day, on August 7, 2024, representatives of each of V&amp;E, Skadden, Stronghold and Bitfarms met via videoconference to discuss due diligence matters of Stronghold in connection with the transaction, as part of Bitfarms’ due diligence process. The full management teams of Stronghold and Bitfarms were present at this meeting.</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Over the next several weeks, Stronghold and Bitfarms, through their respective legal advisors, exchanged drafts of the disclosure schedules to the merger agreement, the voting agreement and the TRA Waiver and Termination Agreement. Also, during this time, Stronghold executed confidentiality agreements with the holders of Stronghold Series C preferred stock and sought the holders’ approval to have their shares of Stronghold Series C preferred stock convert to shares of Stronghold Class A common stock immediately prior to the closing of the merger pursuant to a conversion agreement. Messrs. Beard and Usdin represented Stronghold in these discussions.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8, 2024, Bitfarms reported its second quarter 2024 earnings.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10, 2024, Skadden sent V&amp;E a revised merger agreement. The revised merger agreement, among other things, (1) reduced the amount of the Bitfarms reverse termination fee to $10 million and provided that such termination fee would be Stronghold’s sole and exclusive monetary remedy in the event of Bitfarms’ failure to close when required under the agreement and (2) reinserted the mining facility conditions.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13, 2024, Bitfarms announced the appointment of Mr. Gagnon to the Bitfarms board of directors, replacing Mr. Bonta following his resignation, and the appointment of Mr. Howlett as the new Chair of the Bitfarms board of directors. These changes to the composition of Bitfarms board of directors were made independently of Riot.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13, 2024, Riot filed a Form 62-103F1 disclosing that Riot beneficially owned 85,293,054 Bitfarms common shares, representing approximately 18.90% of the issued and outstanding Bitfarms common shares as at the date thereof.</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13, 2024, the Stronghold board of directors held a special meeting, attended by Stronghold management and representatives of Cohen &amp; Co. Capital Markets and V&amp;E. During the meeting, the Stronghold board of directors discussed the open terms in the merger agreement and the potential timeline for a signing and closing of a transaction with Bitfarms.</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2024, Stronghold reported its second quarter 2024 earnings. In its earnings press release, Stronghold announced that it expected certain increased capacity commitment payments from PJM as a result of capacity commitment clearances given to the Scrubgrass Plant and the Panther Creek Plant at PJM’s annual residual power auction held on July 31, 2024 (the “Increased Capacity Commitment Payments”).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14, 2024, the full management team of Stronghold met via videoconference with Rachel Silverstein (U.S. General Counsel) and Messrs. Harsimrat and Fortier of Bitfarms and representatives of each of V&amp;E and Skadden to discuss certain follow-up due diligence questions with respect to Stronghold in connection with the transaction.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16, 2024, Mr. Beard and Mr. Gagnon held a telephone call to discuss certain outstanding key terms in the merger agreement. During this call, Messrs. Beard and Gagnon agreed on the following, subject in each case to the approval of the Stronghold board of directors and Bitfarms board of directors: (1) an exchange ratio of 2.520 Bitfarms ordinary shares for each share of Stronghold Class A common stock, (2) a Bitfarms reverse termination fee of $12.5 million, which would be Stronghold’s sole and exclusive monetary remedy in the event Bitfarms fails to close the merger when required under the merger agreement and (3) the insertion of the mining facility conditions.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Following the telephone call between Mr. Beard and Mr. Gagnon, V&amp;E sent a revised merger agreement to Skadden reflecting the points discussed on the call and certain other revisions.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17, 2024, the full management team of Stronghold and Messrs. Gagnon, Fortier, Harsimrat and Ms. Silverstein of Bitfarms held a call to discuss the merger agreement, which was attended by representatives from each of Skadden, Moelis, V&amp;E and Cohen &amp; Co. Capital Markets, among others. During this call, the parties sought to finalize the remaining open points in the merger agreement, subject to the approval by each party’s board of directors.</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17, 2024, Stronghold management sent a revised set of projections for Stronghold to Bitfarms and Cohen &amp; Co. Capital Markets, with the only change since Stronghold management’s prior projections to reflect the Increased Capacity Commitment Payments.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August 18, 2024, Mr. Usdin of Stronghold management sent an email update to the Stronghold board of directors, summarizing the proposed resolution of the open points in the merger agreement and describing the new set of management projections reflecting the Increased Capacity Commitment Payments.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few days, Stronghold, Bitfarms and their respective legal advisors continued to exchange drafts of the merger agreement and related documents. Leading up to the execution of the merger agreement, Bitfarms negotiated the terms of the merger agreement with Stronghold without any ongoing negotiations with Riot with respect to a transaction, Riot’s requisition or changes to the Bitfarms board of directors, and focused on ensuring that the terms in the merger agreement were commercially reasonable and generally consistent with market practices.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a meeting of the Bitfarms board of directors on August 19, 2024, the full management teams of Stronghold and Bitfarms and their respective legal advisors held a series of calls regarding the mining facility conditions, ultimately agreeing to modify the mining facility conditions to include a concept that Stronghold has received interconnection agreements or written correspondence from PJM permitting the importation of a certain amount of power to such facilities.</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was in final form by the evening of August 20, 2024, when the Stronghold board of directors met to consider approval of the proposed transaction with Bitfarms, with members of Stronghold’s management and representatives of Cohen &amp; Co. Capital Markets and V&amp;E in attendance. At such meeting, Cohen &amp; Co. Capital Markets referred to the financial analysis reviewed with the Stronghold board of directors at previous meetings of the Stronghold board of directors and rendered to the Stronghold board of directors its oral opinion, which was subsequently confirmed by delivery of a written opinion, dated August 20, 2024, to the effect that, as of such date and based upon and subject to the assumptions, procedures, factors, qualifications and any limitations and other matters set forth in its written opinion, the exchange ratio to be received by the holders of Stronghold Class A common stock, in their capacity as such, pursuant to the merger agreement is fair, from a financial point of view, to such holders (other than Bitfarms, Merger Sub and their respective affiliates). See section entitled “</w:t>
      </w:r>
      <w:r>
        <w:rPr>
          <w:rFonts w:ascii="Times New Roman" w:cs="Times New Roman" w:eastAsia="Times New Roman" w:hAnsi="Times New Roman"/>
          <w:sz w:val="18"/>
          <w:szCs w:val="18"/>
          <w:i w:val="1"/>
          <w:iCs w:val="1"/>
          <w:color w:val="auto"/>
        </w:rPr>
        <w:t>The Merger — Opinion of Stronghold’s Financial Advisor</w:t>
      </w:r>
      <w:r>
        <w:rPr>
          <w:rFonts w:ascii="Times New Roman" w:cs="Times New Roman" w:eastAsia="Times New Roman" w:hAnsi="Times New Roman"/>
          <w:sz w:val="18"/>
          <w:szCs w:val="18"/>
          <w:color w:val="auto"/>
        </w:rPr>
        <w:t>” on page 59 for more information. In addition, a representative of V&amp;E reviewed with the Stronghold board of directors a summary of the merger agreement. After considering the terms of the proposed transaction with Bitfarms, and taking into consideration the matters discussed during that meeting and prior meetings of the Stronghold board of directors, including the factors described above and under the section entitled “</w:t>
      </w:r>
      <w:r>
        <w:rPr>
          <w:rFonts w:ascii="Times New Roman" w:cs="Times New Roman" w:eastAsia="Times New Roman" w:hAnsi="Times New Roman"/>
          <w:sz w:val="18"/>
          <w:szCs w:val="18"/>
          <w:i w:val="1"/>
          <w:iCs w:val="1"/>
          <w:color w:val="auto"/>
        </w:rPr>
        <w:t>— Recommendation of the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and its Reasons for the Merger</w:t>
      </w:r>
      <w:r>
        <w:rPr>
          <w:rFonts w:ascii="Times New Roman" w:cs="Times New Roman" w:eastAsia="Times New Roman" w:hAnsi="Times New Roman"/>
          <w:sz w:val="18"/>
          <w:szCs w:val="18"/>
          <w:color w:val="auto"/>
        </w:rPr>
        <w:t>,” the Stronghold board of directors unanimously</w:t>
      </w:r>
    </w:p>
    <w:p>
      <w:pPr>
        <w:spacing w:after="0" w:line="11" w:lineRule="exact"/>
        <w:rPr>
          <w:sz w:val="20"/>
          <w:szCs w:val="20"/>
          <w:color w:val="auto"/>
        </w:rPr>
      </w:pPr>
    </w:p>
    <w:p>
      <w:pPr>
        <w:jc w:val="both"/>
        <w:ind w:left="460" w:right="459" w:hanging="6"/>
        <w:spacing w:after="0" w:line="253" w:lineRule="auto"/>
        <w:tabs>
          <w:tab w:leader="none" w:pos="7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merger, are in the best interests of the holders of Stronghold common stock, (2) approved and declared advisable the merger agreement and the transactions contemplated thereby, including the merger, and (3) resolved to recommend that the holders of Stronghold common stock approve and adopt the merger agreement and the transactions contemplated thereby, including the merger.</w:t>
      </w:r>
    </w:p>
    <w:p>
      <w:pPr>
        <w:spacing w:after="0" w:line="11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Shortly following the Stronghold board of directors meeting, the Bitfarms Special Committee met and unanimously recommended that the Bitfarms board of directors, among other things, approve the merger, including the execution, delivery and performance by Bitfarms of the merger agreement and related documents.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Following the Bitfarms Special Committee meeting on August 20, 2024, the Bitfarms board of directors met and, among other things, approved the merger, including the execution, delivery and performance by Bitfarms of the merger agreement and related documents.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Early the next morning, on August 21, 2024, the parties executed the merger agreement and related documents. Later that morning, prior to the opening of trading, Bitfarms and Stronghold issued a joint press release announcing the transaction.</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weeks following the execution of the merger agreement, Messrs. Beard and Gagnon, and later the full management teams of Stronghold and Bitfarms, began discussing the possibility of Stronghold hosting Bitfarms miners at the Panther Creek Plant’s mining facility in exchange for hosting payments, which Stronghold had done previously with unaffiliated third parties, through an arms-length hosting agreement (the “hosting agreement”).</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these discussions advanced, during the week of September 2, 2024, the parties agreed on the following, among other things, subject to approval by each party’s board of directors: (1) the hosting agreement would be based on the same form as Stronghold has executed previously with unaffiliated third parties, (2) the hosting agreement term would be through December 2025 and would remain in effect even if the merger agreement is terminated or if the merger fails to close, (3) Bitfarms would place with Stronghold a $7.8 million deposit (the “deposit”) under the hosting agreement (equal to $70 per MW multiplied by 50 MW and ninety-three (93) days (three (3) months) and twenty-four (24) hours) and which would be repaid at the end of the hosting agreement term in December 2025, (4) if the merger agreement is terminated and the Bitfarms termination fee is owed in connection with such termination, up to $5 million of the deposit would be deemed repaid by a corresponding $5 million reduction in the amount of the Bitfarms termination fee (the “parent termination fee offset”) and</w:t>
      </w:r>
    </w:p>
    <w:p>
      <w:pPr>
        <w:spacing w:after="0" w:line="5" w:lineRule="exact"/>
        <w:rPr>
          <w:sz w:val="20"/>
          <w:szCs w:val="20"/>
          <w:color w:val="auto"/>
        </w:rPr>
      </w:pPr>
    </w:p>
    <w:p>
      <w:pPr>
        <w:jc w:val="both"/>
        <w:ind w:left="460" w:right="459" w:hanging="6"/>
        <w:spacing w:after="0" w:line="253" w:lineRule="auto"/>
        <w:tabs>
          <w:tab w:leader="none" w:pos="7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Stronghold’s ability to issue shares under its at-the-market program during the interim period without Bitfarms’ consent. The parties and their legal advisors also began preparing and negotiating documentation for this arrangement, including an amendment no. 1 to the merger agreement to provide for the parent termination fee offset (“amendment no. 1”).</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3, 2024, Riot’s legal counsel, on behalf of Riot, delivered a letter to the Bitfarms Special Committee’s legal counsel amending Riot’s requisition. Pursuant to the amended requisition: (i) Riot withdrew as an item of business, the resolution proposed to remove Ben Gagnon from the Bitfarms board of directors and (ii) withdrew one of its three nominees for election to the Bitfarms board of directors.</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8, 2024, Mr. Usdin of Stronghold management sent the Stronghold board of directors an email update summarizing the proposed hosting agreement and amendment no. 1.</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9, 2024, Bitfarms announced that the Bitfarms Special Committee proposed the following settlement terms to Riot set out in a settlement agreement forwarded to Riot: the addition of one mutually agreed upon nominee to the Bitfarms board of directors resulting in an increase of the size of the Bitfarms board to six, and standstill and other customary provisions.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September 10, 2024, the Stronghold board of directors held a special meeting to discuss the hosting agreement and amendment no. 1, which meeting was attended by representatives of Stronghold management and V&amp;E. During the meeting, representatives of Stronghold management and V&amp;E summarized the terms of the hosting agreement and amendment no. 1. The Stronghold board of directors agreed that once documents were in final form, Stronghold management would send the final documents to the Stronghold board of directors for consideration and approval via written consent.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By the evening of September 11, 2024, the hosting agreement and amendment no. 1 were in final form, at which time Stronghold management sent such documents to the Stronghold board of directors for consideration and approval via written consent. Later that evening, the written consent was executed by all members of the Stronghold board of directors. In the written consent, the Stronghold board of directors reaffirmed its recommendation that the holders of Stronghold common stock approve and adopt the merger agreement and the transactions contemplated thereby, including the merger. Bitfarms management also sent the final forms of the hosting agreement and amendment no. 1 to the Bitfarms board of directors for consideration and approval via written consent. The written consent was executed by all members of the Bitfarms board of directors on September 12, 2024.</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12, 2024, following approval by the Bitfarms board of directors, Stronghold and Bitfarms executed the hosting agreement and amendment no. 1, which the parties announced on September 13, 2024, via a Form 8-K filed by Stronghold and a press release issued by Bitfarms.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In connection therewith, Riot filed a Form 62-103F1 disclosing that immediately prior to, and immediately after, entering into the Settlement Agreement, Riot beneficially owned 90,110,912 Bitfarms common shares, representing approximately 19.9% of the issued and outstanding Bitfarms common shares as at the date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Settlement Agreement became effective on September 23, 2024 and will terminate on the earlier of</w:t>
      </w:r>
    </w:p>
    <w:p>
      <w:pPr>
        <w:spacing w:after="0" w:line="27" w:lineRule="exact"/>
        <w:rPr>
          <w:sz w:val="20"/>
          <w:szCs w:val="20"/>
          <w:color w:val="auto"/>
        </w:rPr>
      </w:pPr>
    </w:p>
    <w:p>
      <w:pPr>
        <w:jc w:val="both"/>
        <w:ind w:left="460" w:right="479" w:hanging="6"/>
        <w:spacing w:after="0" w:line="253" w:lineRule="auto"/>
        <w:tabs>
          <w:tab w:leader="none" w:pos="6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following Bitfarms’ 2026 annual meeting of shareholders and (ii) June 1, 2026 (the “Term”). Notwithstanding the foregoing, no provision of the Settlement Agreement will be enforceable during any period of the Term that Riot owns, directly or indirectly, less than 7.5% of the issued and outstanding Bitfarms common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terms of the Settlement Agreement, among other things:</w:t>
      </w:r>
    </w:p>
    <w:p>
      <w:pPr>
        <w:spacing w:after="0" w:line="144" w:lineRule="exact"/>
        <w:rPr>
          <w:sz w:val="20"/>
          <w:szCs w:val="20"/>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stepped down from the Bitfarms board of directors.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appointed Amy Freedman to its board of directors, the Bitfarms Special Committee and the governance and nominating committee and compensation committee of the board of directors, effective as of the date of the Settlement Agreement.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Riot agreed to withdraw its June 24, 2024 requisition, as amended, and to accept customary standstill provisions for it and its affiliates during the Term, including the following (among other things and subject to certain exceptions): (A) without the approval of the Bitfarms board of directors, acquire or agree to acquire, or make any proposal or offer to acquire, directly or indirectly, any securities of Bitfarms or any of its affiliates if as a result thereof it would own 20% or more of the outstanding Bitfarms common shares, other than pursuant to a formal take-over bid that is not exempt from the formal take-over bid rules under Canadian securities laws (a “Formal Bid”);</w:t>
      </w:r>
    </w:p>
    <w:p>
      <w:pPr>
        <w:spacing w:after="0" w:line="2" w:lineRule="exact"/>
        <w:rPr>
          <w:rFonts w:ascii="Times New Roman" w:cs="Times New Roman" w:eastAsia="Times New Roman" w:hAnsi="Times New Roman"/>
          <w:sz w:val="17"/>
          <w:szCs w:val="17"/>
          <w:color w:val="auto"/>
        </w:rPr>
      </w:pPr>
    </w:p>
    <w:p>
      <w:pPr>
        <w:jc w:val="both"/>
        <w:ind w:left="1320" w:right="459" w:hanging="2"/>
        <w:spacing w:after="0" w:line="250" w:lineRule="auto"/>
        <w:tabs>
          <w:tab w:leader="none" w:pos="164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or agree to acquire or dispose, of any related financial instrument of Bitfarms or any of its affiliates; (C) deposit any Bitfarms common shares entitled to vote for the election of the Bitfarms board of directors (“Subject Securities”) in any voting trust or subject any such securities to any arrangement or agreement with respect to the voting of any such shares;</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any Subject Securities in a manner inconsistent with the provisions of the Settlement Agreement; (E) requisition a meeting of Bitfarms shareholders or put forward a shareholder proposal for the purpose of replacing or removing any Bitfarms director or otherwise altering the composition of the Bitfarms board of directors; (F) make or in any way participate in any solicitation of proxies to vote, or seek to advise or influence any other person with respect to the voting of, any securities of Bitfarms inconsistent with the provisions of the Settlement Agreement;</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the management, Bitfarms board of directors or corporate policies of Bitfarms or alter the corporate or governance structure of the Bitfarms board of directors or Bitfarms; (H) solicit, initiate or engage in any discussions or negotiations regarding, or enter into any agreement, commitment or understanding regarding, any take-over bid, tender or exchange offer, amalgamation, merger, arrangement or other business combination involving Bitfarms or any of its affiliates or any other acquisition of securities or assets of Bitfarms or any of its affiliates, other than for the sole purpose of Riot making a Formal Bid;</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65" w:lineRule="auto"/>
        <w:tabs>
          <w:tab w:leader="none" w:pos="157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 solicit or join as any party in litigation, arbitration, complaint or other proceeding against or involving Bitfarms or any of its affiliates or any of its of their respective current or former directors or officers; (J) make any public disclosure of any consideration, desire, intention, plan or arrangement in connection with any of the foregoing, other than in connection with a Formal Bid; or</w:t>
      </w:r>
    </w:p>
    <w:p>
      <w:pPr>
        <w:jc w:val="both"/>
        <w:ind w:left="1320" w:right="459" w:hanging="2"/>
        <w:spacing w:after="0" w:line="251" w:lineRule="auto"/>
        <w:tabs>
          <w:tab w:leader="none" w:pos="162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agreement or understanding with any other person to do any of the foregoing. The terms of the standstill provision in the Settlement Agreement will terminate automatically upon the earliest of the following: (x) any material breach of the Settlement Agreement by Bitfarms; (y) Bitfarms’ entry into a definitive written agreement with respect to any take-over bid, arrangement, amalgamation, merger, consolidation, acquisition, sale of all or substantially all assets, business combination, recapitalization, restructuring, liquidation, dissolution or similar extraordinary transaction involving Bitfarms that, if consummated, would result in the acquisition by any person or group of persons of more than 50% of the Bitfarms common shares or assets having an aggregate value exceeding 50% of the aggregate enterprise value of Bitfarms (each, an “Extraordinary Transaction”); and (z) the commencement of any take-over bid which, if consummated, would constitute an Extraordinary Transaction that would result in the acquisition by any person or group of more than 50% of the Bitfarms common shares, where the Bitfarms board of directors does not recommend that the Bitfarms’ shareholders reject such take-over bid.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Bitfarms special meeting of shareholders on November 20, 2024, Bitfarms shareholders were asked to approve an expansion of the Bitfarms board of directors from five members to six members, to elect an independent director nominated by the Bitfarms board of directors to serve as the sixth member of the Bitfarms board of directors and to ratify the Revised Rights Plan.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agreed to vote in favor of the matters to be approved by the Bitfarms shareholders at the Bitfarms special meeting.</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7"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provided Riot with pre-emptive rights, provided that Riot holds 15% or more of the outstanding Bitfarms common shares, to purchase all or a portion of its pro rata share of the issued and outstanding Bitfarms common shares (“Pro Rata Share”) in connection with the issuance of</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common shares, (B) any security (including debt instruments) convertible into any Bitfarms common shares (including any options to purchase such a convertible security), (C) any security carrying any warrant or right to subscribe for or purchase any Bitfarms common shares and</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63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warrant or right (collectively, the “Equity Securities”), subject to certain exceptions, that Bitfarms may, from time to time, propose to sell and issue (the “Offered Securities”). If Bitfarms proposes to sell or issue any Offered Securities, Bitfarms must, as soon as reasonably practicable after the public announcement of the proposed sale of the Offered Securities, but in any event at least ten (10) business days prior to the expected completion date of such issuance (or in the case of a fully underwritten offering on a bought deal basis, at least five (5) business days), give Riot a written notice of such intention describing the Offered Securities, the price and the terms and conditions upon which the Company propose to issue the same (subject to certain exceptions). Riot will have five (5) days (or in the case of a fully underwritten offering on a bought deal basis, at least two (2) business days) from the receipt of any such written notice to agree to purchase all or a portion of its Pro Rata Share of the Offered Securities by giving written notice to Bitfarms and stating therein the quantity of Equity Securities to be purchased. Notwithstanding the foregoing, if Bitfarms is not able to comply with, or it would be commercially impracticable to comply with, the time periods above prior to the closing of any such issuance, Bitfarms will comply with its obligations to Riot regarding its pre-emptive rights as promptly as reasonably practicable following the closing of such issuance. Riot’s pre-emptive rights do not apply to the merger consideration.</w:t>
      </w:r>
    </w:p>
    <w:p>
      <w:pPr>
        <w:spacing w:after="0" w:line="10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29, 2024, Bitfarms announced that the Bitfarms board of directors had nominated Andrew J. Chang for election to the Bitfarms board of directors at the Bitfarms special meeting.</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October 29, 2024, Stronghold Hosting and BMS entered into the second hosting agreement, pursuant to which the parties agreed on the following, among other things: (i) BMS would deliver approximately 10,000 Bitmain T21 or similar miners owned by BMS to Stronghold’s mining facilities, (ii) the second hosting agreement would be based on the same form as the hosting agreement, (iii) the second hosting agreement term would be through December 2025 and would remain in effect even if the merger agreement is terminated or if the merger fails to close and (iv) BMS would deposit with Stronghold Hosting a $7.8 million deposit under the second hosting agreement (equal to $70 per MW multiplied by 50 MW and ninety-three (93) days (three (3) months) and twenty-four (24) hours) and which would be repaid at the end of the second hosting agreement term in December 2025. The parties announced the second hosting agreement on October 31, 2024, via a Form 8-K filed by Stronghold and a press release issued by Bitfarms.</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November 20, 2024, at the Bitfarms special meeting, Bitfarms shareholders approved an expansion of the board of directors from five members to six members, elected Andrew J. Chang to serve as the sixth member of the Bitfarms board of directors, and ratified the Revised Rights Plan.</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entered into the Settlement Agreement,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executive officers. Information about Bitfarms’ executive officers is incorporated herein by reference from Bitfarms’ Annual Information Form, filed with the SEC as part of Amendment No. 1 to its Annual Report on Form 40-F for the year ended December 31,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Reasons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its meeting held on August 20, 2024, after due consideration and consultation with Bitfarms’ management and outside legal and financial advisors, the Bitfarms Special Committee unanimously recommended that the Bitfarms board of directors approve the merger agreement and the transactions contemplated thereby, including the merger. At the meeting of the Bitfarms board of directors on the same day, the Bitfarms board of directors unanimously approved the merger agreement and the transactions contemplated thereby. In doing so, the Bitfarms Special Committee and the Bitfarms board of directors re-confirmed the strategic considerations underlying the acquisition of Stronghold, including that the transaction could:</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Bitfarms’ access to power and integrate vertically, expand and rebalance its energy portfolio to approximately 50% in the U.S. by year-end 2025 by adding two strategically located power facilities, with flexibility to generate power or import power from the grid;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potential to participate in PJM’s economic demand response and ancillary programs subject to PJM and FERC approval. Stronghold is currently in the process of registering the mining facility co-located at the Scrubgrass Plant to participate in these programs. After the completion of the merger, Bitfarms intends to register the mining facility co-located at the Panther Creek Plant to participate in these programs. Under these programs, participants may voluntarily reduce energy consumption in response to high market prices in the energy market and get compensated for the amount of electricity they reduce. Accordingly, participating in these programs is expected to enhance Bitfarms’ ability to optimize electricity costs;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opportunity for a transformative fleet upgrade to improve efficiency and hash rate. As of June 30, 2024, Stronghold had a hash rate of 4.0 exahashes per second (“EH/s”) supported by Stronghold’s existing fleet of miners, which consists of models used since 2021 and 2022. These miners are less energy efficient than the current generation of miners, as they consume more than approximately double the energy per unit of hash rate compared to miners developed in 2024. Following the consummation of the merger, Bitfarms intends to replace Stronghold’s existing fleet of miners with new generation of Bitcoin mining equipment, which has the potential to bring the hash rate to approximately 10 EH/s in 2025 with these fleet upgrades;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high-performance computing/artificial intelligence (“HPC/AI”) with Bitcoin mining to boost profitability, due to the ability to expand the fiber-optic networks available at Stronghold’s existing sites. HPC/AI applications require high-speed, low-latency, and high-bandwidth data transmission, which fiber-optic cables are well-suited to provide. Expansive access to fiber-optic networks at Stronghold’s Scrubgrass Plant and Panther Creek Plant is expected to contribute to Bitfarms’ HPC/AI implementation strategy and allow for potential large-scale data center development;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technologies from Stronghold that generate power while also reducing the potential impacts associated with coal refuse and waste coal, which if not used as a fuel, could result in contamination to soil and groundwater and/or the uncontrolled release of air pollutants. With sustainable technology focused on environmental remediation and reclamation services, Stronghold generates electricity utilizing coal refuse and its primary fuel source is waste coal which is provided by various third parties. This technology creates environmentally beneficial operations because extracting coal refuse transforms the waste into power-generating material, which has the benefit of reclaiming the land and reducing the potential of heavy metal contamination of waterways and other types of pollution caused by coal refuse. Following the completion of the merger, Bitfarms intends to continue such environmentally beneficial operations; and</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favorable transaction economics through an all-stock deal structure while maintaining balance sheet strength to support future growth.</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making its determination, the Bitfarms Special Committee and the Bitfarms board of directors considered a number of factors, including, but not limited to,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Special Committee’s and the Bitfarms board of directors’ understanding of Stronghold’s business, assets, financial condition and results of operations, competitive position and historical and projected financial performance;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advice of its financial and legal advisors and the fact that legal, accounting and financial due diligence was conducted with respect to Stronghold’s operations and its corporate, financial and regulatory matters;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balanced valuation with the merger consideration reflecting the value of the Stronghold business and accounting for recent performance and the need to invest in Stronghold’s business in order to return it to growth;</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and will not be adjusted for fluctuations in the market price of Bitfarms common shares or Stronghold Class A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the transaction by key Stronghold stockholders;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Stronghold’s ability to solicit alternative business combination transactions and to provide confidential due diligence information to, or engage in discussions with, a third party interested in pursuing an alternative business combinations transaction with Stronghold, as further discussed in the section entitled “</w:t>
      </w:r>
      <w:r>
        <w:rPr>
          <w:rFonts w:ascii="Times New Roman" w:cs="Times New Roman" w:eastAsia="Times New Roman" w:hAnsi="Times New Roman"/>
          <w:sz w:val="18"/>
          <w:szCs w:val="18"/>
          <w:i w:val="1"/>
          <w:iCs w:val="1"/>
          <w:color w:val="auto"/>
        </w:rPr>
        <w:t>The Merger Agreement — No-Solicitation;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Stronghold to pay Bitfarms a termination fee of $5,000,000 and the obligation of Bitfarms to pay Stronghold a reverse termination fee of $12,500,000, upon termination of the merger agreement under specified circumstances, as further discussed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 of the Merger Agreement</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that the conditions to the merger will be satisfied.</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connection with its deliberations relating to the merger, the Bitfarms Special Committee and the Bitfarms board of directors also considered potential risks and negative factors concerning the merger and the other transactions contemplated by the merger agreement, including, but not limited to, the following:</w:t>
      </w:r>
    </w:p>
    <w:p>
      <w:pPr>
        <w:spacing w:after="0" w:line="95" w:lineRule="exact"/>
        <w:rPr>
          <w:sz w:val="20"/>
          <w:szCs w:val="20"/>
          <w:color w:val="auto"/>
        </w:rPr>
      </w:pPr>
    </w:p>
    <w:p>
      <w:pPr>
        <w:ind w:left="1320" w:right="45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closing conditions of the merger, including the risk that the merger might not be completed in a timely manner or at all;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the length of time from announcement until closing could have on the market price of Bitfarms common shares, Bitfarms’ operating results (particularly in light of the significant costs incurred in connection with the merger) and the relationships with Bitfarms’ employees, shareholders, customers, suppliers, regulators, partners and others that do business with Bitfarms;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benefits of the merger will not be realized in full or in part, including the risk that expected growth and expected cost savings will not be achieved or not achieved in the expected time frame;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the attention of Bitfarms’ senior management from other strategic priorities to implement the merger and make arrangements for integration of Bitfarms’ and Stronghold’s operations and infrastructure following the merger;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market price of Bitfarms common shares as a result of the issuance of the merger consideration to Stronghold stockholders;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Bitfarms will incur substantial transaction fees and costs in connection with the merger, which is currently estimated to be approximately $9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business transitions; and</w:t>
      </w:r>
    </w:p>
    <w:p>
      <w:pPr>
        <w:spacing w:after="0" w:line="15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After consideration of these factors, the Bitfarms Special Committee determined that, overall, the potential benefits of the merger outweighed the potential risks.</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Bitfarms Special Committee and the Bitfarms board of directors is not intended to be exhaustive but includes the material information and factors considered by the Bitfarms Special Committee and the Bitfarms board of directors in their consideration of the merger and the merger agreement. In view of the wide variety of factors considered in connection with its evaluation of the merger and the complexity of these matters, the Bitfarms Special Committee and the Bitfarms board of directors did not attempt to quantify, rank or otherwise assign any relative or specific weights to the factors that they considered in reaching their determination to approve the merger and the merger agreement. In addition, individual members of the Bitfarms Special Committee and the Bitfarms board of directors may have given differing weights to different factors. The Bitfarms Special Committee and the Bitfarms board of directors conducted an overall review of the factors described above and other material factors, including through discussions with, and inquiry of, Bitfarms’ management and outside legal and financial advisors.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foregoing description of Bitfarms’ consideration of the factors supporting the merger is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Stronghold’s Reasons for the Merger; Recommendation of the Stronghold Board of Directors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By unanimous vote, the Stronghold board of directors, at a meeting held on August 20, 2024, among other things,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w:t>
      </w:r>
    </w:p>
    <w:p>
      <w:pPr>
        <w:spacing w:after="0" w:line="3" w:lineRule="exact"/>
        <w:rPr>
          <w:sz w:val="20"/>
          <w:szCs w:val="20"/>
          <w:color w:val="auto"/>
        </w:rPr>
      </w:pPr>
    </w:p>
    <w:p>
      <w:pPr>
        <w:jc w:val="both"/>
        <w:ind w:left="460" w:right="479" w:hanging="6"/>
        <w:spacing w:after="0" w:line="255" w:lineRule="auto"/>
        <w:tabs>
          <w:tab w:leader="none" w:pos="8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to recommend that the holders of Stronghold common stock approve and adopt the merger agreement and the transactions contemplated thereby, including the merger. </w:t>
      </w:r>
      <w:r>
        <w:rPr>
          <w:rFonts w:ascii="Times New Roman" w:cs="Times New Roman" w:eastAsia="Times New Roman" w:hAnsi="Times New Roman"/>
          <w:sz w:val="18"/>
          <w:szCs w:val="18"/>
          <w:b w:val="1"/>
          <w:bCs w:val="1"/>
          <w:color w:val="auto"/>
        </w:rPr>
        <w:t>The Stronghold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unanimously recommends that Stronghold stockholders vote “FOR” the merger proposal.</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merger, the Stronghold board of directors consulted with Stronghold’s senior management, outside legal counsel and financial advisor. The Stronghold board of directors determined that entering into the merger agreement with Bitfarms provided the best reasonably available path towards maximizing stockholder value to Stronghold while mitigating risk, when compared to pursuing an alternative transaction or financing, or continuing as an independent company. In arriving at this determination and in recommending that the Stronghold stockholders vote their shares of Stronghold common stock in favor of adoption of the merger agreement with Bitfarms, the Stronghold board of directors considered a number of factors, including the following factors (not necessarily in order of relative importance) which the Stronghold board of directors viewed as being generally positive or favorable in coming to its determination, approval and related recommendation:</w:t>
      </w:r>
    </w:p>
    <w:p>
      <w:pPr>
        <w:spacing w:after="0" w:line="125" w:lineRule="exact"/>
        <w:rPr>
          <w:sz w:val="20"/>
          <w:szCs w:val="20"/>
          <w:color w:val="auto"/>
        </w:rPr>
      </w:pPr>
    </w:p>
    <w:p>
      <w:pPr>
        <w:jc w:val="both"/>
        <w:ind w:left="1320" w:right="459" w:hanging="434"/>
        <w:spacing w:after="0" w:line="255"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Exchange Ratio and Form of Merger Consideration</w:t>
      </w:r>
      <w:r>
        <w:rPr>
          <w:rFonts w:ascii="Times New Roman" w:cs="Times New Roman" w:eastAsia="Times New Roman" w:hAnsi="Times New Roman"/>
          <w:sz w:val="18"/>
          <w:szCs w:val="18"/>
          <w:color w:val="auto"/>
        </w:rPr>
        <w:t>. The value offered by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2.520 Bitfarms common shares for each share of Stronghold Class A common stock represents a 71% premium to the 90-day volume weighted average trading price of Stronghold Class A common stock immediately prior to the execution of the merger agreement. Additionally, the fixed exchange ratio will allow Stronghold stockholders to participate in any increase in value in Bitfarms common shares prior to closing of the merger. Further, the all-stock merger consideration will allow Stronghold stockholders to benefit from the potential longer-term economic appreciation of the combined company.</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Larger and More Liquid Market Capitalization</w:t>
      </w:r>
      <w:r>
        <w:rPr>
          <w:rFonts w:ascii="Times New Roman" w:cs="Times New Roman" w:eastAsia="Times New Roman" w:hAnsi="Times New Roman"/>
          <w:sz w:val="18"/>
          <w:szCs w:val="18"/>
          <w:color w:val="auto"/>
        </w:rPr>
        <w:t>. The combined company will have a larger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than Stronghold on a standalone basis and will be listed on the TSX and Nasdaq, increasing visibility, access to the capital markets and liquidity for Stronghold stockholders.</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Meaningful Ownership of the Combined Company</w:t>
      </w:r>
      <w:r>
        <w:rPr>
          <w:rFonts w:ascii="Times New Roman" w:cs="Times New Roman" w:eastAsia="Times New Roman" w:hAnsi="Times New Roman"/>
          <w:sz w:val="18"/>
          <w:szCs w:val="18"/>
          <w:color w:val="auto"/>
        </w:rPr>
        <w:t>. The Stronghold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with Bitfarms would allow the Stronghold stockholders to have a meaningful ownership interest in a larger enterprise, with an expected ownership of the combined company of up to 13.4%, based on the number of Bitfarms common shares outstanding at June 30, 2024.</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2" w:lineRule="auto"/>
        <w:tabs>
          <w:tab w:leader="none" w:pos="1315"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Alternatives Process; Alternative Transactions</w:t>
      </w:r>
      <w:r>
        <w:rPr>
          <w:rFonts w:ascii="Times New Roman" w:cs="Times New Roman" w:eastAsia="Times New Roman" w:hAnsi="Times New Roman"/>
          <w:sz w:val="18"/>
          <w:szCs w:val="18"/>
          <w:color w:val="auto"/>
        </w:rPr>
        <w:t>.The Stronghold board of directors considered the strategic alternative review process conducted by the Stronghold board of directors with the assistance of Cohen &amp; Co. Capital Markets, including that since January 2024 representatives of Cohen &amp; Co. Capital Markets and/or Stronghold’s management contacted 163 counterparties, including public and private companies, Bitcoin miners, various types of data center operators and developers, power companies and credit providers, regarding a strategic transaction with Stronghold as part of the Stronghold board of directors’ exploration of strategic alternatives. Stronghold also publicly announced on May 2, 2024 that the Stronghold board of directors was reviewing strategic alternatives while announcing its first quarter of 2024 financial and operational results. The Stronghold board of directors considered, with the assistance of Stronghold’s management and advisors, the potential for and benefits of alternative transactions and financings based on several preliminary, non-binding indications of interest received in connection with Stronghold’s exploration of strategic alternatives, and concluded that (i) it was unlikely that an alternative transaction would provide more long-term value to the Stronghold stockholders than the merger and (ii) no actionable financing transactions had materialized, and those that had the potential to materialize would cause dilution to Stronghold stockholders and carry significant execution and timing risks. For further discussion regarding the consideration of alternative transactions by Stronghold, please see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beginning on page 39.</w:t>
      </w:r>
    </w:p>
    <w:p>
      <w:pPr>
        <w:spacing w:after="0" w:line="340" w:lineRule="exact"/>
        <w:rPr>
          <w:rFonts w:ascii="Times New Roman" w:cs="Times New Roman" w:eastAsia="Times New Roman" w:hAnsi="Times New Roman"/>
          <w:sz w:val="18"/>
          <w:szCs w:val="18"/>
          <w:i w:val="1"/>
          <w:iCs w:val="1"/>
          <w:color w:val="auto"/>
        </w:rPr>
      </w:pPr>
    </w:p>
    <w:p>
      <w:pPr>
        <w:jc w:val="both"/>
        <w:ind w:left="1320" w:right="459" w:hanging="434"/>
        <w:spacing w:after="0" w:line="255"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Strategic/Financial Rationale for Merger; Combined Company Management</w:t>
      </w:r>
      <w:r>
        <w:rPr>
          <w:rFonts w:ascii="Times New Roman" w:cs="Times New Roman" w:eastAsia="Times New Roman" w:hAnsi="Times New Roman"/>
          <w:sz w:val="18"/>
          <w:szCs w:val="18"/>
          <w:color w:val="auto"/>
        </w:rPr>
        <w:t>.The combined company will have a more robust platform than the two companies operating separately due to, among other things, vertically integrated power generation, immediate platform expansion in the United States, increased expansion potential generally, environmental reclamation capabilities, and a strategic and versatile energy portfolio, including a flexible power strategy with the ability to draw power from various sources. The Stronghold board of directors also considered the strength of the Bitfarms management team, which is expected to lead the combined company following closing.</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Profile and Cost of Capital</w:t>
      </w:r>
      <w:r>
        <w:rPr>
          <w:rFonts w:ascii="Times New Roman" w:cs="Times New Roman" w:eastAsia="Times New Roman" w:hAnsi="Times New Roman"/>
          <w:sz w:val="18"/>
          <w:szCs w:val="18"/>
          <w:color w:val="auto"/>
        </w:rPr>
        <w:t>. The combined company will have an enhanced credit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Stronghold’s credit profile, which is expected to result in significantly better and differentiated access to capital and at a lower cost of capital than would be realized by Stronghold on a standalone basis.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Improves Liquidity, Increases Potential for Growth, and Reduces Current Liquidity Concerns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will retain a strong liquidity position, allowing Bitfarms to unlock the value potential of Stronghold’s assets, facilitating significant growth and permitting Stronghold’s stockholders to participate in this growth through their ownership of the combined company. Moreover, absent the merger, Stronghold would likely face significant liquidity concerns, including the need to refinance its existing debt or raise capital on terms that may be unfavorable to Stronghold and its stockholders.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WholeCo” Transaction</w:t>
      </w:r>
      <w:r>
        <w:rPr>
          <w:rFonts w:ascii="Times New Roman" w:cs="Times New Roman" w:eastAsia="Times New Roman" w:hAnsi="Times New Roman"/>
          <w:sz w:val="18"/>
          <w:szCs w:val="18"/>
          <w:color w:val="auto"/>
        </w:rPr>
        <w:t>.The merger represents a “WholeCo” transaction, or transaction to acquire the entire company, which avoids significant risks of implementation, increased regulatory approvals, the potential for a separate transaction process regarding certain assets of the Company and value leakage associated with an asset sale and liquidation.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Support; TRA Waiver and Termination Agreement</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support of the merger by certain stockholders of Stronghold, as evidenced by the execution of the voting agreement, and that such stockholders are receiving the same per-share Stronghold Class A common stock consideration in the merger as all other Stronghold stockholders generally. Additionally, the Stronghold board of directors considered the fact that certain stockholders of Stronghold have waived their rights to receive any payments under the TRA, to be effective at, and contingent upon, the closing of the merger, as evidenced by the execution of the TRA Waiver and Termination Agreement. For more information, please see “</w:t>
      </w:r>
      <w:r>
        <w:rPr>
          <w:rFonts w:ascii="Times New Roman" w:cs="Times New Roman" w:eastAsia="Times New Roman" w:hAnsi="Times New Roman"/>
          <w:sz w:val="18"/>
          <w:szCs w:val="18"/>
          <w:i w:val="1"/>
          <w:iCs w:val="1"/>
          <w:color w:val="auto"/>
        </w:rPr>
        <w:t>The 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 The Voting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Supporting Agreements — The TRA Waiver and Termination Agreement</w:t>
      </w:r>
      <w:r>
        <w:rPr>
          <w:rFonts w:ascii="Times New Roman" w:cs="Times New Roman" w:eastAsia="Times New Roman" w:hAnsi="Times New Roman"/>
          <w:sz w:val="18"/>
          <w:szCs w:val="18"/>
          <w:color w:val="auto"/>
        </w:rPr>
        <w:t>” beginning on pages 107 and 108, respectively.</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Opinion of Stronghold’s Financial Advisor</w:t>
      </w:r>
      <w:r>
        <w:rPr>
          <w:rFonts w:ascii="Times New Roman" w:cs="Times New Roman" w:eastAsia="Times New Roman" w:hAnsi="Times New Roman"/>
          <w:sz w:val="18"/>
          <w:szCs w:val="18"/>
          <w:color w:val="auto"/>
        </w:rPr>
        <w:t>. The Stronghold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presentation and opinion of Cohen &amp; Co. Capital Markets, dated August 20, 2024, to the Stronghold board of directors that, as of the date of the opinion, the exchange ratio to be received by holders of Stronghold Class A common stock, in their capacity as such, pursuant to the merger agreement, is fair, from a financial point of view, to such holders (other than Bitfarms, Merger Sub, and their respective affiliates), which opinion was based on and subject to various assumptions made, procedures followed,</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matters considered and limitations and qualifications on the review undertaken by Cohen &amp; Co. Capital Markets as more fully described below under the heading “</w:t>
      </w:r>
      <w:r>
        <w:rPr>
          <w:rFonts w:ascii="Times New Roman" w:cs="Times New Roman" w:eastAsia="Times New Roman" w:hAnsi="Times New Roman"/>
          <w:sz w:val="18"/>
          <w:szCs w:val="18"/>
          <w:i w:val="1"/>
          <w:iCs w:val="1"/>
          <w:color w:val="auto"/>
        </w:rPr>
        <w:t>— Opinion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 59.</w:t>
      </w:r>
    </w:p>
    <w:p>
      <w:pPr>
        <w:spacing w:after="0" w:line="106" w:lineRule="exact"/>
        <w:rPr>
          <w:sz w:val="20"/>
          <w:szCs w:val="20"/>
          <w:color w:val="auto"/>
        </w:rPr>
      </w:pPr>
    </w:p>
    <w:p>
      <w:pPr>
        <w:jc w:val="both"/>
        <w:ind w:left="1320" w:right="459" w:hanging="434"/>
        <w:spacing w:after="0" w:line="254"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 Arm’s-Length</w:t>
      </w:r>
      <w:r>
        <w:rPr>
          <w:rFonts w:ascii="Times New Roman" w:cs="Times New Roman" w:eastAsia="Times New Roman" w:hAnsi="Times New Roman"/>
          <w:sz w:val="18"/>
          <w:szCs w:val="18"/>
          <w:color w:val="auto"/>
        </w:rPr>
        <w:t>. The Stronghold board of directors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with Stronghold’s legal advisors, and considered that the terms of the merger agreement, taken as a whole, including the parties’ representations, warranties and covenants, the conditions to closing, the circumstances under which the merger agreement may be terminated, and the termination fees payable in connection with a termination of the merger agreement, in its belief, are reasonable. The Stronghold board of directors also considered that the terms of the merger agreement were the result of robust arm’s-length negotiations conducted by Stronghold, with the knowledge and at the direction of the Stronghold board of directors and with the assistance of experienced legal and financial advisors.</w:t>
      </w:r>
    </w:p>
    <w:p>
      <w:pPr>
        <w:spacing w:after="0" w:line="123" w:lineRule="exact"/>
        <w:rPr>
          <w:sz w:val="20"/>
          <w:szCs w:val="20"/>
          <w:color w:val="auto"/>
        </w:rPr>
      </w:pPr>
    </w:p>
    <w:p>
      <w:pPr>
        <w:jc w:val="both"/>
        <w:ind w:left="460" w:right="459"/>
        <w:spacing w:after="0" w:line="289" w:lineRule="auto"/>
        <w:rPr>
          <w:sz w:val="20"/>
          <w:szCs w:val="20"/>
          <w:color w:val="auto"/>
        </w:rPr>
      </w:pPr>
      <w:r>
        <w:rPr>
          <w:rFonts w:ascii="Times New Roman" w:cs="Times New Roman" w:eastAsia="Times New Roman" w:hAnsi="Times New Roman"/>
          <w:sz w:val="17"/>
          <w:szCs w:val="17"/>
          <w:color w:val="auto"/>
        </w:rPr>
        <w:t>The Stronghold board of directors also considered and balanced against the potentially positive factors a number of uncertainties, risks and factors it deemed potentially negative or unfavorable in making its determination, approval and related recommendation, including the following (not necessarily in order of relative importance):</w:t>
      </w:r>
    </w:p>
    <w:p>
      <w:pPr>
        <w:spacing w:after="0" w:line="75" w:lineRule="exact"/>
        <w:rPr>
          <w:sz w:val="20"/>
          <w:szCs w:val="20"/>
          <w:color w:val="auto"/>
        </w:rPr>
      </w:pPr>
    </w:p>
    <w:p>
      <w:pPr>
        <w:jc w:val="both"/>
        <w:ind w:left="1320" w:right="459" w:hanging="434"/>
        <w:spacing w:after="0" w:line="255"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The Stronghold board of directors considered that, because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based on a fixed exchange ratio rather than a fixed value, Stronghold stockholders bear the risk of a decrease in the trading price of Bitfarms common shares during the pendency of the merger and the fact that the merger agreement does not provide Stronghold with a value-based termination right or an adjustment to the consideration received. Further, as the merger consideration consists of Bitfarms common shares, the value of such consideration is subject to certain risks related to the business and financial condition of Bitfarms, as more fully described in the section entitled “</w:t>
      </w:r>
      <w:r>
        <w:rPr>
          <w:rFonts w:ascii="Times New Roman" w:cs="Times New Roman" w:eastAsia="Times New Roman" w:hAnsi="Times New Roman"/>
          <w:sz w:val="18"/>
          <w:szCs w:val="18"/>
          <w:i w:val="1"/>
          <w:iCs w:val="1"/>
          <w:color w:val="auto"/>
        </w:rPr>
        <w:t>Risk Factors — Risks Relating to Bitfarms’ Business</w:t>
      </w:r>
      <w:r>
        <w:rPr>
          <w:rFonts w:ascii="Times New Roman" w:cs="Times New Roman" w:eastAsia="Times New Roman" w:hAnsi="Times New Roman"/>
          <w:sz w:val="18"/>
          <w:szCs w:val="18"/>
          <w:color w:val="auto"/>
        </w:rPr>
        <w:t>” beginning on page 31.</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Stronghold board of directors considered the restrictions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Stronghold’s and its subsidiaries’ businesses during the period between the execution of the merger agreement and the completion of the merger as set forth in the merger agreement, including that Stronghold must conduct its business only in the ordinary course, subject to specific limitations, which could negatively impact Stronghold’s ability to pursue certain business opportunities or strategic transactions.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the Timing and Pendency of the Merger</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the announcement and pendency of the merger and the amount of time that may be required to consummate the merger, including, without limitation, the likelihood of litigation or other opposition brought by or on behalf of Stronghold stockholders or Bitfarms shareholders challenging the merger and the other transactions contemplated by the merger agreement, the closing conditions contained in the merger agreement, and the fact that the completion of the merger depends on factors outside of Stronghold’s or Bitfarms’ control. The Stronghold board of directors also considered the risks and costs to Stronghold if the completion of the merger is not accomplished in a timely manner or if the merger does not close at all, either of which could have an adverse impact on Stronghold, including potential employee attrition, the impact on Stronghold’s relationships with third parties and the effect termination of the merger agreement may have on the trading price and volumes of Stronghold’s Class A common stock and Stronghold’s operating results.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Potential Bitfarms Governance Changes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potential governance changes at Bitfarms prior to closing, including the possibility that a majority of the Bitfarms board of directors may be replaced during the pendency of the merger.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Failure to Achieve Synergies or Anticipated Benefits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potential challenges and difficulties in integrating the business, operations and workforce of Stronghold into those of Bitfarms and the risk that anticipated cost synergies and operational efficiencies between the two companies, or other anticipated benefits of the merger, might not be realized or might take longer to realize than expected.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Alternative Proposals</w:t>
      </w:r>
      <w:r>
        <w:rPr>
          <w:rFonts w:ascii="Times New Roman" w:cs="Times New Roman" w:eastAsia="Times New Roman" w:hAnsi="Times New Roman"/>
          <w:sz w:val="18"/>
          <w:szCs w:val="18"/>
          <w:color w:val="auto"/>
        </w:rPr>
        <w:t>. The Stronghold board of directors considered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the non-solicitation covenants, including the fact that Stronghold would be prohibited from, engaging discussions with respect to, furnishing nonpublic information in connection with, or entering</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into a letter of intent or agreement providing for a competing proposal, subject to certain exceptions. For more information, please see “</w:t>
      </w:r>
      <w:r>
        <w:rPr>
          <w:rFonts w:ascii="Times New Roman" w:cs="Times New Roman" w:eastAsia="Times New Roman" w:hAnsi="Times New Roman"/>
          <w:sz w:val="18"/>
          <w:szCs w:val="18"/>
          <w:i w:val="1"/>
          <w:iCs w:val="1"/>
          <w:color w:val="auto"/>
        </w:rPr>
        <w:t>The Merger Agreement —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beginning on page 96.</w:t>
      </w:r>
    </w:p>
    <w:p>
      <w:pPr>
        <w:spacing w:after="0" w:line="106" w:lineRule="exact"/>
        <w:rPr>
          <w:sz w:val="20"/>
          <w:szCs w:val="20"/>
          <w:color w:val="auto"/>
        </w:rPr>
      </w:pPr>
    </w:p>
    <w:p>
      <w:pPr>
        <w:jc w:val="both"/>
        <w:ind w:left="1320" w:right="459" w:hanging="434"/>
        <w:spacing w:after="0" w:line="254"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 Stronghold board of directors considered that,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Stronghold board of directors changes its recommendation to the Stronghold stockholders to approve and adopt the merger agreement and the transactions contemplated thereby, including the merger, Stronghold is still required to hold a stockholder vote on the adoption of the merger proposal and the Stronghold stockholders that are party to the voting agreement would continue to be obligated to vote in favor of the merger proposal, in each case, unless Stronghold terminates the merger agreement to enter into a definitive agreement with respect to a superior proposal. For more information,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.The Stronghold board of directors considered that, under specified circumstances, Stronghold may be required to pay a termination fee in the event the merger agreement is terminated and the effect this could have on Stronghold. For further discussion regarding the circumstances in which Stronghold would be required to pay the termination fee to Bitfarms,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Stronghold’s Directors and Executive Officers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Stronghold’s directors and executive officers may have interests in the merger that may be different from, or in addition to, those of the Stronghold stockholders generally. For more information about such interests, see below under the heading “</w:t>
      </w:r>
      <w:r>
        <w:rPr>
          <w:rFonts w:ascii="Times New Roman" w:cs="Times New Roman" w:eastAsia="Times New Roman" w:hAnsi="Times New Roman"/>
          <w:sz w:val="18"/>
          <w:szCs w:val="18"/>
          <w:i w:val="1"/>
          <w:iCs w:val="1"/>
          <w:color w:val="auto"/>
        </w:rPr>
        <w:t>— Interests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72.</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The Stronghold board of directors considered the substantial transaction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entering into the merger agreement and the completion of the merger, including those incurred regardless of whether the merger is completed, as well as the possible diversion of management and employee time and energy, potential opportunity cost and disruption of Stronghold’s business operations.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Stronghold board of directors considered the potential for litigation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the associated costs, burden and inconvenience involved in defending those proceedings.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7"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Stronghold board of directors considered risks of the type and nature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21 and 12,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Stronghold board of directors considered all of these factors as a whole, as well as others, and, on balance, concluded that the potential benefits of the merger to Stronghold stockholders outweighed the risks, uncertainties, restrictions and potentially negative factors associated with the merger.</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discussion of factors considered by the Stronghold board of directors is not intended to be exhaustive but is meant to include material factors considered by the Stronghold board of directors in evaluating the merger agreement and the transactions contemplated thereby, including the merger. The Stronghold board of directors collectively reached the conclusion to approve the merger agreement in light of the various factors described above and other factors that the members of the Stronghold board of directors believed were appropriate. In light of the variety of factors considered in connection with its evaluation of the merger, the Stronghold board of directors did not find it practicable to, and did not, quantify or otherwise assign relative weights to the specific factors considered in reaching its determinations and recommendations. Moreover, each member of the Stronghold board of directors applied his or her own personal business judgment to the process and may have given different weight to different factors. The Stronghold board of directors did not undertake to make any specific determination as to whether any factor, or any particular aspect of any factor, supported or did not support its ultimate determination. The Stronghold board of directors based its recommendation on the totality of the information available to it, including discussions with Stronghold’s management and outside legal and financial advisors.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Stronghold board of directors and certain information presented in this section is forward-looking in nature and should be read in light of the factors set forth in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12.</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Stronghold retained Cohen &amp; Co. Capital Markets, as its financial advisor in connection with the proposed merger.</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At the meeting of the Stronghold board of directors on August 20, 2024, Cohen &amp; Co. Capital Markets rendered its oral opinion to the Stronghold board of directors that, as of such date and based upon and subject to the assumptions, qualifications, limitations and other matters set forth in Cohen &amp; Co. Capital Markets written opinion, the exchange ratio in the proposed merger was fair, from a financial point of view, to the holders of Stronghold Class A common stock. Cohen &amp; Co. Capital Markets subsequently confirmed its oral opinion by delivering its written opinion, dated August 20, 2024, to the Stronghold board of directors, that, as of such date, the exchange ratio in the proposed merger was fair, from a financial point of view, to the holders of Stronghold Class A common stock (other than Bitfarms, Merger Sub and their respective affiliates).</w:t>
      </w:r>
    </w:p>
    <w:p>
      <w:pPr>
        <w:spacing w:after="0" w:line="12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Cohen &amp; Co. Capital Markets, which sets forth the assumptions made, matters considered, and limits on the review undertaken, is attached as Annex E to this proxy statement/prospectus and is incorporated by reference herein. The summary of the opinion of Cohen &amp; Co. Capital Markets set forth in this proxy statement/prospectus is qualified in its entirety by reference to the full text of such opinion. Stronghold stockholders are urged to read the opinion in its entirety.</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Cohen &amp; Co. Capital Markets’ written opinion was addressed to the Stronghold board of directors (in its capacity as such) in connection with and for the purposes of its evaluation of the proposed merger, was directed only to fairness, from a financial point of view, of the exchange ratio to the holders of Stronghold Class A common stock (other than Bitfarms, Merger Sub and their respective affiliates) in the proposed merger and did not address any other aspect of the proposed merger. Cohen &amp; Co. Capital Markets expressed no opinion as to the fairness of any consideration to be paid in connection with the proposed merger to the holders of any other class of securities, creditors or other constituencies of Stronghold or as to the underlying decision by Stronghold to engage in the proposed merger. The issuance of Cohen &amp; Co. Capital Markets’ opinion was approved by a fairness committee of J.V.B. Financial Group, LLC. The opinion did not and does not constitute a recommendation to any Stronghold stockholder as to how such Stronghold stockholder should vote with respect to the proposed merger or any other matter.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its opinion, Cohen &amp; Co. Capital Markets, among other things:</w:t>
      </w:r>
    </w:p>
    <w:p>
      <w:pPr>
        <w:spacing w:after="0" w:line="158" w:lineRule="exact"/>
        <w:rPr>
          <w:sz w:val="20"/>
          <w:szCs w:val="20"/>
          <w:color w:val="auto"/>
        </w:rPr>
      </w:pPr>
    </w:p>
    <w:p>
      <w:pPr>
        <w:ind w:left="1320" w:hanging="434"/>
        <w:spacing w:after="0"/>
        <w:tabs>
          <w:tab w:leader="none" w:pos="1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4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business and financial information about Stronghold and Bitfarms;</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Stronghold’s management, including financial forecasts and analyses, relating to the business, operations and prospects of Stronghold and Bitfarms;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Bitfarms’ management, including financial forecasts and analyses, relating to the business, operations and prospects of Bitfarms and Stronghold’s management analysis of Bitfarms’ financial forecasts and analysis;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Stronghold and Bitfarms concerning the matters described in the bullets immediately above;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Stronghold Class A common stock and the Bitfarms common shares and compared them with those of certain publicly traded companies that Cohen &amp; Co. Capital Markets deemed relevant;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proposed merger with the financial terms of certain other transactions that Cohen &amp; Co. Capital Markets deemed relevant;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Cohen &amp; Co. Capital Markets deemed appropriate.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addition, Cohen &amp; Co. Capital Markets held discussions with certain members of the management of Stronghold and Bitfarms with respect to certain aspects of the proposed merger, and the past and current business operations of Stronghold and Bitfarms, the financial condition and future prospects and operations of Stronghold and Bitfarms, the effects of the proposed merger on the financial condition and future prospects of Stronghold and Bitfarms, and certain other matters Cohen &amp; Co. Capital Markets believed necessary or appropriate to its inquiry.</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giving its opinion, Cohen &amp; Co. Capital Markets relied upon and assumed, with the knowledge and permission of the Stronghold board of directors, the accuracy and completeness of all information that was publicly available or was furnished to or discussed with Cohen &amp; Co. Capital Markets by Stronghold and Bitfarms or otherwise reviewed by or for Cohen &amp; Co. Capital Markets. Cohen &amp; Co. Capital Markets did not independently verify any such information or its accuracy or completeness and, pursuant to Cohen &amp; Co. Capital Markets’ engagement letter with Stronghold, Cohen &amp; Co. Capital Markets did not assume any obligation to undertake any such independent verification. Cohen &amp; Co. Capital Markets did not conduct and was not provided with any independent evaluation or appraisal of any assets or liabilities, nor did Cohen &amp; Co. Capital Markets conduct a physical inspection of any of the properties or facilities of Stronghold. Cohen &amp; Co. Capital Markets was not furnished with any such evaluations or appraisals of such physical inspections, and Cohen &amp; Co. Capital Markets does not assume any responsibility to obtain any such evaluations or appraisals. In relying on financial analyses and forecasts provided to Cohen &amp; Co. Capital Markets (or analyses or forecasts derived therefrom) and examined by Cohen &amp; Co. Capital Markets, Cohen &amp; Co. Capital Markets assumed, with the knowledge and permission of the Stronghold board of directors, that they were reasonably prepared on bases reflecting the best currently available estimates and good faith judgments by management as to the expected future results of operations and financial condition of Stronghold and Bitfarms to which such analyses or forecasts relate. Cohen &amp; Co. Capital Markets expressed no view as to such analyses or forecasts or the assumptions on which they were based. Cohen &amp; Co. Capital Markets is not a legal, regulatory or tax expert and relied on the assessments made by advisors to Stronghold and Stronghold’s board of directors with respect to such issues. Cohen &amp; Co. Capital Markets further assumed, with the knowledge and permission of the Stronghold board of directors, that the proposed merger would be consummated in accordance with the terms of the merger agreement, without any waiver, modification or amendment of any term, condition or agreement that would be material to Cohen &amp; Co. Capital Markets’ analysis. Cohen &amp; Co. Capital Markets also assumed, with the knowledge and permission of the Stronghold board of directors, all material governmental, regulatory or other consents and approvals necessary for the consummation of the proposed merger will be obtained without any adverse effect on Stronghold or Bitfarms or on the contemplated benefits of the proposed merger. Cohen &amp; Co. Capital Markets also assumed that the representations and warranties made by Stronghold, Bitfarms and any of their respective affiliates in the merger agreement and the related agreements were and will be true and correct in all respects material to its analysis.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projections for Stronghold and Bitfarms furnished to Cohen &amp; Co. Capital Markets and used for purposes of its analyses were prepared by Stronghold management or Bitfarms management, as applicable, as discussed more fully in 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 Prospective Financial Information</w:t>
      </w:r>
      <w:r>
        <w:rPr>
          <w:rFonts w:ascii="Times New Roman" w:cs="Times New Roman" w:eastAsia="Times New Roman" w:hAnsi="Times New Roman"/>
          <w:sz w:val="18"/>
          <w:szCs w:val="18"/>
          <w:color w:val="auto"/>
        </w:rPr>
        <w:t>” beginning on pages 67 and 70, respectively. Stronghold management does not publicly disclose internal management projections of the type provided to Cohen &amp; Co. Capital Markets in connection with Cohen &amp; Co. Capital Markets’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as discussed more fully in the section entitled “</w:t>
      </w:r>
      <w:r>
        <w:rPr>
          <w:rFonts w:ascii="Times New Roman" w:cs="Times New Roman" w:eastAsia="Times New Roman" w:hAnsi="Times New Roman"/>
          <w:sz w:val="18"/>
          <w:szCs w:val="18"/>
          <w:i w:val="1"/>
          <w:iCs w:val="1"/>
          <w:color w:val="auto"/>
        </w:rPr>
        <w:t>Risk Factors — The projections and forecasts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presented in this proxy statement/prospectus may not be an indication of the actual results of the merger or Stronghold’s or Bitfarms’ future results</w:t>
      </w:r>
      <w:r>
        <w:rPr>
          <w:rFonts w:ascii="Times New Roman" w:cs="Times New Roman" w:eastAsia="Times New Roman" w:hAnsi="Times New Roman"/>
          <w:sz w:val="18"/>
          <w:szCs w:val="18"/>
          <w:color w:val="auto"/>
        </w:rPr>
        <w:t>.” For more information regarding the use of projections, please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beginning on pages 67 and 70, respectively.</w:t>
      </w:r>
    </w:p>
    <w:p>
      <w:pPr>
        <w:spacing w:after="0" w:line="11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Cohen &amp; Co. Capital Markets’ opinion was necessarily based on economic, monetary, regulatory, market and other conditions as in effect on, and the information made available to Cohen &amp; Co. Capital Markets as of, the date of such opinion. Cohen &amp; Co. Capital Markets’ opinion noted that subsequent developments may affect Cohen &amp; Co. Capital Markets’ opinion, and that Cohen &amp; Co. Capital Markets does not have any obligation to update, revise, or reaffirm such opinion. Cohen &amp; Co. Capital Markets’ opinion was limited to the fairness, from a financial point of view, of the exchange ratio in the proposed merger to the holders of Stronghold Class A common stock (other than Bitfarms,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Merger Sub and their respective affiliates), and Cohen &amp; Co. Capital Markets has expressed no opinion as to the fairness of any consideration to be paid in connection with the proposed merger to the holders of any other class of securities, creditors or other constituencies of Stronghold or the relative merits of the transactions contemplated by the merger agreement as compared to any alternative transaction or opportunity that might be available to Stronghold, or the underlying business decision by Stronghold to engage in the proposed merger or the terms of the merger agreement or the documents referred to therein. Furthermore, Cohen &amp; Co. Capital Markets expressed no view or opinion as to the fairness, financial or otherwise, of the amount or nature of any compensation payable or to be received by any of Stronghold’s officers, directors or employees, or any class of such persons, in connection with the proposed merger relative to the exchange ratio to be received by holders of shares of Stronghold Class A common stock (other than Bitfarms, Merger Sub and their respective affiliates). Cohen &amp; Co. Capital Markets expressed no opinion as to the price at which the shares of Stronghold Class A common stock will trade at any future time.</w:t>
      </w:r>
    </w:p>
    <w:p>
      <w:pPr>
        <w:spacing w:after="0" w:line="122"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terms of the merger agreement, including the exchange ratio, were determined through arm’s-length negotiations between Stronghold and Bitfarms, and the decision to enter into the merger agreement was solely that of the Stronghold board of directors and Bitfarms board of directors. Cohen &amp; Co. Capital Markets’ opinion and financial analyses were only one of the many factors considered by the Stronghold board of directors in its evaluation of the proposed merger and should not be viewed as determinative of the views of the Stronghold board of directors or Stronghold management with respect to the proposed merger or the exchange ratio.</w:t>
      </w:r>
    </w:p>
    <w:p>
      <w:pPr>
        <w:spacing w:after="0" w:line="10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Cohen &amp; Co. Capital Markets was not authorized to and did not solicit any expressions of interest from any other parties with respect to the sale of all or any part of Stronghold or any other alternative transaction.</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Cohen &amp; Co. Capital Markets employed generally accepted valuation methods in rendering its opinion to the Stronghold board of directors on August 20, 2024. The following is a summary of the material financial analyses undertaken by Cohen &amp; Co. Capital Markets in connection with the production and delivery of its opinion to the Stronghold board of directors, and as contained in the presentation provided to the Stronghold board of directors on August 20, 2024. The following does not purport to be a complete description of the analyses or data presented by Cohen &amp; Co. Capital Markets. Some of the summaries of the financial analyses include information presented in tabular format. The tables are not intended to stand alone, and, in order to more fully understand the financial analyses used by Cohen &amp; Co. Capital Markets,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Cohen &amp; Co. Capital Markets’ analyses.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Stronghold with similar data for selected publicly traded companies engaged in businesses that Cohen &amp; Co. Capital Markets judged to be analogous to the business of Stronghold. These companies were selected, among other reasons, because they are publicly traded companies with operations and businesses that, for purposes of Cohen &amp; Co. Capital Markets’ analysis and in its judgment, were considered sufficiently similar to that of Stronghold based on business sector participation, operational characteristics and financial metrics. However, none of the selected companies reviewed is identical to Stronghold and certain of these companies may have financial and operating characteristics that are materially different from those of Stronghold.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such projected hashrates were publicly reported prior to August 19, 2024. The enterprise value (“EV”) of each selected company was calculated as the market value of such company’s fully diluted common equity, with outstanding options treated with the treasury stock method,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2024E Year-End</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Stronghold an (i) EV/2024E Year-End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Stronghold’s 3.0 EH/s 2024E YE Proprietary hashrate. This analysis indicated an implied price per share of Stronghold Class A common stock of $2.16 to $6.90,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Stronghold’s 2025E EBITDA of $22.8 million. This analysis indicated an implied price per share of Stronghold Class A common stock of $0.97 to $4.54,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Stronghold Class A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present value refers to the current value of the future cash flows generated by an asset and is obtained by discounting those future cash flows back to the present using an appropriate discount rate. As used in this section entitled “— Opinion of Stronghold’s Financial Advisor,” terminal value refers to the present value of all future cash flows generated by an asset for periods beyond the projections period.</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Cohen &amp; Co. Capital Markets calculated the unlevered free cash flows that Stronghold is expected to generate during fiscal years 2024 through 2032 using certain unaudited prospective financial information provided by Stronghold management as described in the section entitled “— </w:t>
      </w:r>
      <w:r>
        <w:rPr>
          <w:rFonts w:ascii="Times New Roman" w:cs="Times New Roman" w:eastAsia="Times New Roman" w:hAnsi="Times New Roman"/>
          <w:sz w:val="18"/>
          <w:szCs w:val="18"/>
          <w:i w:val="1"/>
          <w:iCs w:val="1"/>
          <w:color w:val="auto"/>
        </w:rPr>
        <w:t>Stronghold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67.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by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applying terminal growth rates ranging from 2.0% to 4.0% to the unlevered free cash flows of Stronghold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16.5% to 18.5%, which was based upon an analysis of the weighted average cost of capital of Stronghold and a perpetuity growth rate range of 2.0% to 4.0%. The present value of the unlevered free cash flows and the range of terminal values were then adjusted for the net debt balance of Stronghold as of June 30, 2024 (as provided by Stronghold management) and divided by Stronghold’s fully diluted shares outstanding (calculated using the treasury stock method). Stronghold’s net debt was calculated by subtracting Stronghold’s total cash and cash equivalents and the market value of its digital assets from its short-term and long-term debt.</w:t>
      </w:r>
    </w:p>
    <w:p>
      <w:pPr>
        <w:spacing w:after="0" w:line="12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Stronghold Class A common stock of $7.28 to $10.20,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Multiples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Cohen &amp; Co. Capital Markets examined selected transactions, set forth in the table below that Cohen &amp; Co. Capital Markets judged to be sufficiently analogous to the business of Stronghold or aspects thereof. None of the companies involved in the selected transactions is identical to Stronghold and none of the selected transactions is identical to the proposed merger. However, these transactions were selected, among other reasons, since the businesses involved in these transactions, for purposes of Cohen &amp; Co. Capital Markets’ analysis, share similar business characteristics to Stronghold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for each of the selected transactions, Cohen &amp; Co. Capital Markets calculated the ratio of the EV implied for the target company in such transaction to the target company’s total capacity in megawatts (“MW”) (which is referred to in this section as “EV/MW”). Total capacity represents the target company’s online capacity plus any additional capacity that is contracted and/or immediately developable, based on available public reports prior to August 19, 2024.</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Announcement Date</w:t>
            </w:r>
          </w:p>
        </w:tc>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Acquiror</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EV (‘000)/MW</w:t>
            </w:r>
          </w:p>
        </w:tc>
        <w:tc>
          <w:tcPr>
            <w:tcW w:w="0" w:type="dxa"/>
            <w:vAlign w:val="bottom"/>
          </w:tcPr>
          <w:p>
            <w:pPr>
              <w:spacing w:after="0"/>
              <w:rPr>
                <w:sz w:val="1"/>
                <w:szCs w:val="1"/>
                <w:color w:val="auto"/>
              </w:rPr>
            </w:pPr>
          </w:p>
        </w:tc>
      </w:tr>
      <w:tr>
        <w:trPr>
          <w:trHeight w:val="46"/>
        </w:trPr>
        <w:tc>
          <w:tcPr>
            <w:tcW w:w="1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12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$1,094/MW</w:t>
            </w:r>
          </w:p>
        </w:tc>
        <w:tc>
          <w:tcPr>
            <w:tcW w:w="0" w:type="dxa"/>
            <w:vAlign w:val="bottom"/>
          </w:tcPr>
          <w:p>
            <w:pPr>
              <w:spacing w:after="0"/>
              <w:rPr>
                <w:sz w:val="1"/>
                <w:szCs w:val="1"/>
                <w:color w:val="auto"/>
              </w:rPr>
            </w:pPr>
          </w:p>
        </w:tc>
      </w:tr>
      <w:tr>
        <w:trPr>
          <w:trHeight w:val="25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Mining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$597/MW</w:t>
            </w:r>
          </w:p>
        </w:tc>
        <w:tc>
          <w:tcPr>
            <w:tcW w:w="0" w:type="dxa"/>
            <w:vAlign w:val="bottom"/>
          </w:tcPr>
          <w:p>
            <w:pPr>
              <w:spacing w:after="0"/>
              <w:rPr>
                <w:sz w:val="1"/>
                <w:szCs w:val="1"/>
                <w:color w:val="auto"/>
              </w:rPr>
            </w:pPr>
          </w:p>
        </w:tc>
      </w:tr>
      <w:tr>
        <w:trPr>
          <w:trHeight w:val="28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GRIID Infrastructure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Bitcoin Mining Facilities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from LN Energy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 from MineOne Wyoming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MW Data Center from Applied</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and Nebraska from Generate</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PBC*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Bitcoin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Mining Corp.</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$678/MW</w:t>
            </w:r>
          </w:p>
        </w:tc>
        <w:tc>
          <w:tcPr>
            <w:tcW w:w="0" w:type="dxa"/>
            <w:vAlign w:val="bottom"/>
          </w:tcPr>
          <w:p>
            <w:pPr>
              <w:spacing w:after="0"/>
              <w:rPr>
                <w:sz w:val="1"/>
                <w:szCs w:val="1"/>
                <w:color w:val="auto"/>
              </w:rPr>
            </w:pPr>
          </w:p>
        </w:tc>
      </w:tr>
      <w:tr>
        <w:trPr>
          <w:trHeight w:val="28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Waha Technologies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Whinestone Mining Facility in Texas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$868/MW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Northern Data AG*</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hanging="406"/>
        <w:spacing w:after="0"/>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purchase transaction.</w:t>
      </w:r>
    </w:p>
    <w:p>
      <w:pPr>
        <w:spacing w:after="0" w:line="16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Based on the results of this analysis and other factors that Cohen &amp; Co. Capital Markets considered appropriate, Cohen &amp; Co. Capital Markets selected for Stronghold an EV/MW reference range of $450,000 to $1.05 million per MW. Cohen &amp; Co. Capital Markets then applied that range to Stronghold’s total capacity of 160MW as of August 19, 2024 provided by Stronghold management and described in the section entitled “</w:t>
      </w:r>
      <w:r>
        <w:rPr>
          <w:rFonts w:ascii="Times New Roman" w:cs="Times New Roman" w:eastAsia="Times New Roman" w:hAnsi="Times New Roman"/>
          <w:sz w:val="18"/>
          <w:szCs w:val="18"/>
          <w:i w:val="1"/>
          <w:iCs w:val="1"/>
          <w:color w:val="auto"/>
        </w:rPr>
        <w:t>—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beginning on page 67, and derived implied per share equity value ranges for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This analysis indicated a range of implied equity values per share for Stronghold Class A common stock of $1.16 to $6.17,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Bitfarms with similar data for selected publicly traded companies engaged in businesses that Cohen &amp; Co. Capital Markets judged to be analogous to the business of Bitfarms. These companies were selected, among other reasons, because they are publicly traded companies with operations and businesses that, for purposes of Cohen &amp; Co. Capital Markets’ analysis and in its judgment, were considered sufficiently similar to that of Bitfarms based on business sector participation, operational characteristics and financial metrics. However, none of the selected companies reviewed is identical to Bitfarms and certain of these companies may have financial and operating characteristics that are materially different from those of Bitfarms.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publicly reported prior to August 19, 2024. The EV of each selected company was calculated as the market value of such company’s fully diluted common equity, 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2024E YE</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Bitfarms an (i) EV/2024E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Bitfarms’ 16.0 EH/s 2024E YE Proprietary hashrate. This analysis indicated an implied price per share of Bitfarms common shares of $1.48 to $2.49, which was compared to the closing price per share of Bitfarms common shares on August 19, 2024 of $2.39.</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Bitfarms’ 2025E EBITDA of $313.6 million. This analysis indicated an implied price per share of Bitfarms common shares of $2.45 to $4.41, which was compared to the closing price per share of Bitfarms common shares on August 19, 2024 of $2.39.</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7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Bitfarms common shares on a standalone basis.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calculated the unlevered free cash flows that Bitfarms is expected to generate during fiscal years 2024 through 2032 using certain unaudited prospective financial information for Bitfarms provided by Bitfarms management and adjusted by Stronghold management, as described in the section entitled “</w:t>
      </w:r>
      <w:r>
        <w:rPr>
          <w:rFonts w:ascii="Times New Roman" w:cs="Times New Roman" w:eastAsia="Times New Roman" w:hAnsi="Times New Roman"/>
          <w:sz w:val="18"/>
          <w:szCs w:val="18"/>
          <w:i w:val="1"/>
          <w:iCs w:val="1"/>
          <w:color w:val="auto"/>
        </w:rPr>
        <w:t>— Stronghold Unaudited Prospective Financial Information — Stronghold Management Projections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beginning on page 69.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by applying terminal growth rates ranging from 2.0% to 4.0% to the unlevered free cash flows of Bitfarms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16.0% to 18.0%, which was based upon an analysis of the weighted average cost of capital of Bitfarms and a perpetuity growth rate range of 2.0% to 4.0%. The present value of the unlevered free cash flows and the range of terminal values were then adjusted for the net cash balance of Bitfarms as of June 30, 2024 (based on publicly available information) and divided by Bitfarms’ fully diluted shares outstanding (calculated using the treasury stock method). For the purposes of this analysis, net cash includes the market value of Bitfarms’ digital assets.</w:t>
      </w:r>
    </w:p>
    <w:p>
      <w:pPr>
        <w:spacing w:after="0" w:line="14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Bitfarms common shares, of $4.66 to $6.01, which was compared to the closing price per share of Bitfarms common shares on August 19, 2024 of $2.39.</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Valuation Exchange Ratio Analysis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7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of its enterprise value analysis for Stronghold to the results for Bitfarms with respect to the (i) EV/2024E YE Proprietary hashrate ratios and (ii) EV/2025E Adjusted EBITDA multiples described above in “— </w:t>
      </w:r>
      <w:r>
        <w:rPr>
          <w:rFonts w:ascii="Times New Roman" w:cs="Times New Roman" w:eastAsia="Times New Roman" w:hAnsi="Times New Roman"/>
          <w:sz w:val="18"/>
          <w:szCs w:val="18"/>
          <w:i w:val="1"/>
          <w:iCs w:val="1"/>
          <w:color w:val="auto"/>
        </w:rPr>
        <w:t>Stronghold Analysis — Enterprise Value Analysis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 Enterprise Value Analysis</w:t>
      </w:r>
      <w:r>
        <w:rPr>
          <w:rFonts w:ascii="Times New Roman" w:cs="Times New Roman" w:eastAsia="Times New Roman" w:hAnsi="Times New Roman"/>
          <w:sz w:val="18"/>
          <w:szCs w:val="18"/>
          <w:color w:val="auto"/>
        </w:rPr>
        <w:t>” to determine a range of implied exchange ratios. Specifically, Cohen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enterprise value analysis. This analysis with respect to EV/2024E YE Proprietary hashrate resulted in a range of implied exchange ratios of 0.866x to 4.673x. This analysis with respect to EV/2025E Adjusted EBITDA resulted in a range of implied exchange ratios of 0.221x to 1.854x. The ranges of implied exchange ratios were compared to the exchange ratio in the proposed merger of 2.520x.</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7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with respect to its discounted cash flow analyses for Stronghold, as described above under “— </w:t>
      </w:r>
      <w:r>
        <w:rPr>
          <w:rFonts w:ascii="Times New Roman" w:cs="Times New Roman" w:eastAsia="Times New Roman" w:hAnsi="Times New Roman"/>
          <w:sz w:val="18"/>
          <w:szCs w:val="18"/>
          <w:i w:val="1"/>
          <w:iCs w:val="1"/>
          <w:color w:val="auto"/>
        </w:rPr>
        <w:t>Stronghold Analysis — Discounted Cash Flow Analysis</w:t>
      </w:r>
      <w:r>
        <w:rPr>
          <w:rFonts w:ascii="Times New Roman" w:cs="Times New Roman" w:eastAsia="Times New Roman" w:hAnsi="Times New Roman"/>
          <w:sz w:val="18"/>
          <w:szCs w:val="18"/>
          <w:color w:val="auto"/>
        </w:rPr>
        <w:t xml:space="preserve">,” to the results for Bitfarms, as described above under “— </w:t>
      </w:r>
      <w:r>
        <w:rPr>
          <w:rFonts w:ascii="Times New Roman" w:cs="Times New Roman" w:eastAsia="Times New Roman" w:hAnsi="Times New Roman"/>
          <w:sz w:val="18"/>
          <w:szCs w:val="18"/>
          <w:i w:val="1"/>
          <w:iCs w:val="1"/>
          <w:color w:val="auto"/>
        </w:rPr>
        <w:t>Bitfarms Analysis — Discounted Cash Flow Analysis</w:t>
      </w:r>
      <w:r>
        <w:rPr>
          <w:rFonts w:ascii="Times New Roman" w:cs="Times New Roman" w:eastAsia="Times New Roman" w:hAnsi="Times New Roman"/>
          <w:sz w:val="18"/>
          <w:szCs w:val="18"/>
          <w:color w:val="auto"/>
        </w:rPr>
        <w:t>,” to determine a range of implied exchange ratios. Specifically, Cohen &amp; 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discounted cash flow analyses. This analysis resulted in a range of implied exchange ratios of 1.211x to 2.189x. This range of implied exchange ratios was then compared to the exchange ratio in the proposed merger of 2.520x.</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52-Week Historical Trading Range</w:t>
      </w:r>
    </w:p>
    <w:p>
      <w:pPr>
        <w:spacing w:after="0" w:line="173"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the trading price range for Stronghold Class A common stock and Bitfarms common shares for the 52-week period ended on August 19, 2024 (the “share reference period”). Cohen &amp; Co. Capital Markets noted that the low and high</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closing share prices for Stronghold Class A common stock during the reference period were $2.23 and $11.31 per share. This range of low and high share prices for Stronghold Class A common stock during the reference period was compared to the closing price per share of Stronghold Class A common stock on August 19, 2024 of $2.80 and the implied value per share of the merger consideration of $6.02 based on the exchange ratio and the closing price per share of Bitfarms common shares on August 19, 2024. Cohen &amp; Co. Capital Markets noted that the low and high closing share prices for Bitfarms common shares during the reference period were $0.95 and $3.61 per share, which was compared to the closing price per share of Bitfarms common shares on August 19, 2024 of $2.39.</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Equity Research Analyst Price Targets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certain publicly available equity research analyst share price targets for Bitfarms common shares as of August 19, 2024. Cohen &amp; Co. Capital Markets noted that the range of price targets for Bitfarms was $2.30 to $5.09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Cohen &amp; Co. Capital Markets. The preparation of a fairness opinion is a complex process and is not necessarily susceptible to partial analysis or summary description. Cohen &amp; Co. Capital Markets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Cohen &amp; Co. Capital Markets with respect to the actual value of Stronghold or Bitfarms. The order of analyses described does not represent the relative importance or weight given to those analyses by Cohen &amp; Co. Capital Markets. In arriving at its opinion, Cohen &amp; Co. Capital Markets did not attribute any particular weight to any analyses or factors considered by it and did not form an opinion as to whether any individual analysis or factor (positive or negative), considered in isolation, supported or failed to support its opinion. Rather, Cohen &amp; Co. Capital Markets considered the totality of the factors and analyses performed in determining its opinion.</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Cohen &amp; Co. Capital Markets are not necessarily indicative of actual future results, which may be significantly more or less favorable than suggested by those analyses. Moreover, Cohen &amp; Co. Capital Markets’ analyses are not and do not purport to be appraisals or otherwise reflective of the prices at which businesses actually could be acquired or sold.</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Cohen &amp; Co. Capital Markets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Cohen &amp; Co. Capital Markets was selected to advise Stronghold with respect to the proposed merger on the basis of, among other things, such experience and its qualifications and reputation in connection with such matters and its familiarity with Stronghold, Bitfarms and the industries in which they operate.</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was retained by Stronghold to provide an opinion to the Stronghold board of directors as to the fairness of the exchange ratio in the proposed merger, from a financial point of view, to the holders of Stronghold Class A common stock. Pursuant to the terms of its engagement, Cohen &amp; Co. Capital Markets became entitled to a fee of $500,000 in consideration for the fairness opinion (the “Fairness Opinion Fee”). The Fairness Opinion Fee became payable to Cohen &amp; Co. Capital Markets upon delivery of Cohen &amp; Co. Capital Markets’ fairness opinion to the Stronghold board of directors and will be credited against the transaction fee payable to Cohen &amp; Co. Capital Markets in connection with its services to Stronghold as financial advisor in connection with the proposed merger. No portion of Cohen &amp; Co. Capital Markets’ Fairness Opinion Fee is contingent upon either the conclusion expressed in its opinion or whether the proposed merger is successfully consummated. For services rendered by Cohen &amp; Co. Capital Markets as financial advisor to Stronghold in connection with the proposed merger (excluding the Fairness Opinion Fee), Stronghold has agreed to pay Cohen &amp; Co. Capital Markets a fee (the “Transaction Fee”) of 1.5% of the transaction enterprise value up to $150,000,000 plus 3.5% of the transaction enterprise value between $150,000,001 and $250,000,000, which fee will be determined at the closing of the proposed merger based on the average of the</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closing market prices of the Bitfarms common shares on the 10 trading days ending prior to the closing of the proposed merger. The Transaction Fee will be payable by Stronghold to Cohen &amp; Co. Capital Markets only upon the closing of the proposed merger. For illustrative purposes, using the 10 day period ending August 20, 2024, the Transaction Fee payable to Cohen &amp; Co. Capital Markets would be approximately $2,300,000. In addition, Stronghold has agreed to reimburse Cohen &amp; Co. Capital Markets upon consummation of the proposed merger for certain of its expenses incurred in connection with its services, including the reasonable fees and disbursements of counsel, and will indemnify Cohen &amp; Co. Capital Markets against certain liabilities arising out of Cohen &amp; Co. Capital Markets’ engagement.</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two years preceding the date of its written opinion, Cohen &amp; Co. Capital Markets has not provided any other material financial advisory or other material financing services to Stronghold, Bitfarms or their respective affiliates. Cohen &amp; Co. Capital Markets may, however, provide such services in the future and may receive, fees for the rendering of such services. Cohen &amp; Co. Capital Markets and its affiliates may trade or hold securities of Stronghold or Bitfarms and/or their respective affiliates for its own account and for the accounts of its customers and, accordingly, may at any time hold long or short positions in those securities. In addition, Cohen &amp; Co. Capital Markets may seek to, in the future, provide financial advisory and financing services to Stronghold, Bitfarms or entities that are affiliated with Stronghold or Bitfarms, for which it would expect to receive compensation.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Unaudited Prospective Financial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as a matter of course does not make public long-term projections as to its future earnings or other results given, among other reasons, the uncertainty of the underlying assumptions and estimates. However, in connection with the Stronghold board of directors’ evaluation of the proposed merger, Stronghold management prepared and provided to the Stronghold board of directors certain unaudited prospective financial information relating to Stronghold for the fiscal years ending December 31, 2024 through December 31, 2029 (the “Stronghold Projections for Stronghold”).</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Stronghold’s management prepared and provided to the Stronghold board of directors an alternative version of the Bitfarms Projections (as defined below) for the fiscal years ending December 31, 2024 through December 31, 2029, incorporating certain adjustments thereto by the management of Stronghold (the “Stronghold Adjusted Projections for Bitfarms”, and together with the Stronghold Projections for Stronghold, the “Stronghold Management Projections”). The Stronghold Management Projections also were provided to Stronghold’s financial advisor, J.V.B. Financial Group, LLC acting through its Cohen &amp; Company Capital Markets division, which was authorized by Stronghold to use and rely upon the Stronghold Management Projections in connection with its analysis and opinion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Opinion of Stronghold’s Financial Advisor</w:t>
      </w:r>
      <w:r>
        <w:rPr>
          <w:rFonts w:ascii="Times New Roman" w:cs="Times New Roman" w:eastAsia="Times New Roman" w:hAnsi="Times New Roman"/>
          <w:sz w:val="18"/>
          <w:szCs w:val="18"/>
          <w:color w:val="auto"/>
        </w:rPr>
        <w:t>.” The Stronghold Projections for Stronghold were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Bitfarms in connection with its evaluation of the merger.</w:t>
      </w:r>
    </w:p>
    <w:p>
      <w:pPr>
        <w:spacing w:after="0" w:line="1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summary of the Stronghold Management Projections below is not included to influence the decision of Stronghold stockholders whether to vote in favor of the merger proposal or any other proposal to be considered at the special meeting, but is provided solely because it was made available to the Stronghold board of directors and Stronghold’s financial advisor in connection with the merger. The inclusion of the below information should not be regarded as an indication that Stronghold, its advisors or other representatives or any other recipient of this information considered — or now considers — it to be necessarily predictive of actual future results, or that it should be construed as financial guidance, and it should not be relied on as such.</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numerical specificity, the Stronghold Management Projections reflect numerous estimates and assumptions, including, among others assumptions related to the cost of power, Bitcoin miner fleet efficiency, capital expenditures related to the acquisition of new Bitcoin miners, the issuance of new equity to fund growth and, with respect to the Stronghold Projections for Stronghold, certain capacity payments from PJM. In addition, in connection with Stronghold’s due diligence of Bitfarms and evaluation of the merger, Stronghold management made certain adjustments and assumptions when preparing the Stronghold Adjusted Projections for Bitfarms, which were based on the Bitfarms Projections. The estimates and assumptions made when preparing the Stronghold Management Projections are inherently uncertain and are beyond the control of Stronghold’s management for reasons including, among others, Stronghold’s and/or Bitfarms’ future results, Bitcoin mining industry activity, the price of Bitcoin and other matters described in the sections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Stronghold Management Projections also reflect assumptions as to certain business decisions that are subject to change and subjective judgment that is susceptible to multiple interpretations and periodic revisions based on actual experience and business developments. Stronghold can give no assurance that the Stronghold Management Projections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and the underlying estimates and assumptions will be realized. In addition, since the unaudited prospective financial information covers multiple years, such information by its nature becomes less predictive with each successive year. This information constitutes “forward-looking statements” and actual results may differ materially and adversely from those projected.</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were not prepared with a view toward public disclosure, nor was it prepared with a view toward compliance with U.S. GAAP, the published guidelines of the SEC regarding projections or the guidelines established by the American Institute of Certified Public Accountants for preparation and presentation of prospective financial information. The Stronghold Management Projections have been prepared by, and are the responsibility of, Stronghold management. Neither Stronghold’s independent registered public accounting firm, nor Bitfarms’ independent registered public accounting firm PricewaterhouseCoopers LLP, nor any other independent accountants, have compiled, reviewed, audited, examined, or performed any agreed-upon procedures, or expressed any form of assurance, with respect to the Stronghold Management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UPC contained in Stronghold’s Annual Report on Form 10-K for the year ended December 31, 2023, which is incorporated by reference into this proxy statement/prospectus, relates to Stronghold’s historical audited financial statements and does not extend to the Stronghold Management Projections and should not be read to do so.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Stronghold Management Projections and should not be read to do so. Non-U.S. GAAP financial measures should not be considered in isolation from, or as a substitute for, financial information presented in compliance with U.S. GAAP, and non-U.S. GAAP financial measures such as those used in the Stronghold Management Projections may not be comparable to similarly titled amounts used by other companies or persons.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the Stronghold Management Projections do not take into account any circumstances or events occurring after the date they were prepared. Stronghold can give no assurance that, had the Stronghold Management Projections been prepared as of the date of this proxy statement/prospectus, similar estimates and assumptions would be used. EXCEPT AS REQUIRED BY APPLICABLE SECURITIES LAWS,</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STRONGHOLD DOES NOT INTEND TO, AND DISCLAIMS ANY OBLIGATION TO, MAKE PUBLICLY AVAILABLE ANY UPDATE OR OTHER REVISION TO THE STRONGHOLD MANAGEMENT PROJECTIONS TO REFLECT CIRCUMSTANCES EXISTING SINCE ITS PREPARATION OR TO REFLECT THE OCCURRENCE OF UNANTICIPATED EVENTS, EVEN IN THE EVENT THAT ANY OR ALL OF THE UNDERLYING ASSUMPTIONS ARE SHOWN TO BE INAPPROPRIATE, INCLUDING WITH RESPECT TO THE ACCOUNTING TREATMENT OF THE MERGER UNDER U.S. GAAP OR IFRS ACCOUNTING STANDARDS, OR TO REFLECT CHANGES IN GENERAL ECONOMIC OR INDUSTRY CONDITIONS.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do not take into account all the possible financial and other effects on Stronghold or Bitfarms of the merger, the effect on Stronghold or Bitfarms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Stronghold Management Projections do not take into account the effect on Stronghold or Bitfarms of any possible failure of the merger to occur. None of Stronghold, Bitfarms or their respective affiliates, officers, directors, advisors or other representatives has made, makes or is authorized in the future to make any representation to any stockholder or other person regarding Stronghold’s or Bitfarms’ ultimate performance compared to the information contained in the Stronghold Management Projections or that the forecasted results will be achieved. The inclusion of the Stronghold Management Projections herein should not be deemed an admission or representation by Stronghold, Bitfarms or their respective advisors or other representatives or any other person that it is viewed as material information of Stronghold or Bitfarms, particularly in light of the inherent risks and uncertainties associated with such forecasts.</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Stronghold Management Projections will accurately reflect future conditions. The estimates and assumptions underlying the Stronghold Management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light of the foregoing, and considering that the special meeting will be held after the Stronghold Management Projections were prepared, as well as the uncertainties inherent in any forecasted information, Stronghold stockholders are cautioned not to place undue reliance on such information and are encouraged to review Stronghold’s and Bitfarms’ most recent SEC filings for a description of Stronghold’s and Bitfarms’ respective reported financial results.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Stronghold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forecasted financial information of Stronghold contained in the Stronghold Projections for Stronghold (amounts may reflect rounding). The Stronghold Projections for Stronghold assume a Bitcoin hashprice of $55/PH/day throughout the projection period.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9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5" w:lineRule="auto"/>
        <w:tabs>
          <w:tab w:leader="none" w:pos="8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8" w:lineRule="auto"/>
        <w:tabs>
          <w:tab w:leader="none" w:pos="8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$0.0 in 2H 2024, $0.0 in 2025, $0.3 million in 2026, $0.7 million in 2027, $0.9 million in 2028, and $1.5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Bitfarms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the Stronghold Adjusted Projections for Bitfarms, as prepared by Stronghold’s management based on the Bitfarms Projections, which figures may reflect rounding. In preparing the Stronghold Adjusted Projections for Bitfarms, Stronghold management assumed, among other things, a Bitcoin hashprice of $55/PH/day throughout the projection period, a downward adjustment for certain growth projects expected to be completed later in the projection period, and revised assumptions for the cost of power. These adjustments were based on the judgment and experience of Stronghold management and discussions with Bitfarms management and differ from the assumptions accounted for in the Bitfarms Projections as set forth in the section entitled “— </w:t>
      </w:r>
      <w:r>
        <w:rPr>
          <w:rFonts w:ascii="Times New Roman" w:cs="Times New Roman" w:eastAsia="Times New Roman" w:hAnsi="Times New Roman"/>
          <w:sz w:val="18"/>
          <w:szCs w:val="18"/>
          <w:i w:val="1"/>
          <w:iCs w:val="1"/>
          <w:color w:val="auto"/>
        </w:rPr>
        <w:t>Bitfarms Unaudited Prospective Financial Information.</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91"/>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71" w:lineRule="auto"/>
        <w:tabs>
          <w:tab w:leader="none" w:pos="8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7" w:lineRule="auto"/>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$0.3 million in 2H 2024, $1.2 million in 2025, $1.2 million in 2026, $19.9 million in 2027, $109.3 million in 2028, and $240.8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0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Stronghold does not intend to update or otherwise revise the above unaudited financial forecasts to reflect circumstances existing after the date when such forecasts were made or to reflect the occurrence of future events, even in the event that any or all of the assumptions underlying such unaudited financial forecasts are no longer appropriate, except as may be required by applicable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Unaudited Prospective Financial Information</w:t>
      </w:r>
    </w:p>
    <w:p>
      <w:pPr>
        <w:spacing w:after="0" w:line="162"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color w:val="auto"/>
        </w:rPr>
        <w:t xml:space="preserve">Bitfarms is including limited unaudited prospective financial information in this proxy statement/prospectus solely because it was among the financial information provided to Stronghold and Cohen &amp; Co. Capital Markets in connection with their respective evaluation of the merger (the “Bitfarms Projections”). </w:t>
      </w:r>
      <w:r>
        <w:rPr>
          <w:rFonts w:ascii="Times New Roman" w:cs="Times New Roman" w:eastAsia="Times New Roman" w:hAnsi="Times New Roman"/>
          <w:sz w:val="17"/>
          <w:szCs w:val="17"/>
          <w:b w:val="1"/>
          <w:bCs w:val="1"/>
          <w:color w:val="auto"/>
        </w:rPr>
        <w:t>The inclusion of the</w:t>
      </w:r>
    </w:p>
    <w:p>
      <w:pPr>
        <w:spacing w:after="0" w:line="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Bitfarms Projections should not be regarded as an indication that any of Bitfarms, Stronghold, their respective affiliates, officers, directors, advisors or other representatives, Cohen &amp; Co. Capital Markets or any other recipient of this information considered, or now considers, it necessarily to be predictive of actual future results, or that it should be construed as financial guidance, and it should not be relied on as such. The Bitfarms Projections were prepared solely for internal use and are subject to the assumptions and estimates made and certain limitations, qualifications and conditions.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presented with numeric specificity, the Bitfarms Projections reflect numerous estimates and assumptions made with respect to business, economic, market, competition, financial conditions and other matters specific to Bitfarms’ business, all of which are difficult to predict and many of which are beyond Bitfarms’ control. The Bitfarms Projections reflect both assumptions as to certain business decisions that are subject to change and, in many respects, subjective judgment, and thus are susceptible to multiple interpretations and periodic revisions based on actual experience and business developments. Bitfarms can give no assurance that the Bitfarms Projections and the underlying estimates and assumptions will be realized. In addition, since the Bitfarms Projections cover multiple years, such information by its nature becomes less predictive with each successive year. This information constitutes “forward-looking statements” and actual results may differ materially and adversely from those projected.</w:t>
      </w:r>
    </w:p>
    <w:p>
      <w:pPr>
        <w:spacing w:after="0" w:line="11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Bitfarms Projections were not prepared with a view toward public disclosure, nor were they prepared with a view toward complying with IFRS Accounting Standards, the published guidelines of the SEC regarding projections or the guidelines established by the IFRS Accounting Standards and Canadian Securities Administrators for preparation and presentation of prospective or forward-looking financial information.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Bitfarms Projections have been prepared by, and are the responsibility of Bitfarms’ management. Neither Bitfarms’ independent registered public accounting firm, PricewaterhouseCoopers LLP, nor any other independent accountants, have compiled, reviewed, audited, examined, or performed any agreed-upon procedures, or expressed any form of assurance, with respect to the Bitfarms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Bitfarms Projections and should not be read to do so</w:t>
      </w:r>
      <w:r>
        <w:rPr>
          <w:rFonts w:ascii="Times New Roman" w:cs="Times New Roman" w:eastAsia="Times New Roman" w:hAnsi="Times New Roman"/>
          <w:sz w:val="18"/>
          <w:szCs w:val="18"/>
          <w:color w:val="auto"/>
        </w:rPr>
        <w:t>. Non-IFRS financial measures should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 isolation from, or as a substitute for, financial information presented in compliance with IFRS Accounting Standards, and non-IFRS financial measures such as those used in the Bitfarms Projections may not be comparable to similarly titled amounts used by other companies or persons.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Projections do not take into account any circumstances or events occurring after the date it was prepared. Bitfarms can give no assurance that, had the Bitfarms Projections been prepared as of the date of this proxy statement/prospectus, similar estimates and assumptions would be used. EXCEPT AS REQUIRED BY APPLICABLE SECURITIES LAWS, BITFARMS DOES NOT INTEND TO, AND DISCLAIMS ANY OBLIGATION TO, MAKE PUBLICLY AVAILABLE ANY UPDATE OR OTHER REVISION TO THE BITFARMS PROJECTIONS TO REFLECT CIRCUMSTANCES EXISTING SINCE ITS PREPARATION OR TO REFLECT THE OCCURRENCE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UNANTICIPATED EVENTS, EVEN IN THE EVENT THAT ANY OR ALL OF THE ASSUMPTIONS UNDERLYING THE BITFARMS PROJECTIONS ARE NOT REALIZED, INCLUDING WITH RESPECT TO THE ACCOUNTING TREATMENT OF THE MERGER UNDER IFRS ACCOUNTING STANDARDS, OR TO REFLECT CHANGES IN GENERAL ECONOMIC OR INDUSTRY CONDITIONS.</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Bitfarms Projections do not take into account the possible financial and other effects on Bitfarms of the merger and does not attempt to predict or suggest future results of the combined company. The Bitfarms Projections do not give effect to the merger, including the impact of negotiating or executing the merger agreement, the expenses that may be incurred in connection with consummating the merger, potential synergies that may be achieved by the combined company as a result of the merger or the effect of any business or strategic decisions or actions which would likely have been taken if the merger agreement had not been executed, but which were instead altered, accelerated, postponed or not taken in anticipation of the merger. Further, the Bitfarms Projections do not take into account the effect on Bitfarms of any possible failure of the merger to occur. None of Bitfarms, Stronghold or their respective affiliates, officers, directors, advisors or other representatives has made, makes or is authorized in the future to make any representation to any stockholder of Bitfarms or Stronghold or other person regarding Bitfarms’ ultimate performance compared to the information contained in the Bitfarms Projections or that the forecasted results will be achieved. The inclusion of the Bitfarms Projections herein should not be deemed an admission or representation by Bitfarms or its respective advisors or other representatives or any other person that it is viewed as material information of Bitfarms, particularly in light of the inherent risks and uncertainties associated with such forecasts.</w:t>
      </w:r>
    </w:p>
    <w:p>
      <w:pPr>
        <w:spacing w:after="0" w:line="12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Bitfarms Projections prepared by Bitfarms management and provided to Stronghold and Cohen &amp; Co. Capital Markets.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1"/>
        </w:trPr>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29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0" w:lineRule="auto"/>
        <w:tabs>
          <w:tab w:leader="none" w:pos="8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non-IFRS Accounting Standards measure and is calculated as net income (loss) before interest, taxes, depreciation and amortization, further adjusted by depreciation and amortization, the removal of one-time transaction costs, the impairment of long-lived assets and stock-based compensation expense in the period presented.</w:t>
      </w:r>
    </w:p>
    <w:p>
      <w:pPr>
        <w:spacing w:after="0" w:line="173"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non-IFRS Accounting Standards measure and is calculated as Adjusted EBITDA less taxes capital expenditures, and changes in net working capital.</w:t>
      </w:r>
    </w:p>
    <w:p>
      <w:pPr>
        <w:spacing w:after="0" w:line="8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above Bitfarms Projections will accurately reflect future conditions. The estimates and assumptions underlying the Bitfarms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2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In light of the foregoing, and considering that the special meeting will be held after the Bitfarms Projections were prepared, as well as the uncertainties inherent in forecasting information, Bitfarms shareholders and Stronghold stockholders are cautioned not to place unwarranted reliance on such information, and Bitfarms urges all Bitfarms shareholders and Stronghold stockholders to review Bitfarms’ most recent SEC filings for a description of Bitfarms’ reported financial results. See “</w:t>
      </w:r>
      <w:r>
        <w:rPr>
          <w:rFonts w:ascii="Times New Roman" w:cs="Times New Roman" w:eastAsia="Times New Roman" w:hAnsi="Times New Roman"/>
          <w:sz w:val="18"/>
          <w:szCs w:val="18"/>
          <w:b w:val="1"/>
          <w:bCs w:val="1"/>
          <w:i w:val="1"/>
          <w:iCs w:val="1"/>
          <w:color w:val="auto"/>
        </w:rPr>
        <w:t>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You Can Find Additional Information.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Bitfarms Common Shares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It is a condition to the completion of the merger that the Bitfarms common shares issued pursuant to the merger agreement are approved for listing on Nasdaq and the TSX, subject to customary conditions and official notice of issuance. Bitfarms must use its reasonable best efforts to cause the Bitfarms common shares to be issued in the merger to be approved for listing on Nasdaq and the TSX.</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that you vote to approve and adopt the merger agreement and approving the transactions contemplated thereby, including the merger, and, you should be aware that aside from their interests as Stronghold stockholders, Stronghold’s directors and executive officers have interests in the merger that are different from, or in addition to, those of Stronghold stockholders generally. Members of the Stronghold board of directors were aware of and considered these interests, among other matters, in evaluating and negotiating the merger agreement and the merger, and in recommending to Stronghold stockholders that the merger agreement and the transactions contemplated thereby, including the merger, be approved and adopted. For more information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Proposal — Stronghold’s Reasons for the Merger; Recommendation of the Stronghold Board of Directors</w:t>
      </w:r>
      <w:r>
        <w:rPr>
          <w:rFonts w:ascii="Times New Roman" w:cs="Times New Roman" w:eastAsia="Times New Roman" w:hAnsi="Times New Roman"/>
          <w:sz w:val="18"/>
          <w:szCs w:val="18"/>
          <w:color w:val="auto"/>
        </w:rPr>
        <w:t>.” These interests are described in more detail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them are quantified in the narrative and the tables below. The individuals listed in the bullets below currently serve as directors and executive officers since the beginning of January 1, 2023. Gregory A. Beard serves as a director and executive officer. During this period, Matthew J. Smith served as a director and executive officer until his resignation, effective November 15, 2024. Ryan M. Weber has served as an executive officer since May 1, 2024.</w:t>
      </w:r>
    </w:p>
    <w:p>
      <w:pPr>
        <w:spacing w:after="0" w:line="74" w:lineRule="exact"/>
        <w:rPr>
          <w:sz w:val="20"/>
          <w:szCs w:val="20"/>
          <w:color w:val="auto"/>
        </w:rPr>
      </w:pPr>
    </w:p>
    <w:p>
      <w:pPr>
        <w:ind w:left="880"/>
        <w:spacing w:after="0"/>
        <w:tabs>
          <w:tab w:leader="none" w:pos="1300" w:val="left"/>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Gregory A. Beard, Indira Agarwal, Thomas Doherty, Sarah P. James, Thomas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 Pacchia and Thomas R. Trowbridge, IV; and</w:t>
      </w:r>
    </w:p>
    <w:p>
      <w:pPr>
        <w:spacing w:after="0" w:line="99" w:lineRule="exact"/>
        <w:rPr>
          <w:sz w:val="20"/>
          <w:szCs w:val="20"/>
          <w:color w:val="auto"/>
        </w:rPr>
      </w:pPr>
    </w:p>
    <w:p>
      <w:pPr>
        <w:ind w:left="1320" w:hanging="43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Gregory A. Beard and Richard J. Shaffer.</w:t>
      </w:r>
    </w:p>
    <w:p>
      <w:pPr>
        <w:spacing w:after="0" w:line="10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For a list of assumptions used to quantify certain payments and benefits,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Stronghold Equity Awards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At the effective time, each outstanding Stronghold option, whether vested or unvested,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Each of these converted options will continue to have and be subject to substantially the same terms and conditions as were applicable to such option immediately prior to the effective time, except that</w:t>
      </w:r>
    </w:p>
    <w:p>
      <w:pPr>
        <w:spacing w:after="0" w:line="2" w:lineRule="exact"/>
        <w:rPr>
          <w:sz w:val="20"/>
          <w:szCs w:val="20"/>
          <w:color w:val="auto"/>
        </w:rPr>
      </w:pPr>
    </w:p>
    <w:p>
      <w:pPr>
        <w:jc w:val="both"/>
        <w:ind w:left="460" w:right="459" w:hanging="6"/>
        <w:spacing w:after="0" w:line="251" w:lineRule="auto"/>
        <w:tabs>
          <w:tab w:leader="none" w:pos="69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8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At the effective time, each outstanding restricted stock unit denominated in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(each a “Stronghold RSU”), whether vested or unvested, will automatically vest in full and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time (each, an “Interim Stronghold RSU”) will be assumed by Bitfarms and converted into a number of Bitfarms restricted stock units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7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Quantification of Payments. </w:t>
      </w:r>
      <w:r>
        <w:rPr>
          <w:rFonts w:ascii="Times New Roman" w:cs="Times New Roman" w:eastAsia="Times New Roman" w:hAnsi="Times New Roman"/>
          <w:sz w:val="18"/>
          <w:szCs w:val="18"/>
          <w:color w:val="auto"/>
        </w:rPr>
        <w:t>For an estimate of the amounts that would be payable to each of Stronghold’s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on settlement of their unvested Stronghold equity awards outstanding as of the date hereof, see the section entitled “</w:t>
      </w:r>
      <w:r>
        <w:rPr>
          <w:rFonts w:ascii="Times New Roman" w:cs="Times New Roman" w:eastAsia="Times New Roman" w:hAnsi="Times New Roman"/>
          <w:sz w:val="18"/>
          <w:szCs w:val="18"/>
          <w:i w:val="1"/>
          <w:iCs w:val="1"/>
          <w:color w:val="auto"/>
        </w:rPr>
        <w:t>The Merger Proposal — Interests of Stronghold’s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 — Quantification of Payments and Benefits to Stronghold’s Executive Officers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Stronghold executive officers who are not named executive officers.</w:t>
      </w:r>
    </w:p>
    <w:p>
      <w:pPr>
        <w:spacing w:after="0" w:line="11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No non-employee directors hold any Stronghold equity awards and are not entitled to any additional payments or benefits in connection with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 with Executive Officers</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Gregory A. Beard is a party to an employment agreement with Stronghold that provides for certain payments and benefits in the event of a termination of his employment without “cause” (as defined in his employment agreement) or a resignation for “good reason” (as defined in his employment agreement). Upon such termination and subject to Mr. Beard’s timely execution of a release of claims in favor of Stronghold and its affiliates, Mr. Beard is entitled to: (i) 12 months of his base salary for the year in which the termination occurs, payable in substantially equal installments over 12 months, (ii) a pro-rated portion of the annual bonus that he would have been paid for the calendar year in which the termination occurs, payable at the same time bonuses are paid to similarly situated employees and (iii) reimbursement for a 12 month period for the full amount Mr. Beard pays to effect and continue coverage under Stronghold’s group health plans for himself and any eligible dependents. Additionally, if Mr. Beard is terminated without “cause” or resigns for “good reason” within the 12-month period following a “change in control” (as defined in Stronghold’s equity incentive plan), then Mr. Beard is entitled to the payments described above except that the 12 months of base salary will instead be payable in a lump sum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his termination. The merger will constitute a “change in control” as defined in Stronghold’s equity incentive plan.</w:t>
      </w:r>
    </w:p>
    <w:p>
      <w:pPr>
        <w:spacing w:after="0" w:line="11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Matthew J. Smith is a party to an employment retention and continuation agreement with Stronghold (the “retention agreement”) that provides for a pro-rated payment of his 2024 cash bonus in the event of a termination of his employment for any reason other than “cause” (as defined in the retention agreement). Additionally, Mr. Smith is a participant in the Stronghold severance plan (the “severance plan”) under which he is entitled to certain payments and benefits in the event of a termination of his employment without “cause” (as defined in the severance plan) or for “good reason” (as defined in the severance plan), in each case, within 60 days prior to, or one year following, a “change in control” (as defined in the severance plan). Upon such termination and subject to Mr. Smith’s timely execution of a release of claims in favor of Stronghold and its affiliates, Mr. Smith is entitled to (i) a lump sum payment equal to 12 weeks of his base salary, plus an additional two weeks of his base salary for each full year he has been employed at Stronghold, (ii) a lump sum payment equal to a prorated amount of his quarterly bonus for the quarter that includes the termination date and</w:t>
      </w:r>
    </w:p>
    <w:p>
      <w:pPr>
        <w:spacing w:after="0" w:line="4" w:lineRule="exact"/>
        <w:rPr>
          <w:sz w:val="20"/>
          <w:szCs w:val="20"/>
          <w:color w:val="auto"/>
        </w:rPr>
      </w:pPr>
    </w:p>
    <w:p>
      <w:pPr>
        <w:jc w:val="both"/>
        <w:ind w:left="460" w:right="459" w:hanging="6"/>
        <w:spacing w:after="0" w:line="252" w:lineRule="auto"/>
        <w:tabs>
          <w:tab w:leader="none" w:pos="8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weeks of the monthly premium that would otherwise by payable for continued coverage under Stronghold’s group health plans for Mr. Smith and any eligible dependents. Mr. Smith resigned from his position as Stronghold’s Chief Financial Officer, effective November 15, 2024. In connection with his resignation, Mr. Smith is entitled to the pro-rated payment of his 2024 cash bonus, which bonus will be payable at closing. Additionally, Mr. Smith is not entitled to any payments under the severance plan.</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Richard J. Shaffer is not a party to any employment or severance agreement or arrangement with Stronghold and is therefore not entitled to any severance payments or benefits in the event of a termination of his employment.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will constitute a “change in control” (as defined in the Stronghold severance plan). For an estimate of the value of the payments and benefits described above that would be payable to Stronghold’s named executive officers upon a termination of employment,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 There are no Stronghold executive officers who are not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the payments and benefits above, under the terms of the merger agreement, Stronghold may take certain compensation actions prior to the completion of the merger that will affect Stronghold’s directors and executive officers, although determinations related to such actions have not been made as of the date of this proxy statement/prospectus and the impact of such actions is not reflected in the amounts estimated above and in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Payments and Benefits to Stronghold’s Named Executive Officers</w:t>
      </w:r>
      <w:r>
        <w:rPr>
          <w:rFonts w:ascii="Times New Roman" w:cs="Times New Roman" w:eastAsia="Times New Roman" w:hAnsi="Times New Roman"/>
          <w:sz w:val="18"/>
          <w:szCs w:val="18"/>
          <w:color w:val="auto"/>
        </w:rPr>
        <w:t>” below.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actions, Stronghold may pay directors fees and other compensation and benefits in the ordinary course of business. Stronghold may also make grants of equity awards to directors and executive officers in the ordinary course of business, consistent with past practice, subject to certain limitations.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Employment Arrangements with Stronghold Executive Officers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There have been no discussions between Bitfarms and the Stronghold executive officers regarding post-closing roles for such executive officers within the Bitfarms organization. However, Bitfarms may engage in such discussions or enter into new agreements with those individuals in the future. There is at this time no assurance that any discussions will result in any new agreements with Bitfarms or, if so, what the terms and conditions of any such agreements would be.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against all losses, claims, damages, costs, fines, penalties, expenses (including attorneys’ and other professionals’ fees and expenses), liabilities or judgments or amounts that are paid in settlement of, or incurred in connection with, any actual or threatened proceeding to which such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 its subsidiaries as an officer or director of another entity, or by reason of anything done or not done by such person in any such capacity.</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Bitfarms and the surviving corporation will cause to be put in place, and Bitfarms will fully prepay immediately prior to the effective time, “tail” insurance policies with a claims reporting or discovery period of at least six years from the effective time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Indemnification and Insurance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Board of Directors Following the Merger</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 For more information, see the section entitled “</w:t>
      </w:r>
      <w:r>
        <w:rPr>
          <w:rFonts w:ascii="Times New Roman" w:cs="Times New Roman" w:eastAsia="Times New Roman" w:hAnsi="Times New Roman"/>
          <w:sz w:val="18"/>
          <w:szCs w:val="18"/>
          <w:i w:val="1"/>
          <w:iCs w:val="1"/>
          <w:color w:val="auto"/>
        </w:rPr>
        <w:t>The Merger Agreement —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 Bitfarms Governance and Other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Stronghold’s Named Executive Officers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table below sets forth the information required by Item 402(t) of Regulation S-K regarding the compensation for each named executive officer and summarizes the potential golden parachute compensation that each named executive officer would be entitled to receive from Bitfarms if the merger is consummated and if the named executive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officer’s employment with Stronghold thereafter terminates. The amounts indicated below are estimates based on multiple assumptions that may or may not actually occur or be accurate on the relevant date, including the assumptions described and in the footnotes to the table, and do not reflect certain compensation actions that may occur prior to completion of the merger, including any equity award grants that may be made prior to the closing of the merger.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Solely for purposes of calculating such potential golden parachute compensation, the following assumptions were used:</w:t>
      </w:r>
    </w:p>
    <w:p>
      <w:pPr>
        <w:spacing w:after="0" w:line="94" w:lineRule="exact"/>
        <w:rPr>
          <w:sz w:val="20"/>
          <w:szCs w:val="20"/>
          <w:color w:val="auto"/>
        </w:rPr>
      </w:pPr>
    </w:p>
    <w:p>
      <w:pPr>
        <w:jc w:val="both"/>
        <w:ind w:left="1320" w:right="459" w:hanging="434"/>
        <w:spacing w:after="0" w:line="261"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Stronghold Class A common stock is $5.19, which is the average closing price per share of Stronghold Class A common stock as reported on Nasdaq over the first five business days following the first public announcement of the merger agreement on August 21, 2024;</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March 15, 2025, which is the assumed date of the closing of the merger solely for purposes of the disclosure in this section;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severance, the assumed termination date is March 15, 2025 which is the assumed date of the closing of the merger for purposes of the disclosure in this section.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Cash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Equity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Perquisites ($)</w:t>
            </w:r>
            <w:r>
              <w:rPr>
                <w:rFonts w:ascii="Times New Roman" w:cs="Times New Roman" w:eastAsia="Times New Roman" w:hAnsi="Times New Roman"/>
                <w:sz w:val="18"/>
                <w:szCs w:val="18"/>
                <w:b w:val="1"/>
                <w:bCs w:val="1"/>
                <w:color w:val="auto"/>
                <w:vertAlign w:val="superscript"/>
              </w:rPr>
              <w:t>(3)</w:t>
            </w:r>
          </w:p>
        </w:tc>
        <w:tc>
          <w:tcPr>
            <w:tcW w:w="200" w:type="dxa"/>
            <w:vAlign w:val="bottom"/>
          </w:tcPr>
          <w:p>
            <w:pPr>
              <w:spacing w:after="0"/>
              <w:rPr>
                <w:sz w:val="22"/>
                <w:szCs w:val="22"/>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Total ($)</w:t>
            </w:r>
            <w:r>
              <w:rPr>
                <w:rFonts w:ascii="Times New Roman" w:cs="Times New Roman" w:eastAsia="Times New Roman" w:hAnsi="Times New Roman"/>
                <w:sz w:val="18"/>
                <w:szCs w:val="18"/>
                <w:b w:val="1"/>
                <w:bCs w:val="1"/>
                <w:color w:val="auto"/>
                <w:vertAlign w:val="superscript"/>
              </w:rPr>
              <w:t>(4)</w:t>
            </w:r>
          </w:p>
        </w:tc>
      </w:tr>
      <w:tr>
        <w:trPr>
          <w:trHeight w:val="248"/>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746,094</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J. Shaffer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39,465</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severance amount payable to each named executive officer upon a termination of employment by Stronghold without cause or for good reason. The amounts payable in respect of such termination are “double-trigger” payments, which means that the amounts will become payable only on a termination of employment following the effective time of the merger. For Mr. Beard, amounts include $600,000 in severance payments and $121,644 for a pro-rated annual bonus for the year of termination, subject to Mr. Beard’s continued compliance with the restrictive covenants in his employment agreement, including his continued compliance with the non-competition and non-solicitation provisions for 12 months post-termination. Mr. Shaffer is not a party to any employment or severance arrangements and is not entitled to any severance payments on termination. For Mr. Smith, amounts represent a pro-rated payment of $56,250 for his 2024 annual bonus that is payable at the effective time, subject to Mr. Smith’s continued compliance with the restrictive covenants in his restrictive covenant agreement, including his continued compliance with the non-competition and non-solicitation provisions for 12 months post-termination.</w:t>
      </w:r>
    </w:p>
    <w:p>
      <w:pPr>
        <w:jc w:val="both"/>
        <w:ind w:left="880" w:right="459" w:hanging="426"/>
        <w:spacing w:after="0" w:line="264"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the unvested Stronghold RSUs held by each named executive officer as of the date hereof assuming the effective time of the merger is December 31, 2024. The amounts payable in respect of the outstanding and unvested Stronghold RSUs are “single-trigger” payments, which means that the amounts will become payable solely as a result of continued employment through the effective time of the merger. No Stronghold options are held by any named executive officer. Mr. Smith is not entitled to any accelerated vesting of his unvested Stronghold RSUs because he forfeited such Stronghold RSUs on his resignation, effective November 15, 2024.</w:t>
      </w:r>
    </w:p>
    <w:p>
      <w:pPr>
        <w:jc w:val="both"/>
        <w:ind w:left="880" w:right="459" w:hanging="426"/>
        <w:spacing w:after="0" w:line="264"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value of continuation of medical, dental, vision and health benefits provided to Mr. Beard by Stronghold for a period of 12 months following termination of employment. The continuation benefits provided to Mr. Beard are “double-trigger” payments. Mr. Shaffer is not entitled to any continuation benefits on termination. In connection with his resignation, Mr. Smith forfeited any continuation benefits under the Stronghold severance plan.</w:t>
      </w:r>
    </w:p>
    <w:p>
      <w:pPr>
        <w:jc w:val="both"/>
        <w:ind w:left="880" w:right="479" w:hanging="426"/>
        <w:spacing w:after="0" w:line="272"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do not reflect any reductions to “parachute payments” as defined by Code Section 280G in order to avoid any applicable excise tax thereunder. A definitive analysis of the need, if any, for such reductions will depend on the effective time, the date of termination (if any) of the named executive officer and certain other assumptions used in the applicable calculations.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in accordance with IFRS 3. Bitfarms, as the acquirer for accounting purposes, will record identifiable assets acquired and liabilities assumed from Stronghold at their respective fair values (except for limited exceptions where IFRS 3 requires a different measurement basis) at the date the merger is completed. Any excess of the merger consideration over the net fair value of such assets and liabilities will be recorded as goodwill. Conversely, any excess of the fair value of the identifiable assets acquired and liabilities assumed from Stronghold at their respective fair values over the total merger consideration would be recorded as a gain on merger.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operating results will be included in Bitfarms’ consolidated results of operations only for periods subsequent to the closing of the merger. The earnings of Bitfarms following closing of the merger will reflect acquisition accounting adjustments, including the effect of changes in the carrying value for assets and liabilities on depreciation expense, amortization expense and interest expense. Indefinite-lived intangible assets, including goodwill, will not be amortized but will be tested for impairment at least annually, and all tangible and intangible assets including goodwill will be tested for impairment when certain indicators are present. If, in the future, Bitfarms determines that tangible or intangible assets (including goodwill) are impaired, Bitfarms would record an impairment charge at that time.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presented in this proxy statement/prospectus has been derived from the historical unaudited interim condensed consolidated financial statements of Bitfarms and Stronghold as at, and for the nine months ended, September 30, 2024 and the audited historical consolidated financial statements of Bitfarms and Stronghold as at, and for the fiscal year ended, December 31, 2023.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presents the financial position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September 30, 2024.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earnings (loss) for the nine months ended September 30, 2024 and the year ended December 31, 2023, presents the results of operations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January 1,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deliver such filings and obtain such approvals necessary to complete the merger and the other transactions contemplated by the merger agreement (except for the filings and notifications made pursuant to the HSR Act as described below).</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FTC, the DOJ, state attorneys general, and others may challenge the merger on antitrust grounds either before or after the expiration or termination of the applicable waiting period. Accordingly, at any time before or after completion of the merger, any of the FTC, the DOJ or other regulatory authorities could take action under the antitrust laws, including without limitation seeking to enjoin the completion of the merger or permitting completion subject to regulatory concessions or conditions. Neither Stronghold nor Bitfarms believes that the merger violates federal or state antitrust laws, but there can be no assurance that a challenge to the merger on antitrust grounds will not be made or, if such a challenge is made, that it would not be successful.</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merger agreement, Stronghold is required to cause the Scrubgrass Project Company and the Panther Creek Project Company to file with FERC the “informational filing” required under Section 2 of the PJM Tariff and a request for a waiver of the 90-day period set forth on Schedule 2 of the PJM Tariff. On September 12, 2024, the Scrubgrass Project Company and the Panther Creek Project Company made these filings in FERC Docket Nos. ER24-3031 and ER24-3030, respectively.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if and when any of the approvals required to be obtained for the merger and the other transactions contemplated by the merger agreement will be obtained or as to the conditions or limitations that such approvals may contain or impose.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4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the time of this filing, Stronghold has received a number of demand letters from purported Stronghold stockholders. The demand letters generally allege that the proxy statement/prospectus misstates and/or omits material information related to the merger. The demand letters generally request that Stronghold or Bitfarms, as the case may be, disseminate corrective disclosures to cure the alleged misstatements and/or omissions in the proxy statement/prospectus. No lawsuits have thus far been filed in connection with these demand letters, and Stronghold and Bitfarms believe the allegations in the letters are without merit.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possible that additional, similar demand letters may be received or complaints may be filed asserting similar allegations. Stronghold and Bitfarms cannot predict the outcome of any disputes arising from the demands set forth in the demand letters. Any lawsuits related to the merger, including those relating to the allegations in the demand letters, could prevent or delay completion of the merger and result in substantial costs to Stronghold and Bitfarms, including any costs associated with indemnification.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Resales of Bitfarms Common Shares Received in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registered under the U.S. Securities Act and will be freely transferable under the U.S. Securities Act, except for shares issued to any shareholder who may be deemed to be an “affiliate” of Bitfarms for purposes of Rule 144 under the U.S. Securities Act. Persons who may be deemed to be affiliates include individuals or entities that control, are controlled by, or are under the common control with Bitfarms and may include the executive officers, directors and significant shareholders of Bitfarms. This proxy statement/prospectus does not cover resale of Bitfarms common shares received by any person upon completion of the merger, and no person is authorized to make use of this proxy statement/prospectus in connection with any such resale.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freely transferable in Canada under applicable Canadian securities laws, provided that (i) the trade is not a control distribution (within the meaning of applicable Canadian securities laws), (ii) no unusual effort is made to prepare the market or to create a demand for the Bitfarms common shares that are the subject of the trade, (iii) no extraordinary commission or consideration is paid to a person or company in respect of the trade and (iv) if the selling Bitfarms shareholder is an insider or officer of Bitfarms, the selling Bitfarms shareholder has no reasonable grounds to believe that Bitfarms is in default of Canadian securities legislation.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nor Stronghold have paid any dividends relating to the Bitfarms common shares or the Stronghold common stock, respectively. It is not anticipated that Bitfarms or Stronghold will pay any dividends in the immediate or foreseeable future.</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neither Bitfarms nor Stronghold is permitted to pay any dividends or make any other distributions on its capital stock except in certain limited circumstances.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U.S. federal income tax consequences of the merger that may be relevant to holders of Stronghold Class A common stock, as well as consequences to U.S. holders (as defined below) of the ownership and disposition of Bitfarms common shares received pursuant to the merger. This discussion does not address any tax treatment of any other transactions occurring in connection with the merger, including the exchanges and the conversion. This discussion is limited to holders who hold their Stronghold Class A common stock,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will hold their Bitfarms common shares received pursuant to the merger, as “capital assets” within the meaning of Section 1221 of the Code (generally, property held for investment). This discussion is based on current provisions of the Code, the Treasury regulations promulgated thereunder, judicial interpretations thereof and administrative rulings and published positions of the IRS, each as in effect as of the date hereof, and all of which are subject to change or differing interpretations, possibly with retroactive effect, any of which changes could affect the accuracy of the statements and conclusions set forth herein.</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discussion does not purport to address all aspects of U.S. federal income taxation that may be relevant to a particular holder of Stronghold Class A common stock in light of their particular facts and circumstances, nor does it apply to holders of Stronghold Class A common stock that are subject to special rules under the United States federal income tax laws (including, for example, banks or other financial institutions; dealers in securities or currencies; traders in securities that elect to apply a mark-to-market method of accounting; insurance companies; tax-exempt entities;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holders liable for the alternative minimum tax; certain former citizens or former long-term residents of the United States; holders having a functional currency other than the U.S. dollar; holders who hold their Stronghold Class A common stock as part of a hedge, straddle, constructive sale, conversion transaction or other integrated transaction; holders subject to special tax accounting rules as a result of any item of gross income with respect to Stronghold Class A common stock being taken into account in an “applicable financial statement” as defined in Section 451(b) of the Code; except as expressly discussed below, holders who own or will own at least 5% by vote or value of Stronghold Class A common stock (immediately prior to the merger) or of Bitfarms common shares (immediately after the merger); and holders who acquired their Stronghold Class A common stock through the exercise of an employee stock option or otherwise as compensation or through a tax-qualified retirement plan or pursuant to the exchanges or conversion). This discussion does not describe any state, local or foreign tax law considerations, or any aspect of U.S. federal tax law other than income taxation (e.g., alternative minimum tax, the 3.8% Medicare tax on certain net investment income, or estate or gift tax).</w:t>
      </w:r>
    </w:p>
    <w:p>
      <w:pPr>
        <w:spacing w:after="0" w:line="33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Stronghold Class A common stock, or will own Bitfarms common shares received pursuant to the merger, the tax treatment of a person treated as a partner in such partnership generally will depend on the status of the partner and the activities of the partnership. Persons that for U.S. federal income tax purposes are treated as partners in a partnership holding Stronghold Class A common stock, or that will hold Bitfarms common shares received pursuant to the merger, should consult their own tax advisors regarding the tax consequences to them of the merger and the ownership and disposition of Bitfarms common shares after the merger.</w:t>
      </w:r>
    </w:p>
    <w:p>
      <w:pPr>
        <w:spacing w:after="0" w:line="104"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ALL HOLDERS OF STRONGHOLD COMMON STOCK SHOULD CONSULT THEIR OWN TAX ADVISORS AS TO THE PARTICULAR TAX CONSEQUENCES TO THEM OF THE MERGER AND THE OWNERSHIP AND DISPOSITION OF BITFARMS COMMON SHARES RECEIVED PURSUANT TO THE MERGER, INCLUDING THE APPLICABILITY AND EFFECT OF ANY U.S. FEDERAL, STATE, LOCAL, NON-U.S. AND OTHER TAX LAWS.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Stronghold Class A common stock (prior to the merger) or Bitfarms common shares (following the merger) that is, for United States federal income tax purposes:</w:t>
      </w:r>
    </w:p>
    <w:p>
      <w:pPr>
        <w:spacing w:after="0" w:line="108" w:lineRule="exact"/>
        <w:rPr>
          <w:sz w:val="20"/>
          <w:szCs w:val="20"/>
          <w:color w:val="auto"/>
        </w:rPr>
      </w:pPr>
    </w:p>
    <w:p>
      <w:pPr>
        <w:ind w:left="1320" w:hanging="434"/>
        <w:spacing w:after="0"/>
        <w:tabs>
          <w:tab w:leader="none" w:pos="1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in the United States or under the laws of the United States or any subdivision thereof;</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Stronghold Class A common stock (prior to the merger) or Bitfarms common shares (following the merger) that is not a U.S. holder or a partnership (or any other entity classified as a partnership for U.S. federal income tax purposes).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 Generally</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the remainder of this discussion assumes that the merger will be so treated.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U.S. Holders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general, a U.S. holder that receives Bitfarms common shares pursuant to the merger will recognize gain or loss equal to the difference, if any, between (i) the fair market value of Bitfarms common shares received and the amount of cash received in lieu of fractional Bitfarms common shares and (ii) such U.S. holder’s adjusted tax basis in its Stronghold Class A common stock exchanged in the merger. A U.S. holder’s adjusted tax basis in Stronghold Class A common stock generally will equal the price the U.S. holder paid for such shares. Such gain or loss will be capital gain or loss and generally will be treated as long-term capital gain or loss if the U.S. holder has held the Stronghold Class A common stock for more than one year at the effective time of the merger. Long-term capital gains of non-corporate U.S. holders (including individuals) are generally eligible for reduced rates of taxation. The deductibility of capital losses is subject to limitations. If a U.S. holder acquired different blocks of Stronghold Class A common stock at different times or at different prices, any gain or loss and the holding period with respect to the Stronghold Class A common stock exchanged must be determined separately, with respect to each block of Stronghold Class A common stock that is exchanged.</w:t>
      </w:r>
    </w:p>
    <w:p>
      <w:pPr>
        <w:spacing w:after="0" w:line="10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U.S. holder’s aggregate tax basis in its Bitfarms common shares received in the merger will equal the fair market value of such shares at the effective time of the merger, and the U.S. holder’s holding period for such shares will begin on the day after the merger.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Non-U.S. Holders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non-U.S. holder’s receipt of Bitfarms common shares in exchange for Stronghold Class A common stock pursuant to the merger generally will not be subject to U.S. federal income tax unless:</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such shares is effectively connected with a trade or business of the non-U.S. holder in the United States (and, if required by an applicable income tax treaty, is attributable to the non-U.S. holder’s permanent establishment in the United States);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exchange of Stronghold Class A common stock for Bitfarms common shares pursuant to the merger and certain other conditions are met;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Stronghold Class A common stock constitute “United States real property interests” (“USRPIs”) for U.S. federal income tax purposes by reason of Stronghold’s status as a “United States real property holding corporation” (“USRPHC”) at any time during the shorter of the five-year period preceding the merger and the non-U.S. holder’s holding period in the Stronghold Class A common stock; provided, that generally only non-U.S. holders who have held more than 5% of the Stronghold Class A common stock at any time during such five-year or shorter period will be subject to taxation under this rule, as described below.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generally be subject to regular U.S. federal income tax on any gain realized as if the non-U.S. holder were a U.S. holder, as described above. If such non-U.S. holder is a corporation, it may also be subject to a branch profits tax imposed at a rate of 30% (or a lower treaty rate) on its effectively connected earnings and profits for the taxable year, subject to certain adjustments. A non-U.S. holder described in the second bullet point immediately above will be subject to tax at a rate of 30% (or a lower treaty rate) on any gain realized, which may be offset by certain U.S. source capital losses recognized in the same taxable year, even though the individual is not considered a resident of the United States.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non-U.S. holder whose gain is described in the third bullet point above generally will be taxed on a net income basis at the rates and in the manner generally applicable to U.S. holders. A corporation generally is characterized as a USRPHC if the fair market value of the USRPIs owned by the corporation and certain of its subsidiaries equals or exceeds 50% of the sum of the fair market value of (i) the USRPIs owned by the corporation and certain of its subsidiaries, (ii) interests in real property located outside of the United States owned by the corporation and certain of its subsidiaries and (iii) other assets used or held for use by the corporation and certain of its subsidiaries in a trade or business. USRPIs include any interest (other than an interest solely as a creditor) in real property located in the United States or the Virgin Islands and in another USRPHC. Real property generally includes land and unsevered natural products of the land, improvements on land and personal property associated with the use of real property within the meaning of applicable Treasury Regulations.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Stronghold believes that it is not, and has not been a USRPHC, it has not recently undertaken a complete analysis as to whether it may have been a USRPHC at any time during the preceding five years. Accordingly, no assurances can be provided that Stronghold was not a USRPHC at any time during the relevant period. Nevertheless, in the event that Stronghold were a USRPHC at any time during such period, as long as the Stronghold Class A common stock is considered regularly traded on an established securities market (which includes Nasdaq, on which the Stronghold Class A common stock is listed) as of the effective time, gain from the exchange of Stronghold Class A common stock for Bitfarms common shares in the merger will be subject to taxation only with respect to a non-U.S. holder that actually or constructively held more than 5% of the Stronghold Class A common stock at any time during the five-year period ending on the date of the merger.</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foregoing rules in light of their particular facts and circumstances.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 for U.S. Holders Owning and Disposing of Bitfarms Common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subject to the PFIC rules discussed below, the gross amount of any distribution received by a U.S. holder with respect to its Bitfarms common shares (including amounts withheld to pay Canadian withholding taxes) will be included in the gross income of the U.S. holder as dividend income to the extent attributable to Bitfarms’ current or accumulated earnings and profits, as determined under U.S. federal income tax principles. Distributions in excess of current and accumulated earnings and profits, as determined for U.S. federal income tax purposes, would be treated as a non-taxable return of capital to the extent of your basis in the Bitfarms common shares and thereafter as capital gain. However, Bitfarms does not expect to calculate earnings and profits in accordance with U.S. federal income tax principles. Accordingly, you should expect to generally treat distributions if any made by Bitfarms as dividends.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you are an individual or other non-corporate U.S. holder, dividends that constitute qualified dividend income will be taxable to you at the preferential rates applicable to long-term capital gains. Dividends with respect to Bitfarms common shares generally will be qualified dividend income, provided that (i) Bitfarms is not a PFIC in the taxable year of the dividend or the preceding taxable year, (ii) Bitfarms is not a surrogate foreign corporation within the meaning of Section 7874 of the Code, and (iii) you meet certain holding period requirements. The dividend will not be eligible for the dividends-received deduction generally allowed to U.S. corporations in respect of dividends received from other U.S. corporations.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amount of the dividend distribution that you must include in your income as a U.S. holder will be the U.S. dollar value of the Canadian dollar payments made, determined at the spot Canadian dollar/U.S. dollar rate on the date the dividend distribution is includible in your income, regardless of whether the payment is in fact converted into U.S. dollars (and with the value of such distributions computed before any reduction for any Canadian withholding tax).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Such foreign exchange gain or loss generally will be income or loss from sources within the United States for foreign tax credit limitation purposes.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any Canadian tax withheld will be creditable or deductible against your U.S. federal income tax liability. Special rules apply in determining the foreign tax credit limitation with respect to dividends that are subject to the preferential tax rates. To the extent a refund of the tax withheld is available to you, the amount of tax withheld that is refundable will not be eligible for credit against your U.S. federal income tax liability.</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generally will be income from sources outside the United States and will, depending on your circumstances, generally be considered “passive” income for purposes of computing the foreign tax credit allowable to you. The rules governing the foreign tax credit are complex and involve the application of rules that depend upon a U.S. holder’s particular circumstances. Accordingly, U.S. holders are urged to consult their own tax advisors regarding the availability of the foreign tax credit under their particular circumstances.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if you are a U.S. holder and you sell or otherwise dispose of your Bitfarms common shares in a taxable disposition, you will recognize capital gain or loss for U.S. federal income tax purposes equal to the difference between the U.S. dollar value of the amount that you realize and your tax basis, determined in U.S. dollars, in your Bitfarms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PFIC Rules</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(i) 75% or more of its gross income is “passive income” under the PFIC rules or (ii)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3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not free from doubt, Bitfarms does not believe it was a PFIC for 2023 and does not expect to be a PFIC for 2024. Bitfarms’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Bitfarms will not be classified as a PFIC for any taxable year. U.S. holders are urged to consult their tax advisors regarding Bitfarms’ status as a PFIC and the U.S. federal income tax consequences that may apply if Bitfarms is determined to be a PFIC in any taxable year.</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Bitfarms is classified as a PFIC, a U.S. holder that does not make any of the elections described below would be required to report any gain on the disposition of Bitfarms common shares as ordinary income, rather than as capital gain, and to compute the tax liability on the gain and any excess distribution (as defined below) received in respect of Bitfarms common shares as if such items had been earned ratably over each day in the U.S. holder’s holding period (or a portion thereof) for Bitfarms common shares. The amounts allocated to the taxable year during which the gain is realized or distribution is made, and to any taxable years in such U.S. holder’s holding period that are before the first taxable year in which Bitfarms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Bitfarms common shares as security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for a loan may be treated as a taxable disposition of Bitfarms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Bitfarms common shares). With respect to any non-excess distribution made by a PFIC, the favorable tax rate described above under “Dividends” with respect to dividends paid to certain non-corporate U.S. holders will not apply.</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Bitfarms is treated as a PFIC with respect to such U.S. holder and any of Bitfarms’ subsidiaries is also treated as a PFIC. In such a case, the U.S. holder will generally be deemed to own its proportionate interest (by value) in any Bitfarms subsidiary treated as a PFIC and be subject to the PFIC rules described above with respect to such subsidiary regardless of such U.S. holder’s percentage ownership in Bitfarms.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Bitfarms is classified as a PFIC, it may be advantageous for a U.S. holder to elect to treat Bitfarms as a “qualified electing fund” with respect to such U.S. holder in the first year in which it holds Bitfarms common shares. If a U.S. holder makes a timely QEF election with respect to Bitfarms, provided that the necessary information is provided by Bitfarms, the electing U.S. holder would be required in each taxable year that Bitfarms is considered a PFIC to include in gross income (i) as ordinary income, the U.S. holder’s pro rata share of the ordinary earnings of Bitfarms and (ii) as capital gain, the U.S. holder’s pro rata share of the net capital gain (if any) of Bitfarms, whether or not the ordinary earnings or net capital gain are distributed. An electing U.S. holder’s basis in Bitfarms common shares will be increased to reflect the amount of any taxed but undistributed income. Distributions of income that had previously been taxed will result in a corresponding reduction of basis in Bitfarms common shares and will not be taxed again as distributions to the U.S. holder.</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QEF election made with respect to Bitfarms will not apply to any Bitfarms subsidiary treated as a PFIC; a QEF election must be made separately for each Bitfarms subsidiary treated as a PFIC (in which case the treatment described above would apply to such subsidiary). If a U.S. holder makes a timely QEF election with respect to a Bitfarms subsidiary treated as a PFIC, it would be required in each taxable year to include in gross income its pro rata share of the ordinary earnings and net capital gain of such subsidiary,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Bitfarms common shares or from the receipt of excess distributions may be greater than the tax if a timely QEF election is made. U.S. holders should be aware that Bitfarms does not intend to provide the information necessary for U.S. holders to make a QEF election if Bitfarms is classified as a PFIC for any year. U.S. holders are urged to consult their own tax advisors about the U.S. federal income tax consequences to them if they are unable to make a timely and valid QEF election for any taxable year in which Bitfarms is treated as PFIC.</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Alternatively, if Bitfarms were to be classified as a PFIC, a U.S. holder could also avoid certain of the rules described above by making a mark-to-market election, instead of a QEF election, provided Bitfarms common shares are treated as regularly traded on a qualified exchange or other market within the meaning of the applicable U.S. Treasury Regulations. However, a U.S. holder will not be permitted to make a mark-to-market election with respect to a Bitfarms subsidiary treated as a PFIC. U.S. holders should consult their own tax advisers regarding the potential availability and consequences of a mark-to-market election, as well as the advisability of making a protective QEF election in case Bitfarms is classified as a PFIC in any taxable year.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any taxable year in which Bitfarms or any Bitfarms subsidiary is classified as a PFIC with respect to a U.S. holder, that U.S. holder generally must file IRS Form 8621. U.S. holders should consult their own tax advisers concerning annual filing requirements.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circumstances, a higher threshold) may be required to file an information report with respect to such assets with their tax returns. “Specified foreign financial assets” include financial accounts maintained by foreign financial institutions, as well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but only if they are held for investment and not held in accounts maintained by financial institutions: (i) stocks and securities issued by non-U.S. persons, (ii) financial instruments and contracts that have non-U.S. issuers or counterparties and (iii) interests in foreign entities. U.S. holders are urged to consult their own tax advisors regarding the application of this reporting requirement to their ownership of the Bitfarms common shares.</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does not address tax consequences that may vary with, or are contingent on, individual circumstances. Moreover, it only addresses U.S. federal income tax and does not address any non-income tax or any state, local or non-U.S. tax consequences. You should consult your own tax advisors concerning the U.S. federal income tax consequences of the merger and the ownership of Bitfarms common shares in light of your particular situation, as well as any consequences arising under the laws of any other taxing jurisdiction.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summary describes certain material Canadian federal income tax considerations under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the regulations thereunder (collectively, the “Tax Act”), as of the date hereof,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applicable to a beneficial owner of Bitfarms common shares acquired under the merger that for the purposes of the Tax Act and at all relevant times: (i) is not, and is not deemed to be, resident in Canada,</w:t>
      </w:r>
    </w:p>
    <w:p>
      <w:pPr>
        <w:spacing w:after="0" w:line="3" w:lineRule="exact"/>
        <w:rPr>
          <w:sz w:val="20"/>
          <w:szCs w:val="20"/>
          <w:color w:val="auto"/>
        </w:rPr>
      </w:pPr>
    </w:p>
    <w:p>
      <w:pPr>
        <w:jc w:val="both"/>
        <w:ind w:left="460" w:right="459" w:hanging="6"/>
        <w:spacing w:after="0" w:line="251" w:lineRule="auto"/>
        <w:tabs>
          <w:tab w:leader="none" w:pos="73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with Bitfarms, (iii) is not affiliated with Bitfarms, and (iv) holds its Bitfarms common shares as capital property and does not use or hold, and is not deemed to use or hold, any such securities in connection with a business carried on in Canada (each a “Holder”). Generally, the Bitfarms common shares will be capital property to a Holder unless such shares are held or acquired, or are deemed to be held or acquired, in the course of carrying on a business of trading or dealing in securities or in one or more transactions considered to be an adventure or concern in the nature of trade. This summary does not apply to a Holder that is an “authorized foreign bank” (as defined in the Tax Act). For greater certainty, this summary does not apply to existing shareholders of Bitfarms.</w:t>
      </w:r>
    </w:p>
    <w:p>
      <w:pPr>
        <w:spacing w:after="0" w:line="113" w:lineRule="exact"/>
        <w:rPr>
          <w:sz w:val="20"/>
          <w:szCs w:val="20"/>
          <w:color w:val="auto"/>
        </w:rPr>
      </w:pPr>
    </w:p>
    <w:p>
      <w:pPr>
        <w:jc w:val="both"/>
        <w:ind w:left="460" w:right="459"/>
        <w:spacing w:after="0" w:line="270" w:lineRule="auto"/>
        <w:rPr>
          <w:sz w:val="20"/>
          <w:szCs w:val="20"/>
          <w:color w:val="auto"/>
        </w:rPr>
      </w:pPr>
      <w:r>
        <w:rPr>
          <w:rFonts w:ascii="Times New Roman" w:cs="Times New Roman" w:eastAsia="Times New Roman" w:hAnsi="Times New Roman"/>
          <w:sz w:val="17"/>
          <w:szCs w:val="17"/>
          <w:color w:val="auto"/>
        </w:rPr>
        <w:t>This summary is based on the current provisions of the Tax Act and an understanding of the current administrative policies and assessing practices of the Canada Revenue Agency (the “CRA”) published in writing and publicly available prior to the date hereof. This summary takes into account all specific proposals to amend the Tax Act that have been publicly announced by or on behalf of the Minister of Finance (Canada) prior to the date hereof (the “Proposed Amendments”) and assumes that the Proposed Amendments will be enacted in the form proposed. However, no assurances can be given that the Proposed Amendments will be enacted as proposed, or at all. Except for the Proposed Amendments, this summary does not take into account or anticipate any changes in law or administrative policies or assessing practice of the CRA whether by legislative, regulatory, administrative or judicial action nor does it take into account tax legislation or considerations of any province, territory, state, local, foreign or other jurisdiction, which may be different from those discussed herein.</w:t>
      </w:r>
    </w:p>
    <w:p>
      <w:pPr>
        <w:spacing w:after="0" w:line="10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is not exhaustive of all possible Canadian federal income tax considerations applicable in the respect of the merger, and is not intended to be, and should not construed to be, legal, business or tax advice to any particular holder. Accordingly, holders should consult their own tax advisors having regard to their own particular circumstances, including with respect to the tax consequences to them of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certain exceptions that are not discussed herein, for purposes of the Tax Act, any amount relating to the acquisition, holding or disposition of Bitfarms common shares including dividends, adjusted cost base and proceeds of disposition, must be expressed in Canadian dollars. Amounts denominated in another currency must be converted into Canadian Dollars using the relevant spot rate (as defined in the Tax Act), which generally is the rate quoted by the Bank of Canada on the particular day, or such other rate of exchange as is acceptable to the Minister of Finance (Canada).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on the Bitfarms Common Shares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Holder on Bitfarms common shares will be subject to withholding tax under the Tax Act at a rate of 25% unless the rate is reduced under the provisions of an applicable income tax treaty or convention between Canada and the country in which the Holder is resident for purposes of such treaty or convention and in respect of which the Holder is entitled to receive benefits thereunder. In the case of</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beneficial owner of dividends who is a resident of the United States for purposes of the Canada-United States Tax Convention (1980), as amended, and who is fully entitled to the benefits of that treaty, the rate of Canadian withholding tax will generally be reduced to 15%. Holders should consult their own tax advisors in this regard.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a Bitfarms Common Share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Holder will not be subject to tax under the Tax Act on any capital gain realized on the disposition or deemed disposition of Bitfarms common shares, unless such Bitfarms common shares are “taxable Canadian property” to the Holder for purposes of the Tax Act and the Bitfarms common shares are not “treaty-protected property” of the Holder for purposes of the Tax Act at the time of disposition or deemed disposition.</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Generally, the Bitfarms common shares will not constitute taxable Canadian property to a Holder at the time of disposition if the Bitfarms common shares are listed at that time on a designated stock exchange (which includes Nasdaq and the TSX) and at any particular time during the 60-month period that ends at that time:</w:t>
      </w:r>
    </w:p>
    <w:p>
      <w:pPr>
        <w:spacing w:after="0" w:line="1" w:lineRule="exact"/>
        <w:rPr>
          <w:sz w:val="20"/>
          <w:szCs w:val="20"/>
          <w:color w:val="auto"/>
        </w:rPr>
      </w:pPr>
    </w:p>
    <w:p>
      <w:pPr>
        <w:jc w:val="both"/>
        <w:ind w:left="460" w:right="459" w:hanging="6"/>
        <w:spacing w:after="0" w:line="250" w:lineRule="auto"/>
        <w:tabs>
          <w:tab w:leader="none" w:pos="6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any combination of: (a) the Holder, (b) persons with whom the Holder does not deal with at arm’s length, and (c) partnerships in which the Holder or a person described in (b) holds a membership interest directly or indirectly through one or more partnerships, has not owned 25% or more of the issued shares of any class or series of the capital stock of Bitfarms, and (ii) not more than 50% of the fair market value of the Bitfarms common shares was derived directly or indirectly from one or any combination of: (a) real or immovable properties situated in Canada, (b) “Canadian resource properties” (as defined in the Tax Act),</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“timber resource properties” (as defined in the Tax Act), and (d) options in respect of, or interests in, or for civil law rights in, property in any of the foregoing whether or not the property exists. Notwithstanding the foregoing, in certain circumstances set out in the Tax Act, Bitfarms common shares could be deemed to be taxable Canadian property.</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the Bitfarms common shares are taxable Canadian property to a Holder, a taxable capital gain resulting from the disposition of the Bitfarms common shares will not be included in computing the Holder’s taxable income earned in Canada for the purposes of the Tax Act if, at the time of the disposition, the Bitfarms common shares constitute “treaty-protected property” of the Holder for purposes of the Tax Act. The Bitfarms common shares will generally be considered “treaty-protected property” of a Holder for purposes of the Tax Act if at the time of the disposition any gain from their disposition would, because of an applicable income tax treaty between Canada and the country in which the Holder is resident for purposes of such treaty and in respect of which the Holder is entitled to receive benefits thereunder, be exempt from tax under the Tax Act.</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event that the Bitfarms common shares are considered to be taxable Canadian property but not treaty-protected property, such Holder will realize a capital gain (or capital loss) as if the Holder were resident in Canada.</w:t>
      </w:r>
    </w:p>
    <w:p>
      <w:pPr>
        <w:spacing w:after="0" w:line="10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Holders whose Bitfarms common shares are or may be taxable Canadian property should consult their own advisors for advice having regard to their particular circumstances, including whether their Bitfarms common shares constitute treaty-protected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2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(845) 579-5992</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describes the material provisions of the merger agreement, which is attached as Annex A-1 (the initial merger agreement) and Annex A-2 (amendment no. 1) to this proxy statement/prospectus and incorporated by reference herein, and certain exhibits thereto.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Bitfarms and Stronghold encourage you to read carefully the merger agreement in its entirety before making any investment or voting decisions as it is the principal legal document governing the merger between Bitfarms and Stronghold described in this proxy statement/prospectus. This section is only intended to provide you with information regarding the terms of the merger agreement. Neither Bitfarms nor Stronghold intends that the merger agreement will be a source of business or operational information about Bitfarms or Stronghold. Accordingly, the representations, warranties, covenants and other agreements in the merger agreement should not be read alone, and you should read the information provided elsewhere in this proxy statement/prospectus and in the public filings Bitfarms and Stronghold make with the SEC, as applicable, as described in “Where You Can Find Additional Information.”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its terms have been included to provide you with information regarding the terms of the merger agreement. Bitfarms and Stronghold are responsible for considering whether additional disclosure of material information is required to make the statements in this proxy statement/prospectus not misleading. Factual disclosures about Bitfarms and Stronghold contained in this proxy statement/prospectus or Bitfarms’ or Stronghold’s public reports filed with the SEC may supplement, update or modify the factual disclosures about Bitfarms or Stronghold contained in the merger agreement and described in this summary. The representations, warranties and covenants made in the merger agreement by Bitfarms and Stronghold are qualified and subject to important limitations agreed to by Bitfarms and Stronghold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September 12, 2024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For more information,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the Merger; Merger Consideration; Other Agreements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and in accordance with the applicable provisions of the DGCL, at the effective time, Merger Sub will merge with and into Stronghold, with Stronghold continuing its existence as the surviving corporation following the merger, as an indirect, wholly-owned subsidiary of Bitfarms.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Stronghold Class A common stock issued and outstanding immediately prior to the effective time after giving effect to the conversion and the exchanges (other than shares of Stronghold Class A common stock held in treasury by Stronghold or by Bitfarms or Merger Sub, which shall automatically be cancelled and cease to exist, and no consideration shall be delivered in exchange therefor) will be converted automatically into the right to receive 2.520 Bitfarms common shares, with cash paid in lieu of the issuance of fractional Bitfarms common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merger. In lieu of any fractional Bitfarms common share to which a Stronghold stockholder would otherwise have been entitled, each Stronghold stockholder shall receive cash, without interest, in an amount equal to the product of (i) such fraction of a Bitfarms common share multiplied by (ii) the closing price per Bitfarms common share on the business day immediately prior to the closing date.</w:t>
      </w:r>
    </w:p>
    <w:p>
      <w:pPr>
        <w:spacing w:after="0" w:line="11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Immediately prior to and conditioned upon the effective time of the merger (i)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(ii)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(i) certain Stronghold stockholders entered into a voting agreement with Bitfarms, pursuant to which, among other things, such Stronghold stockholders have agreed to vote their shares of Stronghold common stock in favor of the approval and adoption of the merger agreement and the transactions contemplated thereby, including the merger, and (ii) Stronghold, Bitfarms and the holders of certain rights under the TRA (the “TRA holders”) executed a waiver of the TRA holders’ rights under the tax receivable agreement, including the waiver of the rights to receive any further payments under the tax receivable agreement, as a result of the transactions contemplated by the merger agreement, to be effective at, and contingent upon, the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Completion of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the closing of the merger will take place on a date that is three business days after the satisfaction or, to the extent permitted by applicable law, waiver in accordance with the terms of the merger agreement of all the conditions to closing (other than any such conditions which by their nature cannot be satisfied until the date of closing, but subject to the satisfaction or waiver of such conditions on the closing date of the merger).</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soon as practicable following the closing, a certificate of merger with respect to the merger, in the form attached as an exhibit to the merger agreement, will be filed with the Office of the Secretary of State of the State of Delaware. The merger will become effective upon the filing and acceptance of the certificate of merger with the Office of the Secretary of State of the State of Delaware or at such other time as may be specified in the certificate of merger.</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Bitfarms and Stronghold expect to complete the merger in the first quarter of 2025, subject to receipt of the required Stronghold stockholder approval, regulatory approvals and the satisfaction or waiver of all other conditions to the merger (described below under “—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Equity-Based Awards; Stronghold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RSUs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Stronghold RSU (whether vested or unvested) that is outstanding immediately prior to the effective time shall, at the effective time, automatically and without any action on the part of Bitfarms, Stronghold or any holder thereof, immediately vest in full and be treated as a share of Stronghold Class A common stock for all purposes of the merger agreement, including the right to receive the per share merger consideration in accordance with the terms of the merger agreement, except that, pursuant to the schedules to the merger agreement, each Interim Stronghold RSU will be assumed by Bitfarms and converted into a number of Bitfarms RSUs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Options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effective time, each Stronghold option (whether vested or unvested) that is outstanding immediately prior to the effective time, other than the former employee options, shall, automatically and without any required action on the part of the holder thereof, be assumed by Bitfarms and converted into a new Bitfarms option. Each new Bitfarms option shall continue to have and be subject to substantially the same terms and conditions as were applicable to such Stronghold option immediately prior to the effective time (including with respect to vesting conditions, expiration date, and exercise provisions), except that (i) each new Bitfarms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new Bitfarms option shall be (rounded, if necessary, up to the nearest whole cent) equal to the exercise price per share of Stronghold Class A common stock under such Stronghold option divided by the exchange ratio.</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Warrants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Stronghold warrant that is issued and outstanding immediately prior to the effective time, unless otherwise mutually agreed by the holder of any such Stronghold warrant and Bitfarms, each Stronghold warrant shall cease to represent a right to acquire Stronghold Class A common stock and shall be replaced with a warrant to acquire Bitfarms common shares, with (i) the number of such Bitfarms common shares equal to the product obtained by multiplying the number of shares of Stronghold Class A common stock subject to such Stronghold warrant immediately prior to the effective time by the exchange ratio, and (ii) an exercise price for each such Bitfarms common share equal to the quotient obtained by dividing the exercise price per share of Stronghold Class A common stock under such Stronghold warrant by the exchange ratio.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Prior to the effective time, Bitfarms will select a nationally recognized financial institution or trust company reasonably acceptable to Stronghold to act as the exchange agent (the “exchange agent”) in connection with the merger and to receive a deposit of the merger consideration to which the Stronghold stockholders are entitled pursuant to the merger agreement.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closing date and prior to the filing of the certificate of merger, Bitfarms will deposit or cause to be deposited with the exchange agent, for the benefit of the holders of eligible shares, (i) evidence of Bitfarms common shares in book-entry form equal to the aggregate per share merger consideration (excluding any payments made in lieu of any fractional shares) and (ii) cash in immediately available funds in an amount sufficient to pay the payments made in lieu of any fractional shares.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interest shall be paid or accrue on any cash portion of the per share merger consideration payable upon surrender of any Stronghold stock certificate (or affidavits of loss in lieu thereof) or Stronghold book-entry shares.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Stronghold, BMS, Merger Sub, the surviving corporation and the exchange agent will be entitled to deduct or withhold from payments made pursuant to the merger agreement any amounts as may be required to be deducted or withheld under applicable tax law with respect to such payment under applicable tax laws.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any portion of the per share merger consideration deposited with the exchange agent is not claimed within 365 days following the effective time, such per share merger consideration will be delivered to the surviving corporation, upon demand, and any former Stronghold stockholders who have not theretofore received the merger consideration to which they are entitled will thereafter look only to the surviving corporation and Bitfarms for satisfaction of their claim for such amounts.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but in no event more than two business days after the closing date, Bitfarms shall cause the exchange agent to deliver to each record holder, as of immediately prior to the effective time, of (i) an outstanding certificate or certificates which immediately prior to the effective time represented shares of Stronghold common stock or (ii) shares of Stronghold common stock represented by book-entry, a customary letter of transmittal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Bitfarms and Stronghold prior to the effective time) and instructions for use in effecting the surrender of the certificates or, in the case of book-entry shares, the surrender of such shares, for payment of the per share merger consideration pursuant to the merger agreement.</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surrender to the exchange agent of a certificate or book-entry shares that immediately prior to the effective time represented eligible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any Stronghold stock certificate is lost, stolen, or destroyed, upon the making of an affidavit of that fact by the person claiming such certificate to be lost, stolen, or destroyed and, if required by the surviving corporation, the posting of an indemnity bond in such amount as the surviving corporation may direct as indemnity against any claim that may be made against the surviving corporation with respect to such Stronghold stock certificate, the exchange agent shall issue in exchange for such lost, stolen or destroyed certificate the applicable per share merger consideration.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Bitfarms and Stronghold have each made representations and warranties to the other. Stronghold’s representations and warranties relate to, among other topics, the following:</w:t>
      </w:r>
    </w:p>
    <w:p>
      <w:pPr>
        <w:spacing w:after="0" w:line="94" w:lineRule="exact"/>
        <w:rPr>
          <w:sz w:val="20"/>
          <w:szCs w:val="20"/>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and internal controls and procedures;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employee benefits;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opinion of Stronghold’s financial advisor;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state takeover statutes and anti-takeover laws;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representations and warranties relate to, among other topics, the following:</w:t>
      </w:r>
    </w:p>
    <w:p>
      <w:pPr>
        <w:spacing w:after="0" w:line="158" w:lineRule="exact"/>
        <w:rPr>
          <w:sz w:val="20"/>
          <w:szCs w:val="20"/>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reports under applicable securities laws, financial statements and internal controls and procedures;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of Bitfarms common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Bitfarms shareholder voting requirement for approval of the transaction;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 of Stronghold capital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Merger Sub since its formation;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Certain of the representations and warranties given by Bitfarms and Stronghold, as applicable, are qualified as to “materiality” or “material adverse effect.” For purposes of the merger agreement, a “material adverse effect” with respect to a person means any fact, circumstance, effect, change, event or development that has had or is reasonably expected to have a material adverse effect on (i) the financial condition, business, assets and liabilities, or results of operations of a person and its, taken as a whole, subsidiaries or (ii) the ability of such person and its subsidiaries to consummate the merger and the other transactions contemplated by the merger agreement; provided, however, that no effect (by itself or when aggregated or taken together with any and all other effects) directly or indirectly resulting from, arising out of, attributable to, or related to any of the following shall be deemed to be or constitute a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“material adverse effect” has occurred or may, would or could occur: (1) general economic conditions (or changes in such conditions) or conditions in the global economy generally; (2) conditions (or changes in such conditions) in the securities markets, credit markets, currency markets or other financial markets, including</w:t>
      </w:r>
    </w:p>
    <w:p>
      <w:pPr>
        <w:spacing w:after="0" w:line="12" w:lineRule="exact"/>
        <w:rPr>
          <w:sz w:val="20"/>
          <w:szCs w:val="20"/>
          <w:color w:val="auto"/>
        </w:rPr>
      </w:pPr>
    </w:p>
    <w:p>
      <w:pPr>
        <w:jc w:val="both"/>
        <w:ind w:left="460" w:right="459" w:hanging="6"/>
        <w:spacing w:after="0" w:line="250" w:lineRule="auto"/>
        <w:tabs>
          <w:tab w:leader="none" w:pos="7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changes in exchange rates for the currencies of any countries and (B) any suspension of trading in securities (whether equity, debt, derivative or hybrid securities) generally on any securities exchange or over-the-counter market; (3) conditions (or changes in such conditions) in the currency, Bitcoin mining, cryptocurrency, electricity, power or natural gas industry (including changes in cryptocurrency prices, commodity prices, general market prices and regulatory changes affecting the industry); (4) political conditions (or changes in such conditions) or acts of war (whether or not declared), sabotage or terrorism (including any escalation or general worsening of any such acts of war, sabotage or terrorism); (5) epidemics, pandemics, earthquakes, hurricanes, tsunamis, tornadoes, floods, mudslides, wild fires or other natural disasters;</w:t>
      </w:r>
    </w:p>
    <w:p>
      <w:pPr>
        <w:spacing w:after="0" w:line="3" w:lineRule="exact"/>
        <w:rPr>
          <w:rFonts w:ascii="Times New Roman" w:cs="Times New Roman" w:eastAsia="Times New Roman" w:hAnsi="Times New Roman"/>
          <w:sz w:val="18"/>
          <w:szCs w:val="18"/>
          <w:color w:val="auto"/>
        </w:rPr>
      </w:pPr>
    </w:p>
    <w:p>
      <w:pPr>
        <w:jc w:val="both"/>
        <w:ind w:left="46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announcement of the merger agreement or the pendency or consummation of the transactions contemplated by the merger agreement, (7) any actions taken or failure to take action, in each case, to which Bitfarms or Stronghold, as applicable, has expressly requested in writing after August 21, 2024; (8) the taking of any action expressly permitted or required by the merger agreement; (9) the failure to take any action expressly prohibited by the merger agreement; (10) changes in law or other legal or regulatory conditions, or the interpretation thereof, or changes in U.S. GAAP or other accounting standards (or the interpretation thereof), in each case after August 21, 2024; (11)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material adverse effect); or (12) any proceedings made or brought by any of the current or former stockholders of such person (on their own behalf or on behalf of such person) against Stronghold, Bitfarms, BMS, Merger Sub or any of their directors or officers, after August 21, 2024 and arising out of the merger agreement and the transactions contemplated thereby; provided that to the extent such effects directly or indirectly resulting from, arising out of, attributable to or related to the matters described in any of the foregoing clauses (1) through (5) and (10)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“material adverse effect” has occurred or is reasonably expected to occur solely to the extent they are disproportionate.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Conduct of Business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has agreed to restrict the conduct of its respective business between August 21, 2024 and the earlier of the closing and the termination of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Stronghold and its Subsidiaries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except as previously disclosed to Bitfarms pursuant to the schedules to the merger agreement, permitted or required by the initial merger agreement, amendment no. 1, applicable law or otherwise consented to in writing by Bitfarms (such consent not to be unreasonably withheld, delayed or conditioned), during the period from the execution of the merger agreement until the earlier to occur of the closing and the termination of the merger agreement (the “interim period”), Stronghold has agreed to, and to cause each of its subsidiaries to, use commercially reasonable efforts to conduct its businesses in the ordinary course.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Bitfarms pursuant to the schedules to the merger agreement, expressly permitted or required by the initial merger agreement, amendment no. 1, applicable law or otherwise consented to in writing by Bitfarms (such consent not to be unreasonably withheld, delayed or conditioned), during the interim period, Stronghold has agreed that it will not, and will not permit its subsidiaries to:</w:t>
      </w:r>
    </w:p>
    <w:p>
      <w:pPr>
        <w:spacing w:after="0" w:line="112" w:lineRule="exact"/>
        <w:rPr>
          <w:sz w:val="20"/>
          <w:szCs w:val="20"/>
          <w:color w:val="auto"/>
        </w:rPr>
      </w:pPr>
    </w:p>
    <w:p>
      <w:pPr>
        <w:jc w:val="both"/>
        <w:ind w:left="1320" w:right="459" w:hanging="434"/>
        <w:spacing w:after="0" w:line="254"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Stronghold or any of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Stronghold or</w:t>
      </w:r>
    </w:p>
    <w:p>
      <w:pPr>
        <w:spacing w:after="0" w:line="3"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distributions in accordance with Company Holdco’s limited liability company agreement;</w:t>
      </w:r>
    </w:p>
    <w:p>
      <w:pPr>
        <w:spacing w:after="0" w:line="9"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Stronghold or any of its subsidiaries (other than for transactions by a wholly-owned subsidiary of Stronghold); or</w:t>
      </w:r>
    </w:p>
    <w:p>
      <w:pPr>
        <w:jc w:val="both"/>
        <w:ind w:left="1320" w:right="459" w:hanging="2"/>
        <w:spacing w:after="0" w:line="253" w:lineRule="auto"/>
        <w:tabs>
          <w:tab w:leader="none" w:pos="164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offer to purchase, redeem or otherwise acquire, any capital stock of, or other equity interests in, Stronghold or any subsidiary of Stronghold, except as required by the terms of any capital stock or equity interest of a subsidiary or as contemplated by any Stronghold employee benefit plan in each case existing as of August 21, 2024;</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Stronghold or any of its subsidiaries or any securities convertible into, or any rights, warrants or options to acquire, any such capital stock or equity interests, other than: (i) the issuance of Stronghold common stock upon the vesting or lapse of any restrictions on any shares related to Stronghold restricted stock units or other awards granted under Stronghold’s equity plans and outstanding on August 21, 2024 or issued in compliance with clause</w:t>
      </w:r>
    </w:p>
    <w:p>
      <w:pPr>
        <w:spacing w:after="0" w:line="5"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(ii) the issuance of equity awards granted under Stronghold’s equity plans; (iii) the issuance of Stronghold common stock upon the exercise of any options in Stronghold; (iv) the issuance of Stronghold common stock upon the conversion of any Stronghold preferred stock;</w:t>
      </w:r>
    </w:p>
    <w:p>
      <w:pPr>
        <w:spacing w:after="0" w:line="1" w:lineRule="exact"/>
        <w:rPr>
          <w:rFonts w:ascii="Times New Roman" w:cs="Times New Roman" w:eastAsia="Times New Roman" w:hAnsi="Times New Roman"/>
          <w:sz w:val="18"/>
          <w:szCs w:val="18"/>
          <w:color w:val="auto"/>
        </w:rPr>
      </w:pPr>
    </w:p>
    <w:p>
      <w:pPr>
        <w:jc w:val="both"/>
        <w:ind w:left="1320" w:right="479" w:hanging="2"/>
        <w:spacing w:after="0" w:line="252" w:lineRule="auto"/>
        <w:tabs>
          <w:tab w:leader="none" w:pos="160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Stronghold common stock upon the exercise of any Stronghold warrants in accordance with the terms of the applicable warrant agreement; (vi) issuances by a wholly-owned subsidiary of Stronghold or Company Holdco of such subsidiary’s capital stock or other equity interests to the Stronghold or Company Holdco or any other wholly-owned subsidiary of the Stronghold or Company Holdco; and (vii) issuances of any Stronghold common stock in connection with a redemption of common units of Company Holdco in accordance with the limited liability company agreement of Company Holdco;</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Stronghold’s organizational documents or amend the organizational documents of any of Stronghold’s subsidiaries or form any new subsidiary of Stronghold;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Stronghold or Company Holdco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Stronghold or any of its subsidiaries in effect on August 21, 2024,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(including by virtue of failure to exercise any lease renewal options), or agree to sell, lease or otherwise dispose of, any assets or properties (i) that are neither Bitcoin miners nor electrical equipment of any substation, transformer, data center or other infrastructure between any substation and data center and (ii) for which the consideration is less than $1,000,000 individually or $4,000,000 in the aggregate; other than (a) pursuant to an agreement of Stronghold or any of its subsidiaries in effect on August 21, 2024 and as set forth on the disclosure schedules to the merger agreement, (b) sales, leases or other dispositions among Stronghold and its wholly-owned subsidiaries (or Company Holdco and its wholly-owned subsidiaries) or among wholly-owned subsidiaries of Stronghold (or Company Holdco), or (c) sales or dispositions of obsolete or worthless equipment in the ordinary course of business consistent with past practice;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Stronghold or any of its subsidiaries, other than such transactions among wholly-owned subsidiaries of Stronghold or Company Holdco;</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Stronghold and its subsidiaries, except as required by U.S. GAAP or applicable law;</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make, change or revoke any material tax election,</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2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 annual tax accounting period, (iii) adopt or change any material tax accounting method, (iv) file any material amended tax return, (v) enter into any material closing agreement with a taxing authority, (vi) settle or compromise any material tax liability of Stronghold or any of its subsidiaries; or (vii) consent to any extension or waiver of the statute of limitation period applicable to any claim or assessment with respect to taxes of Stronghold or any of its subsidiaries;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certain other restrictions under the merger agreement, grant any equity or equity-based awards or increase the compensation or benefits provided to any current or former directors, officers, employees or other individual service providers with annual compensation in excess of $150,000, except as required by applicable law, pursuant to a Stronghold employee benefit plan existing as of August 21, 2024, or as permitted by the merger agreement; (ii) pay or agree to pay any current or former director, officer, employee or other individual service provider, any pension, retirement allowance or other employee benefit not required by the terms of any employee benefit plan of Stronghold or applicable law existing as of August 21, 2024; (iii) grant or provide any change in control, severance, termination, retention or similar payments or benefits to any current or former director, officer, employee or other individual service provider, in each case except as required by applicable law, pursuant to an employee benefit plan of Stronghold existing as of August 21, 2024, or as permitted by the merger agreement; (iv) establish, adopt, enter into, terminate or amend any new or any existing employee benefit plan of Stronghold or any plan, agreement, program, policy or other arrangement that would be an employee benefit plan of Stronghold if it were in existence as of August 21, 2024, other than (x) in connection with routine, immaterial or ministerial amendments to health and welfare plans that do not materially increase benefits or result in a material increase in administrative costs and (y) offer letter agreements for employees hired following August 21, 2024 where such agreements do not provide for severance or termination benefits except as required by applicable law; or (v) amend or modify any performance criteria, metrics or targets under any employee benefit plan of Stronghold such that, as compared to those criteria, metrics or targets under any employee benefit plan of Stronghold in effect as of August 21, 2024, the performance criteria, metrics or targets would reasonably be expected to be more likely to be achieved than in the absence of such amendment or modification;</w:t>
      </w:r>
    </w:p>
    <w:p>
      <w:pPr>
        <w:spacing w:after="0" w:line="13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or enter into any labor union agreement, collective bargaining agreement or any other labor-related agreements or arrangements with any labor union, labor organization or works council, or (ii) voluntarily recognize or certify any labor union, labor organization, works council, or other representative of a group of employees of Stronghold or its subsidiaries as the collective bargaining representative for any employees of Stronghold or its subsidiaries;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hire or engage, or make an offer to hire or engage, any individual as, or terminate the employment or services of, an officer, employee, or other individual service provider of Stronghold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Stronghold and its subsidiaries or the person being replaced, including base compensation or fee arrangement and bonus opportunity, if applicable); or (ii) other than for cause (consistent with past practice), terminate the employment or engagement of any current officer, employee or individual service provider of Stronghold or any of its subsidiaries with an annual base salary or fees in excess of $150,000;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Stronghold or its subsidiaries;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Stronghold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be a “Company Contract” (as defined in the merger agreement) if it were in effect on August 21, 2024, except in the ordinary course of business consistent with past practice and as would not prevent or materially delay the consummation of the transactions contemplated by the merger agreement, or (ii) modify, amend, terminate or assign, or waive or assign any rights under, any Company Contract, in a manner that is materially adverse to Stronghold and its subsidiaries, taken as a whole, or which could prevent or materially delay the consummation of the transactions contemplated by the merger agreement;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Stronghold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incur any obligations or liabilities in respect thereof during any fiscal quarter in excess of $1,000,000 (provided that Stronghold shall not make any capital expenditures or incur any obligations or liabilities in respect thereof to purchase any Bitcoin miners without Bitfarms’ prior written consent) with respect to such fiscal quarter;</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Stronghold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TRA (for the avoidance of doubt, other than as contemplated by the TRA Waiver and Termination Agreement) or the TRA Waiver and Termination Agreement (for the avoidance of doubt, other than as contemplated thereby); or</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Bitfarms and its Subsidiaries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general,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to, and to cause each of its subsidiaries to, use commercially reasonable efforts to conduct its businesses in the ordinary course.</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that it will not, and will not permit its subsidiaries to:</w:t>
      </w:r>
    </w:p>
    <w:p>
      <w:pPr>
        <w:spacing w:after="0" w:line="112" w:lineRule="exact"/>
        <w:rPr>
          <w:sz w:val="20"/>
          <w:szCs w:val="20"/>
          <w:color w:val="auto"/>
        </w:rPr>
      </w:pPr>
    </w:p>
    <w:p>
      <w:pPr>
        <w:jc w:val="both"/>
        <w:ind w:left="1320" w:right="459" w:hanging="434"/>
        <w:spacing w:after="0" w:line="253"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Bitfarms or its subsidiaries, except for dividends and distributions by a direct or indirect wholly-owned subsidiary of Bitfarms to Bitfarms or another direct or indirect wholly-owned subsidiary of Bitfarms; (ii) split, combine or reclassify any capital stock of, or other equity interests in Bitfarms or any of its subsidiaries (other than for transactions by a wholly-owned subsidiary of Bitfarms); or (iii) purchase, redeem or otherwise acquire, or offer to purchase, redeem or otherwise acquire, any capital stock of, or other equity interests in, Bitfarms or any subsidiary of Bitfarms, except as required by the terms of any capital stock or equity interest of a subsidiary or as contemplated by any employee benefit plan of Bitfarms in each case existing as of August 21,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equity interests in Bitfarms or any of its subsidiaries or any securities convertible into, or any rights, warrants or options to acquire, any such equity interests, other than: (i) the issuance of Bitfarms common shares upon the vesting or lapse of any restrictions on any shares of Bitfarms restricted stock units or Bitfarms options or other awards granted under the Bitfarms equity plan and outstanding on August 21, 2024 or issued in compliance with (ii) below; (ii) issuances of awards</w:t>
      </w:r>
    </w:p>
    <w:p>
      <w:pPr>
        <w:spacing w:after="0" w:line="5" w:lineRule="exact"/>
        <w:rPr>
          <w:sz w:val="20"/>
          <w:szCs w:val="20"/>
          <w:color w:val="auto"/>
        </w:rPr>
      </w:pPr>
    </w:p>
    <w:p>
      <w:pPr>
        <w:jc w:val="both"/>
        <w:ind w:left="1320" w:right="459"/>
        <w:spacing w:after="0" w:line="250" w:lineRule="auto"/>
        <w:rPr>
          <w:sz w:val="20"/>
          <w:szCs w:val="20"/>
          <w:color w:val="auto"/>
        </w:rPr>
      </w:pPr>
      <w:r>
        <w:rPr>
          <w:rFonts w:ascii="Times New Roman" w:cs="Times New Roman" w:eastAsia="Times New Roman" w:hAnsi="Times New Roman"/>
          <w:sz w:val="18"/>
          <w:szCs w:val="18"/>
          <w:color w:val="auto"/>
        </w:rPr>
        <w:t>granted under the Bitfarms equity plan in the ordinary course of business consistent with past practice; (iii) issuances by a wholly-owned subsidiary of Bitfarms of such subsidiary’s capital stock or other equity interests to Bitfarms or any other wholly-owned subsidiary of Bitfarms; (iv) the issuance of Bitfarms common shares pursuant to the Bitfarms’ at-the-market program; or</w:t>
      </w:r>
    </w:p>
    <w:p>
      <w:pPr>
        <w:spacing w:after="0" w:line="2" w:lineRule="exact"/>
        <w:rPr>
          <w:sz w:val="20"/>
          <w:szCs w:val="20"/>
          <w:color w:val="auto"/>
        </w:rPr>
      </w:pPr>
    </w:p>
    <w:p>
      <w:pPr>
        <w:ind w:left="1320" w:right="459" w:hanging="2"/>
        <w:spacing w:after="0" w:line="260" w:lineRule="auto"/>
        <w:tabs>
          <w:tab w:leader="none" w:pos="159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 of Bitfarms in accordance with the disclosure schedules to the merger agreement;</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Bitfarms’ organizational documents in a manner that would adversely affect Stronghold or its stockholders disproportionately as compared to Bitfarms and its stockholders or in a manner that would adversely affect the ability of Bitfarms, BMS or Merger Sub to consummate the merger;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Bitfarms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 (i) or</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59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(at the time such action is taken) to prevent, materially delay or impede the consummation of the merger, in each case other than (x) pursuant to an agreement of Bitfarms or any of its subsidiaries in effect on August 21, 2024, (y) acquisitions for which the consideration is less than $250,000,000 in the aggregate (provided that Bitfarms shall consult with Stronghold with respect to any such acquisition pursuant this clause (y) to the extent reasonably practicable and permitted by applicable law) or (z) acquisitions and licenses in the ordinary course of business;</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Bitfarms or any of its subsidiaries, other than such transactions among wholly-owned subsidiaries of Bitfarms;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have agreed to the following arrangements with respect to the post-closing compensation and benefits of employees of Stronghold or its subsidiaries who were employed by Stronghold or any of its subsidiaries on the date of closing and who continue to be employed by Bitfarms or any of its subsidiaries on the date of closing (the “Stronghold Employees”):</w:t>
      </w:r>
    </w:p>
    <w:p>
      <w:pPr>
        <w:spacing w:after="0" w:line="99" w:lineRule="exact"/>
        <w:rPr>
          <w:sz w:val="20"/>
          <w:szCs w:val="20"/>
          <w:color w:val="auto"/>
        </w:rPr>
      </w:pPr>
    </w:p>
    <w:p>
      <w:pPr>
        <w:ind w:left="1320" w:hanging="43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receive for a period of 12 months following the date of closing:</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base compensation (salary or wages, as applicable) that is no less favorable than that in effect for such Stronghold Employee immediately prior to the closing, (ii) annual cash bonus opportunities at targets that are no less favorable than those in effect for such Stronghold Employee immediately prior to the closing and (iii) retirement and health and welfare benefits that are substantially comparable in the aggregate to those provided by Bitfarms or its subsidiaries to similarly situated employees of Bitfarms and its subsidiaries immediately prior to the closing.</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credit the Stronghold Employees for purposes of vesting, eligibility and benefit accrual under the Bitfarms employee benefit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Stronghold Employees participate, for such Stronghold Employees’ service with Stronghold and its subsidiaries, to the same extent and for the same purposes that such service was taken into account under a corresponding Stronghold employee benefit plan immediately prior to the closing.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use commercially reasonable efforts to (i) waive any limitation on health and welfare coverage of any Stronghold Employee and his or her eligible dependents due to pre-existing conditions and/or waiting periods, active employment requirements and requirements to show evidence of good health under the applicable health and welfare Bitfarms employee benefit plan to the extent such Stronghold Employee and his or her eligible dependents are covered under a Stronghold employee benefit plan immediately prior to the closing, and such conditions, periods or requirements are satisfied or waived under such Stronghold employee benefit plan and (ii) give each Stronghold Employee credit for the plan year in which the closing occurs towards applicable deductibles and annual out-of-pocket limits for medical expenses incurred and contributions to flexible spending accounts prior to the closing for which payments or contributions have been made, in each case, to the extent permitted by the applicable insurance plan provider.</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cause the surviving corporation and its subsidiaries, to honor their respective obligations under all employment, severance, retention, bonus, change in control and other agreements, if any, between Stronghold (or a subsidiary thereof) and any individual employed on or prior to the closing by Stronghold or a subsidiary thereof.</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have all unused vacation and other paid time off days accrued or earned by such Stronghold Employee during the calendar year in which the closing occurs honored by Bitfarms or its subsidiaries as of the closing. Stronghold Employees shall continue to accrue vacation and other paid time off consistent with applicable policies of Stronghold and its subsidiaries following the closing.</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Bitfarms at least 10 business days prior to closing, Bitfarms may require Stronghold to terminate its 401(k) plan as of no later than day immediately preceding the closing date.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the merger agreement shall constitute an amendment to, or be construed as amending, any employee benefit plan sponsored, maintained or contributed to by Stronghold, Bitfarms or any of their respective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Changes in Recommendation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Stronghold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Stronghold has agreed that, during the interim period, Stronghold will, and will cause its subsidiaries and instruct its representatives to, immediately cease, and cause to be terminated, any discussion or negotiations with any person with respect to a “competing proposal”.</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Stronghold has also agreed that, during the interim period, Stronghold will not, and will cause Stronghold’s subsidiaries and will instruct its representatives not to, directly or indirectly:</w:t>
      </w:r>
    </w:p>
    <w:p>
      <w:pPr>
        <w:spacing w:after="0" w:line="94" w:lineRule="exact"/>
        <w:rPr>
          <w:sz w:val="20"/>
          <w:szCs w:val="20"/>
          <w:color w:val="auto"/>
        </w:rPr>
      </w:pPr>
    </w:p>
    <w:p>
      <w:pPr>
        <w:ind w:left="1320" w:hanging="434"/>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competing proposal;</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Notwithstanding the foregoing, Stronghold or any of its representatives may, in response to an inquiry or proposal from a third party, inform a third party or its representatives of the restrictions described in this section “</w:t>
      </w:r>
      <w:r>
        <w:rPr>
          <w:rFonts w:ascii="Times New Roman" w:cs="Times New Roman" w:eastAsia="Times New Roman" w:hAnsi="Times New Roman"/>
          <w:sz w:val="18"/>
          <w:szCs w:val="18"/>
          <w:i w:val="1"/>
          <w:iCs w:val="1"/>
          <w:color w:val="auto"/>
        </w:rPr>
        <w:t>— No Solicitation; Changes in Recommendation</w:t>
      </w:r>
      <w:r>
        <w:rPr>
          <w:rFonts w:ascii="Times New Roman" w:cs="Times New Roman" w:eastAsia="Times New Roman" w:hAnsi="Times New Roman"/>
          <w:sz w:val="18"/>
          <w:szCs w:val="18"/>
          <w:color w:val="auto"/>
        </w:rPr>
        <w:t>” (without conveying, requesting or attempting to gather any other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interim period, Stronghold shall advise Bitfarms of the receipt by Stronghold of any competing proposal or any request for non-public information or data relating to Stronghold or its subsidiaries made by a person in connection with a competing proposal in each case within 24 hours, and Stronghold shall provide to Bitfarms (within such 24 hour period) (i) a copy of any such competing proposal made in writing provided to Stronghold or any of its subsidiaries or (ii) if any such competing proposal is made orally, a written summary of the material financial and other terms thereof. Thereafter Stronghold shall keep Bitfarms reasonably informed with respect to the status and material terms of any such competing proposal and any material changes to the status of any such discussions or negotiations.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No Solicitation Exceptions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the time the merger proposal has been approved by the Stronghold stockholders, Stronghold may engage in the first, second and third bullets in the second paragraph of the section directly above with any person who has made a written bona fide competing proposal that did not result from a breach of the obligations described in “</w:t>
      </w:r>
      <w:r>
        <w:rPr>
          <w:rFonts w:ascii="Times New Roman" w:cs="Times New Roman" w:eastAsia="Times New Roman" w:hAnsi="Times New Roman"/>
          <w:sz w:val="18"/>
          <w:szCs w:val="18"/>
          <w:i w:val="1"/>
          <w:iCs w:val="1"/>
          <w:color w:val="auto"/>
        </w:rPr>
        <w:t>— No Solicitation; Changes in Recommendation — No Solicitation by Stronghold</w:t>
      </w:r>
      <w:r>
        <w:rPr>
          <w:rFonts w:ascii="Times New Roman" w:cs="Times New Roman" w:eastAsia="Times New Roman" w:hAnsi="Times New Roman"/>
          <w:sz w:val="18"/>
          <w:szCs w:val="18"/>
          <w:color w:val="auto"/>
        </w:rPr>
        <w:t>”; provided, however, that:</w:t>
      </w:r>
    </w:p>
    <w:p>
      <w:pPr>
        <w:spacing w:after="0" w:line="116" w:lineRule="exact"/>
        <w:rPr>
          <w:sz w:val="20"/>
          <w:szCs w:val="20"/>
          <w:color w:val="auto"/>
        </w:rPr>
      </w:pPr>
    </w:p>
    <w:p>
      <w:pPr>
        <w:jc w:val="both"/>
        <w:ind w:left="1320" w:right="479" w:hanging="434"/>
        <w:spacing w:after="0" w:line="261"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Stronghold board of directors or any committee thereof determines in good faith, after consultation with its financial advisors and outside legal counsel, that such competing proposal is, or could reasonably be expected to lead to, a superior proposal (as defined below);</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non-public information that is prohibited from being furnished pursuant to the “no solicitation” obligations described in the section entitled “</w:t>
      </w:r>
      <w:r>
        <w:rPr>
          <w:rFonts w:ascii="Times New Roman" w:cs="Times New Roman" w:eastAsia="Times New Roman" w:hAnsi="Times New Roman"/>
          <w:sz w:val="18"/>
          <w:szCs w:val="18"/>
          <w:i w:val="1"/>
          <w:iCs w:val="1"/>
          <w:color w:val="auto"/>
        </w:rPr>
        <w:t>— No Solicitation; Changes in Recommendation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by Stronghold</w:t>
      </w:r>
      <w:r>
        <w:rPr>
          <w:rFonts w:ascii="Times New Roman" w:cs="Times New Roman" w:eastAsia="Times New Roman" w:hAnsi="Times New Roman"/>
          <w:sz w:val="18"/>
          <w:szCs w:val="18"/>
          <w:color w:val="auto"/>
        </w:rPr>
        <w:t>” may be furnished until Stronghold receives an executed non-disclosure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subject to certain conditions, including that the terms of such non-disclosure agreement are no less favorable to Stronghold in the aggregate than the terms of the Non-Disclosure Agreement dated January 8, 2024, between Bitfarms and Stronghold (as determined by the Stronghold board of directors in good faith after consultation with its legal counsel) and that such non-disclosure agreement does not contain provisions that prohibit Stronghold from complying with the obligations described in the section entitled “</w:t>
      </w:r>
      <w:r>
        <w:rPr>
          <w:rFonts w:ascii="Times New Roman" w:cs="Times New Roman" w:eastAsia="Times New Roman" w:hAnsi="Times New Roman"/>
          <w:sz w:val="18"/>
          <w:szCs w:val="18"/>
          <w:i w:val="1"/>
          <w:iCs w:val="1"/>
          <w:color w:val="auto"/>
        </w:rPr>
        <w:t>—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No Solicitation by Stronghold</w:t>
      </w:r>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non-public information has previously been made available to, or is made available to, Bitfarms prior to or concurrently with (or in the case of oral non-public information only, promptly (and in any event within 24 hours after)) the time such information is made available to such person.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Restrictions on Change of Recommendation</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certain exceptions described below, Stronghold and its officers and directors, including any committee of the Stronghold board of directors, shall not:</w:t>
      </w:r>
    </w:p>
    <w:p>
      <w:pPr>
        <w:spacing w:after="0" w:line="81" w:lineRule="exact"/>
        <w:rPr>
          <w:sz w:val="20"/>
          <w:szCs w:val="20"/>
          <w:color w:val="auto"/>
        </w:rPr>
      </w:pPr>
    </w:p>
    <w:p>
      <w:pPr>
        <w:jc w:val="both"/>
        <w:ind w:left="1320" w:right="479" w:hanging="434"/>
        <w:spacing w:after="0" w:line="266"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qualify, modify or publicly propose or announce any intention to withhold, withdraw qualify or modify, in a manner adverse to Bitfarms, the Stronghold board of directors’ recommendation;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or publicly propose or announce any intention to approve, endorse or recommend, any competing proposal.</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“Stronghold recommendation 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Permitted Changes of Recommendation in Connection with Intervening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but not after, the time the merger proposal has been approved by the Stronghold stockholders, in response to an intervening event (as defined below) that occurs or arises after August 21, 2024 and that did not arise from or in connection with a breach of the merger agreement by Stronghold, Stronghold may, if the Stronghold board of directors or a committee thereof so chooses, effect a Stronghold recommendation change if prior to taking such action:</w:t>
      </w:r>
    </w:p>
    <w:p>
      <w:pPr>
        <w:spacing w:after="0" w:line="116" w:lineRule="exact"/>
        <w:rPr>
          <w:sz w:val="20"/>
          <w:szCs w:val="20"/>
          <w:color w:val="auto"/>
        </w:rPr>
      </w:pPr>
    </w:p>
    <w:p>
      <w:pPr>
        <w:jc w:val="both"/>
        <w:ind w:left="1320" w:right="459" w:hanging="434"/>
        <w:spacing w:after="0" w:line="266"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have given notice to Bitfarms that Stronghold has determined that an intervening event has occurred or arisen and that Stronghold intends to effect a Stronghold recommendation change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outside legal counsel, shall have determined in good faith that such proposed changes do not obviate the need for the Stronghold board of directors to effect a Stronghold recommendation change and that the failure to make a Stronghold recommendation change would be inconsistent with its fiduciary obligations to Stronghold’s stockholders under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An “intervening event” means any event, development or change in circumstances that was not known to the Stronghold board of directors, or if known, the consequences of which were not reasonably foreseeable as of August 21, 2024, which event, change or development, or any consequence thereof, becomes known to the Stronghold board of directors prior to obtaining the Stronghold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 terms of a competing proposal or any matter relating thereto or consequence thereof constitute an intervening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Permitted Changes of Recommendation in Connection with a Superior Proposal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but not after, the time the merger proposal has been approved by the Stronghold stockholders, in response to a bona fide written competing proposal that did not result from a breach of the obligations described above and in the section entitled “</w:t>
      </w:r>
      <w:r>
        <w:rPr>
          <w:rFonts w:ascii="Times New Roman" w:cs="Times New Roman" w:eastAsia="Times New Roman" w:hAnsi="Times New Roman"/>
          <w:sz w:val="18"/>
          <w:szCs w:val="18"/>
          <w:i w:val="1"/>
          <w:iCs w:val="1"/>
          <w:color w:val="auto"/>
        </w:rPr>
        <w:t>— No Solicitation; Changes in Recommendation — No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w:t>
      </w:r>
      <w:r>
        <w:rPr>
          <w:rFonts w:ascii="Times New Roman" w:cs="Times New Roman" w:eastAsia="Times New Roman" w:hAnsi="Times New Roman"/>
          <w:sz w:val="18"/>
          <w:szCs w:val="18"/>
          <w:color w:val="auto"/>
        </w:rPr>
        <w:t>,” if the Stronghold board of directors or any committee thereof so chooses, the Stronghold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any committee thereof may effect a Stronghold recommendation change if:</w:t>
      </w:r>
    </w:p>
    <w:p>
      <w:pPr>
        <w:spacing w:after="0" w:line="102" w:lineRule="exact"/>
        <w:rPr>
          <w:sz w:val="20"/>
          <w:szCs w:val="20"/>
          <w:color w:val="auto"/>
        </w:rPr>
      </w:pPr>
    </w:p>
    <w:p>
      <w:pPr>
        <w:jc w:val="both"/>
        <w:ind w:left="1320" w:right="459" w:hanging="434"/>
        <w:spacing w:after="0" w:line="261"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Stronghold’s financial advisors and outside legal counsel, that such competing proposal is a superior proposal (taking into account any adjustment to the terms and conditions of the merger proposed by Bitfarms in response to such competing proposal);</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provides Bitfarms with notice that Stronghold has received such superior proposal, specifying the material terms and conditions of such proposal, and, that Stronghold intends to take such action,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financial advisors and outside legal counsel, shall have determined in good faith that the competing proposal remains a superior proposal with respect to Bitfarms’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time material modifications to the financial terms of a competing proposal determined to be a superior proposal are made the time period set forth in this bullet prior to which Stronghold may effect a Stronghold recommendation change or terminate the merger agreement shall be extended for 48 hours after notification of such change to Bitfarms.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Permitted Disclosure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Stronghold may, directly or indirectly through its representatives, after consultation with their respective outside legal counsel, make such disclosures as the Stronghold board of directors or any committee thereof determines in good faith are necessary to comply with Rule 14d-9 or Rule 14e-2(a) promulgated under the U.S. Exchange Act or other disclosure required to be made in this proxy statement/prospectus by applicable U.S. federal securities laws. However, neither Stronghold nor the Stronghold board of directors shall, except as expressly permitted in the sections above entitled “</w:t>
      </w:r>
      <w:r>
        <w:rPr>
          <w:rFonts w:ascii="Times New Roman" w:cs="Times New Roman" w:eastAsia="Times New Roman" w:hAnsi="Times New Roman"/>
          <w:sz w:val="18"/>
          <w:szCs w:val="18"/>
          <w:i w:val="1"/>
          <w:iCs w:val="1"/>
          <w:color w:val="auto"/>
        </w:rPr>
        <w:t>— Stronghold: Permitted Changes of Recommendation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Superior Proposal</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Stronghold: Permitted Changes of Recommendation in Connection with Intervening Events,”</w:t>
      </w:r>
      <w:r>
        <w:rPr>
          <w:rFonts w:ascii="Times New Roman" w:cs="Times New Roman" w:eastAsia="Times New Roman" w:hAnsi="Times New Roman"/>
          <w:sz w:val="18"/>
          <w:szCs w:val="18"/>
          <w:color w:val="auto"/>
        </w:rPr>
        <w:t xml:space="preserve"> effect a Stronghold recommendation change including in any disclosure document or communication filed or publicly issued or made in conjunction with the compliance with such aforementioned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Competing Proposal</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“competing proposal” means any contract, proposal, offer or indication of interest relating to any transaction or series of related transactions (other than transactions only with Bitfarms or any of its subsidiaries) involving directly or indirectly:</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asset purchase, stock purchase, merger, or otherwise) by any person or group of any business or assets of Stronghold or any of its subsidiaries (including capital stock of or ownership interests in any subsidiary) that account for 15% or more of Stronghold’s and its subsidiaries’ assets (by fair market value), or generated 15% or more of Stronghold’s and its subsidiaries’ net revenue or earnings before interest, taxes, depreciation and amortization for the preceding twelve months, or any license, lease or long-term supply agreement having a similar economic effect;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beneficial ownership by any person or group of 15% or more of the outstanding shares of Stronghold common stock or any other securities entitled to vote on the election of directors or any tender or exchange offer that if consummated would result in any person or group beneficially owning 15% or more of the outstanding shares of Stronghold common stock or any other securities entitled to vote on the election of directors;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recapitalization, liquidation, dissolution or similar transaction involving Stronghold or any of its subsidiaries which is structured to permit any person or group to acquire beneficial ownership of at least 15% of Stronghold’s equity interests or any business or assets of Stronghold or any of its subsidiaries (including capital stock of or ownership interest in any subsidiary) that account for 15% or more of Stronghold’s and its subsidiaries’ assets (by fair market value), or generated 15% or more of Stronghold’s and its subsidiaries’ net revenue or earnings before interest, taxes, depreciation and amortization for the preceding twelve months.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Superior Proposal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competing proposal submitted to Stronghold after August 21, 2024 by any person or group (other than Bitfarms or any of its affiliates) that in the good faith determination of the Stronghold board of directors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Stronghold’s stockholders than the transactions contemplated by the merger agreement. For purposes of the reference to a competing proposal in this paragraph, all references to “15%” in the definition of competing proposal will be deemed to refer to “50%.”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Close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have agreed to use their reasonable best efforts to take, or cause to be taken, all actions, and to do, or cause to be done, and to assist and cooperate with each other in doing, all things necessary, proper, or advisable to consummate and make effective, in the most expeditious manner reasonably practicable, the merger and the other transactions contemplated by the merger agreement including taking all reasonable actions necessary to satisfy the parties’ respective conditions in the merger agreement. Subject to applicable law and as otherwise required by any governmental entity, each of Stronghold and Bitfarms shall keep the other apprised of the status of matters relating to the consummation of the merger and the other transactions contemplated by the merger agreement, including promptly (i) furnishing the other party with copies of notices or other communications received from any third party or any governmental entity with respect to the merger and the other transactions contemplated by the merger agreement and (ii) giving written notice to the other party upon becoming aware</w:t>
      </w:r>
    </w:p>
    <w:p>
      <w:pPr>
        <w:spacing w:after="0" w:line="5" w:lineRule="exact"/>
        <w:rPr>
          <w:sz w:val="20"/>
          <w:szCs w:val="20"/>
          <w:color w:val="auto"/>
        </w:rPr>
      </w:pPr>
    </w:p>
    <w:p>
      <w:pPr>
        <w:jc w:val="both"/>
        <w:ind w:left="460" w:right="459" w:hanging="6"/>
        <w:spacing w:after="0" w:line="252" w:lineRule="auto"/>
        <w:tabs>
          <w:tab w:leader="none" w:pos="7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representation or warranty made by it in the merger agreement, or in the case of Bitfarms, by it, BMS or Merger Sub, has become untrue or inaccurate or (y) of any failure by it, or in the case of Bitfarms, by it, BMS or Merger Sub, to comply with or satisfy any covenant, obligation or agreement to be complied with or satisfied by it pursuant to the merger agreement, in each case if and only to the extent that such untruth, inaccuracy or failure would reasonably be expected to cause certain of the conditions set forth in the merger agreement to fail to be satisfied.</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HSR and Other Regulatory Approvals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Except for the filings and notifications made pursuant to antitrust laws (as defined below), promptly after August 21, 2024, the parties have agreed to prepare and file with the appropriate governmental entities, and submit to or obtain from other third parties, as applicable, all authorizations, consents, notifications, certifications, registrations, declarations and filings that are necessary in order to consummate the merger and the other transactions contemplated by the merger agreement and to diligently and expeditiously prosecute, and cooperate fully with each other in the prosecution of, such matters. However, in no event will either Bitfarms or Stronghold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 Bitfarms and Stronghold will have the right to review in advance and, to the extent reasonably practicable, each will consult with the other on and consider in good faith the views of the other in connection with, all of the information relating to Bitfarms or Stronghold, as applicable, and any of their respective subsidiaries, that appears in any filing made with, or written materials submitted to, any third party or any governmental entity in connection with the merger and the other transactions contemplated by the merger agreement (including this proxy statement/prospectus).</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shall cooperate in good faith and jointly determine no later than 45 days following August 21, 2024,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 parties shall make these filings no later than 10 business days following the date of such determination. As promptly as reasonably practicable, the parties shall make the filings and notifications as may be required by foreign competition laws and merger regulations. Each of Bitfarms and Stronghold will cooperate fully with each other and will furnish to the other such necessary information and reasonable assistance as the other may reasonably request in connection with its preparation of any filings under any applicable antitrust laws. Unless otherwise agreed, Bitfarms and Stronghold shall each use reasonable best efforts to ensure the prompt expiration of any applicable waiting period under the HSR Act or any filings and notifications as may be required by foreign competition laws and merger regulations. Bitfarms and Stronghold will each use its reasonable best efforts to respond to and comply with any request for information from any governmental entity (including the FTC, the Department of Justice, any attorney general of any state of the United States, or any other competition authority of any jurisdiction (each referred to as an “antitrust authority”)) charged with enforcing, applying, administering or investigating the HSR Act, any filings and notifications as may be required by foreign competition laws and merger regulations, or any other law designed to prohibit, restrict or regulate actions for the purpose or effect of mergers, monopolization, restraining trade or abusing a dominant position (collectively, “antitrust laws”). Bitfarms and Stronghold have agreed to keep each other apprised of the status of any communications with, and any inquiries or requests for additional information from, any antitrust authority.</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has agreed to take any and all action necessary, including, but not limited to, (i) selling or otherwise disposing of, or holding separate and agreeing to sell or otherwise dispose of, assets, categories of assets or businesses of Bitfarms or Stronghold or their respective subsidiaries; (ii) terminating existing relationships, contractual rights or obligations of Bitfarms or Stronghold or their respective subsidiaries; (iii) terminating any venture or other arrangement; (iv) creating any relationship, contractual rights or obligations of Bitfarms or Stronghold or their respective subsidiaries; or (v) effectuating any other change or restructuring of Bitfarms or Stronghold or their respective subsidiaries (and, in each case, to enter into agreements or stipulate to the entry of an order or decree or file appropriate applications with any governmental antitrust authority in connection with any of the foregoing and in the case of actions by or with respect to Stronghold or its subsidiaries or its or their businesses or assets, provided that any such action may (at the discretion of Stronghold) be conditioned on consummation of the merger) (we refer to each of the foregoing as a “divestiture action”) to ensure that no governmental entity enters any order, decision, judgment, decree, ruling or injunction (preliminary or permanent), or establishes any law or other action preliminarily or permanently restraining, enjoining or prohibiting the consummation of the merger, or to ensure that no governmental antitrust authority with the authority to clear, authorize or otherwise approve the consummation of the merger fails to do so by May 21, 2025, unless such date is extended in accordance with the merger agreement.</w:t>
      </w:r>
    </w:p>
    <w:p>
      <w:pPr>
        <w:spacing w:after="0" w:line="11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that any action is threatened or instituted challenging the merger as violative of any antitrust law, Bitfarms will (i) take such action, including any divestiture action, as may be necessary to avoid, resist or resolve such action and (ii) defend, at its cost and expense, any action or actions, whether judicial or administrative, in connection with the transactions contemplated by the merger agreement.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will be entitled to direct any proceedings with any antitrust authority. However, Bitfarms has agreed to afford Stronghold reasonable opportunity to participate in any such proceedings. In addition, in the event that any permanent or preliminary injunction or other order is entered or becomes reasonably foreseeable to be entered in any proceeding that would make consummation of the transactions contemplated by the merger agreement in accordance with the terms of the merger agreement unlawful or that would restrain, enjoin or otherwise prevent or materially delay the consummation of the transactions contemplated by the merger agreement, Bitfarms shall take promptly any and all steps necessary to vacate, modify or suspend such injunction or order so as to permit such consummation prior to the end date. Notwithstanding anything to the contrary in the merger agreement, Bitfarms shall not be required to agree to any action required in this paragraph that would, individually or taken together, reasonably be expected to have a material adverse effect on Bitfarms (including its affiliates) or Stronghold (including its affiliates).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shall (i) as promptly as reasonably practicable after August 21, 2024 prepare and in no event later within 10 business days thereafter cause certain subsidiaries to file with FERC an “informational filing” and a request for a waiver of the applicable 90-day period and (ii) as promptly as reasonably practicable after August 21, 2024 prepare and in no event later than 10 days thereafter, cause certain subsidiaries to provide to PJM all required information by the applicable deadlines. Bitfarms shall assist Stronghold as is reasonably necessary in the preparation of such information to be provided pursuant to clause (ii) in the immediately preceding sentence. As of the date of this proxy statement/prospectus, Stronghold has made such filings and provided the requisite information in FERC Docket Nos. ER24-3030 and ER24-3031.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Hold the Special Meeting</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Stronghold has agreed to call, hold and convene a meeting of its stockholders to consider the adoption of the merger agreement, to be held as promptly as reasonably practicable after the mailing of this proxy statement/prospectus to Stronghold’s stockholders. Except as permitted by the non-solicitation provisions in the merger agreement, the Stronghold board of directors must recommend that the stockholders of Stronghold vote in favor of the merger proposal and the Stronghold board of directors must solicit from Stronghold stockholders proxies in favor of the merger proposal, and this proxy statement/prospectus is required to include a statement to the effect that the Stronghold board of directors has made such recommendation.</w:t>
      </w:r>
    </w:p>
    <w:p>
      <w:pPr>
        <w:spacing w:after="0" w:line="10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Stronghold (i) will be required to adjourn or postpone the special meeting to the extent necessary to ensure that any required supplement or amendment to this proxy statement/prospectus is provided to the Stronghold stockholders or if, as of the time the special meeting is scheduled, there are insufficient shares of Stronghold common stock represented (either in person or by proxy) to constitute a quorum necessary to conduct business at the special meeting, and (ii) may adjourn or postpone the special meeting if, as of the time for which the special meeting is scheduled, there are insufficient shares of Stronghold common stock represented (either in person or by proxy) to obtain the approval of the merger proposal. Notwithstanding the foregoing, the special meeting will not be adjourned or postponed (i) to a date that is more than 30 business days after the date for which the special meeting was previously scheduled without Bitfarms’ prior written consent or (ii) to a date on or after two business days prior to the end date.</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has agreed that its obligations to hold the special meeting will not be affected by the making of a Stronghold recommendation change and such obligations will not be affected by the commencement, announcement, disclosure or communication to Stronghold of any competing proposal or the occurrence or disclosure of any intervening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(whom we refer to as the “indemnified persons”) against all losses, claims, damages, costs, fines, penalties, expenses (including attorneys’ and other professionals’ fees and expenses), liabilities or judgments or amounts that are paid in settlement of, or incurred in connection with, any actual or threatened proceeding to which such indemnified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its subsidiaries as an officer or director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(which liabilities we refer to as “indemnified liabilities”), including all indemnified liabilities based in whole or in part on, or arising in whole or in part out of, or pertaining to the merger agreement or the transactions contemplated by the merger agreement, in each case to the fullest extent permitted under applicable law.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For a period of six years following the effective time, Bitfarms and the surviving corporation and its subsidiaries will fulfill and honor any indemnification, expense advancement, or exculpation agreements between Stronghold or any of its subsidiaries and any of the indemnified persons existing immediately prior to the effective time.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and the surviving corporation will cause to be put in place, and Bitfarms will fully prepay immediately prior to the effective time, “tail” insurance policies with a claims reporting or discovery period of at least six years from the effective time (the “tail period”)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However, in no event will Bitfarms be required to spend more than 300% (the “cap amount”) of the last annual premium paid by Stronghold prior to August 21, 2024 per policy year of coverage under such “tail” insurance policy and if the cost per policy year of such insurance exceeds the cap amount, Bitfarms will purchase as much coverage per policy year as reasonably obtainable for the cap amount.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Indebtedness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satisfy all outstanding obligations under such credit agreement and certain other debt instruments of Stronghold prior to or substantially concurrently with the consummation of the merger. Bitfarms does not currently expect to request Stronghold to obtain the COC Amendment on or prior to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among other things, covenants relating to:</w:t>
      </w:r>
    </w:p>
    <w:p>
      <w:pPr>
        <w:spacing w:after="0" w:line="94" w:lineRule="exact"/>
        <w:rPr>
          <w:sz w:val="20"/>
          <w:szCs w:val="20"/>
          <w:color w:val="auto"/>
        </w:rPr>
      </w:pPr>
    </w:p>
    <w:p>
      <w:pPr>
        <w:ind w:left="1320" w:hanging="43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preparation of this proxy statement/prospectus;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Bitfarms to certain information about Stronghold during the period prior to the earlier of the effective time or termination of the merger agreement, as applicable;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defense or settlement of any stockholder litigation relating to the merger;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connection with public announcements;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reasonable steps within Stronghold’s control to exempt (or ensure the continued exemption of) the merger and the other transactions contemplated by the merger agreement from the takeover laws of any state that purport to apply to the merger agreement or the transactions contemplated thereby;</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16(a) of the U.S. Exchange Act;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the Bitfarms common shares to be issued in connection with the merger on the TSX and Nasdaq, subject to customary conditions and official notice of issuance.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3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81" w:lineRule="exact"/>
        <w:rPr>
          <w:sz w:val="20"/>
          <w:szCs w:val="20"/>
          <w:color w:val="auto"/>
        </w:rPr>
      </w:pPr>
    </w:p>
    <w:p>
      <w:pPr>
        <w:ind w:left="1320" w:hanging="434"/>
        <w:spacing w:after="0"/>
        <w:tabs>
          <w:tab w:leader="none" w:pos="13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8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81" w:lineRule="exact"/>
        <w:rPr>
          <w:sz w:val="20"/>
          <w:szCs w:val="20"/>
          <w:color w:val="auto"/>
        </w:rPr>
      </w:pPr>
    </w:p>
    <w:p>
      <w:pPr>
        <w:jc w:val="both"/>
        <w:ind w:left="1320" w:right="479" w:hanging="434"/>
        <w:spacing w:after="0" w:line="25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from Bitfarms to that effect;</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as of the closing date from Bitfarms to that effect; and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from Bitfarms to that effect.</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95" w:lineRule="exact"/>
        <w:rPr>
          <w:sz w:val="20"/>
          <w:szCs w:val="20"/>
          <w:color w:val="auto"/>
        </w:rPr>
      </w:pPr>
    </w:p>
    <w:p>
      <w:pPr>
        <w:jc w:val="both"/>
        <w:ind w:left="1320" w:right="459" w:hanging="434"/>
        <w:spacing w:after="0" w:line="25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dated as of the closing date from Stronghold to that effect;</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from Stronghold to that effect;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mining facility conditions.</w:t>
      </w:r>
    </w:p>
    <w:p>
      <w:pPr>
        <w:spacing w:after="0" w:line="129" w:lineRule="exact"/>
        <w:rPr>
          <w:sz w:val="20"/>
          <w:szCs w:val="20"/>
          <w:color w:val="auto"/>
        </w:rPr>
      </w:pPr>
    </w:p>
    <w:p>
      <w:pPr>
        <w:ind w:left="460" w:right="479"/>
        <w:spacing w:after="0" w:line="284" w:lineRule="auto"/>
        <w:rPr>
          <w:sz w:val="20"/>
          <w:szCs w:val="20"/>
          <w:color w:val="auto"/>
        </w:rPr>
      </w:pPr>
      <w:r>
        <w:rPr>
          <w:rFonts w:ascii="Times New Roman" w:cs="Times New Roman" w:eastAsia="Times New Roman" w:hAnsi="Times New Roman"/>
          <w:sz w:val="18"/>
          <w:szCs w:val="18"/>
          <w:color w:val="auto"/>
        </w:rPr>
        <w:t>As further discussed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neither Bitfarms nor Stronghold can be certain when, or if, the conditions to the merger will be satisfied or waived, or that the merger will be completed.</w:t>
      </w:r>
    </w:p>
    <w:p>
      <w:pPr>
        <w:sectPr>
          <w:pgSz w:w="11900" w:h="16838" w:orient="portrait"/>
          <w:cols w:equalWidth="0" w:num="1">
            <w:col w:w="9019"/>
          </w:cols>
          <w:pgMar w:left="1440" w:top="270" w:right="1440"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Bitfarms and Stronghold may mutually agree in writing to terminate the merger agreement before consummating the merger, even after approval of the merger by the Stronghold stockholders has been obtained.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either Bitfarms or Stronghold may terminate the merger agreement if:</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provided, however, that such right to terminate the merger agreement shall not be available to any party whose failure to fulfill any material covenant or agreement pursuant to the merger agreement has been the primary cause of or resulted in the action or event described in this bullet occurring;</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the end date; provided that (i) if on the end date, the registration statement has not become effective or Stronghold stockholder approval has not been obtained, the end date shall be extended to August 21, 2025 and (ii) such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the giving of written notice to the breaching party of such breach and (ii) three business days prior to the end date (a “terminable breach”); provided, however, that the terminating party is not then in terminable breach of any representation, warranty, covenant or other agreement contained in the merger agreement; or</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in the event of such termination;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 (a “Bitfarms closing failure”).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and Termination Fees Relating to the Termination of the Merger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 Payable by Bitfarms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Bitfarms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Stronghold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81" w:lineRule="exact"/>
        <w:rPr>
          <w:sz w:val="20"/>
          <w:szCs w:val="20"/>
          <w:color w:val="auto"/>
        </w:rPr>
      </w:pPr>
    </w:p>
    <w:p>
      <w:pPr>
        <w:jc w:val="both"/>
        <w:ind w:left="1320" w:right="459" w:hanging="434"/>
        <w:spacing w:after="0" w:line="257"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320" w:right="479" w:hanging="2"/>
        <w:spacing w:after="0" w:line="260" w:lineRule="auto"/>
        <w:tabs>
          <w:tab w:leader="none" w:pos="1637"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1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Stronghold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merger agreement, each party shall pay its own expenses incident to preparing for, entering into and carrying out the merger agreement and the consummation of the transactions contemplated thereby, whether or not the merger shall be consummated.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 any provision of the merger agreement may be amended or waived by written agreement of each of the parties, by action taken or authorized by their respective boards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No. 1</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amendment no. 1 by and among Bitfarms, BMS, Merger Sub and Stronghold, dated as of September 12, 2024. This summary may not contain all of the information about amendment no. 1 that is important to you. The summary in this section and elsewhere in this proxy statement/prospectus is qualified in its entirety by reference to amendment no. 1 attached as Annex A-2, and incorporated by reference into, this proxy statement/prospectus. You are encouraged to read amendment no. 1 in its entirety.</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12, 2024, in accordance with Section 9.12 of the merger agreement, Bitfarms, BMS, Merger Sub and Stronghold entered into amendment no. 1. Amendment no. 1 revised the merger agreement to provide for the parent termination fee offset, require the consent of Bitfarms for any issuances of equity interests of Stronghold pursuant to its at-the-market offering program and amend certain representations and warranties of Stronghold.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to any other remedy that may be available to each party, including monetary damages, prior to the termination of the merger agreement, each of the parties will be entitled to an injunction or injunctions, or any other appropriate form of specific performance or equitable relief, to prevent breaches of the merger agreement and to enforce specifically the terms and provisions of the merger agreement. Each party may simultaneously pursue both the payment of a termination fee, as applicable, and a grant of specific performance, but under no circumstances shall a party be permitted or entitled to receive both a termination fee and a grant of specific performance to consummate the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without giving effect to the principles of conflicts of law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SUPPORTING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voting agreement by and among Bitfarms and certain stockholders of Stronghold, dated August 21, 2024. This summary may not contain all of the information about the voting agreement that is important to you. The summary in this section and elsewhere in this proxy statement/prospectus is qualified in its entirety by reference to the voting agreement attached as Annex B to, and incorporated by reference into, this proxy statement/prospectus. You are encouraged to read the voting agreement in its entirety.</w:t>
      </w:r>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has agreed to vote (or cause to be voted) all of the Stronghold common stock with respect to which such holder is the sole or shared record and/or beneficial owner as of the date of the voting agreement and subsequently acquired through purchase, dividend, conversion of convertible securities, exercise of warrants or options, vesting of equity awards or otherwise (the “covered shares”):</w:t>
      </w:r>
    </w:p>
    <w:p>
      <w:pPr>
        <w:spacing w:after="0" w:line="102" w:lineRule="exact"/>
        <w:rPr>
          <w:sz w:val="20"/>
          <w:szCs w:val="20"/>
          <w:color w:val="auto"/>
        </w:rPr>
      </w:pPr>
    </w:p>
    <w:p>
      <w:pPr>
        <w:ind w:left="1320" w:right="479" w:hanging="434"/>
        <w:spacing w:after="0" w:line="282"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the special meeting to a later date if there are not sufficient votes to approve the merger and the other transactions contemplated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16.4% of the outstanding shares of Stronghold common stock. For more information, see the section entitled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Until the expiration time (as defined below), each of Q Power and Mr. Beard has agreed not to transfer or cause the transfer of any covered shares, deposit any covered shares into a voting trust or enter into any voting agreement or arrangement or grant any proxy that is inconsistent with the voting agreement, or agree to any of the foregoing actions or take or agree to any other action inconsistent with such holder’s obligations pursuant to the voting agreement. Each of Q Power and Mr. Beard may transfer covered shares:</w:t>
      </w:r>
    </w:p>
    <w:p>
      <w:pPr>
        <w:spacing w:after="0" w:line="102" w:lineRule="exact"/>
        <w:rPr>
          <w:sz w:val="20"/>
          <w:szCs w:val="20"/>
          <w:color w:val="auto"/>
        </w:rPr>
      </w:pPr>
    </w:p>
    <w:p>
      <w:pPr>
        <w:ind w:left="1320" w:hanging="434"/>
        <w:spacing w:after="0"/>
        <w:tabs>
          <w:tab w:leader="none" w:pos="1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Bitfarms;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affiliates of such holder, or trusts established for the benefit of such holder or one or more of its affiliates, provided that prior to such transfer the transferee agrees in writing to be bound by the voting agreement or is party to an agreement with Bitfarms with substantially identical terms to the voting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Waiver of Appraisal Rights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on behalf of such holder and its affiliates, irrevocably and unconditionally waived appraisal rights with respect to covered shares held by such holder, and agreed not to commence or participate in any claim, derivative or otherwise, relating to the negotiation or consummation of the merger agreement and the transactions consummated thereby, including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voting agreement will terminate on the earliest to occur of (i) the effective time of the merger, (ii) such date and time as the merger agreement is terminated, (iii) the date of any modification or amendment to the merger agreement that adversely affects the stockholders party to the voting agreement in any material respect, and (iv) on written agreement of the parties to the voting agreement (the “expiration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TRA Waiver and Termination Agreement by and among Bitfarms, Stronghold, Q Power and William Spence, dated August 21, 2024. This summary may not contain all of the information about the TRA Waiver and Termination Agreement that is important to you. The summary in this section and elsewhere in this proxy statement/prospectus is qualified in its entirety by reference to the TRA Waiver and Termination Agreement attached as Annex C to, and incorporated by reference into, this proxy statement/prospectus. You are encouraged to read the TRA Waiver and Termination Agreement in its entirety.</w:t>
      </w:r>
    </w:p>
    <w:p>
      <w:pPr>
        <w:spacing w:after="0" w:line="10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is party to a Tax Receivable Agreement, dated April 1, 2021, amended effective as of November 9, 2022 (the “TRA”), with Q Power and William Spence, a former director of Stronghold. The TRA generally provides for the payment by Stronghold to Q Power and Mr. Spence of 85% of the net cash savings, if any, in U.S. federal, state and local income tax and franchise tax that Stronghold actually realizes (or is deemed to realize in certain circumstances) as a result of (i) certain increases in tax basis that occur in connection with the redemption of units in Company Holdco held (or formerly held) by Q Power and Mr. Spence and (ii) certain tax benefits attributable to imputed interest deemed to be paid by Stronghold as a result of, and additional tax basis arising from, any payments Stronghold makes under the TRA. The TRA generally provides for payments to be made as Stronghold realizes actual cash tax savings from the tax benefits covered by the TRA. However, the TRA provides that if Stronghold experiences a change of control or the TRA otherwise terminates early (at Stronghold’s election or as a result of Stronghold’s breach), Stronghold would be required to make an immediate payment (the “early termination payment”) equal to the present value of the future payments it would be required to make pursuant to the TRA (determined by applying a discount rate equal to the twelve-month Secured Overnight Finance Right (SOFR) plus 171.513 basis points and using numerous assumptions to determine deemed tax savings). Pursuant to the terms of the TRA, the early termination payment would have become payable by Stronghold as a result of the merger.</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entering into the merger agreement, Bitfarms, Stronghold, Q Power and Mr. Spence entered into the TRA Waiver and Termination Agreement. Pursuant to the TRA Waiver and Termination Agreement, subject to and effective at the effective time of the merger, Q Power and Mr. Spence agreed to waive in full any and all of the early termination payment which would otherwise be payable at the effective time of the merger or any other amounts payable pursuant to the TRA, and to terminate the TRA.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Conversion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conversion agreement by and among Bitfarms, Stronghold, and the Stronghold Series C preferred stockholders, dated August 21, 2024. This summary may not contain all of the information about the conversion agreement that is important to you. The summary in this section and elsewhere in this proxy statement/prospectus is qualified in its entirety by reference to the conversion agreement attached as Annex D to, and incorporated by reference into, this proxy statement/prospectus. You are encouraged to read the conversion agreement in its entirety.</w:t>
      </w:r>
    </w:p>
    <w:p>
      <w:pPr>
        <w:spacing w:after="0" w:line="11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Stronghold and the Stronghold Series C preferred stockholders entered into the conversion agreement, pursuant to which and on the terms and subject to the conditions thereof, among other things, each Stronghold Series C preferred stockholder has agreed, until the earlier to occur of (i) the effective time, (ii) the date and time the merger agreement is validly terminated pursuant to its terms and (iii) the termination the conversion agreement, that:</w:t>
      </w:r>
    </w:p>
    <w:p>
      <w:pPr>
        <w:spacing w:after="0" w:line="120" w:lineRule="exact"/>
        <w:rPr>
          <w:sz w:val="20"/>
          <w:szCs w:val="20"/>
          <w:color w:val="auto"/>
        </w:rPr>
      </w:pPr>
    </w:p>
    <w:p>
      <w:pPr>
        <w:jc w:val="both"/>
        <w:ind w:left="1320" w:right="479" w:hanging="434"/>
        <w:spacing w:after="0" w:line="256" w:lineRule="auto"/>
        <w:tabs>
          <w:tab w:leader="none" w:pos="13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and immediately prior to the effective time, the conversion agreement shall be deemed an Optional Conversion Notice (as defined in the Stronghold Series C certificate of designations) of such holder of Stronghold Series C preferred stock, pursuant to which all of the issued and outstanding shares of Stronghold Series C preferred stock held by such Stronghold Series C preferred stockholder shall be converted into shares of Stronghold Class A common stock in accordance with the terms of the Stronghold Series C certificate of designations;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such Stronghold Series C preferred stockholder shall not sell, transfer or assign any of its shares of Stronghold Series C preferred stock;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Stronghold Series C preferred stockholder shall provide any consent of such Stronghold Series C preferred stockholder to the merger agreement, or the transactions contemplated thereby, including the merger, which may be required under the Stronghold Series C certificate of designations.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Bitfarms was incorporated under the Canada Business Corporations Act on October 11, 2018 and continued under the Business Corporations Act (Ontario) on August 27, 2021. The common shares of the Company are listed on Nasdaq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was incorporated as a Delaware corporation on March 19, 2021. The Stronghold Class A common stock is listed on Nasdaq. Stronghold is a vertically integrated Bitcoin mining company with an emphasis on environmentally beneficial operations. Stronghold wholly owns and operates two coal refuse power generation facilities.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(“BMS”) an indirect, wholly-owned subsidiary of Bitfarms and HPC &amp; AI Megacorp, Inc. (“Merger Sub”), a Delaware corporation and a wholly-owned subsidiary of BMS, pursuant to which Merger Sub will merge with and into Stronghold, with Stronghold surviving the merger as an indirect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September 30, 2024 includes the pro forma effect of this transaction as if it had occurred on September 30, 2024. The unaudited pro forma condensed combined statement of income for the nine months ended September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0" w:type="dxa"/>
            <w:vAlign w:val="bottom"/>
          </w:tcPr>
          <w:p>
            <w:pPr>
              <w:spacing w:after="0"/>
              <w:rPr>
                <w:sz w:val="16"/>
                <w:szCs w:val="16"/>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line="20" w:lineRule="exact"/>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20" w:type="dxa"/>
            <w:vAlign w:val="bottom"/>
            <w:gridSpan w:val="3"/>
            <w:vMerge w:val="continue"/>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vMerge w:val="continue"/>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72,913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(53,468)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23,936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receivables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11,440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12,566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prepaid deposits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15,918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2,532</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72,629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73,243</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component inventory</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6,996</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12,819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(53,468)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148,398</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246,514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126,675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373,189</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4(b)</w:t>
            </w: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24,755</w:t>
            </w: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deposits, equipment</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prepayments and other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122,901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(7,125)</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116,697</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5(c)</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44,944</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(15,650)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712,235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payables and accrued</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26,058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62,851</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2,914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14,327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14,327</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51,092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(17,088)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81,683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19,974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20,331</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provision</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12,597</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5(h)</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10,501</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74,601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110,299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(62,936)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121,964</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 Class V; $0.0001</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par value; 50,000,000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authorized; 2,405,760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issued and outstanding as of</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5(d)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2024</w:t>
            </w:r>
          </w:p>
        </w:tc>
        <w:tc>
          <w:tcPr>
            <w:tcW w:w="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capital</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801,637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881,821</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9019"/>
          </w:cols>
          <w:pgMar w:left="1440" w:top="270" w:right="1440" w:bottom="0" w:gutter="0" w:footer="0" w:header="0"/>
        </w:sectPr>
      </w:pPr>
    </w:p>
    <w:p>
      <w:pPr>
        <w:ind w:left="7240" w:hanging="637"/>
        <w:spacing w:after="0"/>
        <w:tabs>
          <w:tab w:leader="none" w:pos="7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91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9144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35" w:name="page136"/>
    <w:bookmarkEnd w:id="135"/>
    <w:tbl>
      <w:tblPr>
        <w:tblLayout w:type="fixed"/>
        <w:tblInd w:w="460" w:type="dxa"/>
        <w:tblCellMar>
          <w:top w:w="0" w:type="dxa"/>
          <w:left w:w="0" w:type="dxa"/>
          <w:bottom w:w="0" w:type="dxa"/>
          <w:right w:w="0" w:type="dxa"/>
        </w:tblCellMar>
      </w:tblP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Contributed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63,785</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376,235</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(376,235)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63,785</w:t>
            </w:r>
          </w:p>
        </w:tc>
      </w:tr>
      <w:tr>
        <w:trPr>
          <w:trHeight w:val="237"/>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(356,709)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(360,764)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4(b)</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360,869</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(358,646)</w:t>
            </w:r>
          </w:p>
        </w:tc>
      </w:tr>
      <w:tr>
        <w:trPr>
          <w:trHeight w:val="47"/>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5(f)</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Revaluation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3,311</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3,311</w:t>
            </w:r>
          </w:p>
        </w:tc>
      </w:tr>
      <w:tr>
        <w:trPr>
          <w:trHeight w:val="20"/>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512,024</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19,530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58,822</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590,271</w:t>
            </w:r>
          </w:p>
        </w:tc>
      </w:tr>
      <w:tr>
        <w:trPr>
          <w:trHeight w:val="33"/>
        </w:trPr>
        <w:tc>
          <w:tcPr>
            <w:tcW w:w="2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(15,650)</w:t>
            </w:r>
          </w:p>
        </w:tc>
        <w:tc>
          <w:tcPr>
            <w:tcW w:w="6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712,235</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4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195,259</w:t>
            </w: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(170,464)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(55,945)</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21"/>
                <w:szCs w:val="2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(226,803)</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(33,746)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(31,544)</w:t>
            </w: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(53,198)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(40,146)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(92,198)</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4(c)</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(4,878)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 and deposits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 property,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plant and equipment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assets held for sale</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digital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(91,178)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(39,766)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(131,179)</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5(i)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25,706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(73,811)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(105,473)</w:t>
            </w:r>
          </w:p>
        </w:tc>
        <w:tc>
          <w:tcPr>
            <w:tcW w:w="0" w:type="dxa"/>
            <w:vAlign w:val="bottom"/>
          </w:tcPr>
          <w:p>
            <w:pPr>
              <w:spacing w:after="0"/>
              <w:rPr>
                <w:sz w:val="1"/>
                <w:szCs w:val="1"/>
                <w:color w:val="auto"/>
              </w:rPr>
            </w:pPr>
          </w:p>
        </w:tc>
      </w:tr>
      <w:tr>
        <w:trPr>
          <w:trHeight w:val="25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21"/>
                <w:szCs w:val="21"/>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(69,228)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(100,677)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396,423,169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444,522,037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221,332</w:t>
            </w: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(77,831)</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(246,185)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(21,502)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(2,865)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(486)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(24,853)</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5(e)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(39,292)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(50,388)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(1,388)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vMerge w:val="continue"/>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(95,868)</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(3,340)</w:t>
            </w:r>
          </w:p>
        </w:tc>
        <w:tc>
          <w:tcPr>
            <w:tcW w:w="80" w:type="dxa"/>
            <w:vAlign w:val="bottom"/>
          </w:tcPr>
          <w:p>
            <w:pPr>
              <w:spacing w:after="0"/>
              <w:rPr>
                <w:sz w:val="20"/>
                <w:szCs w:val="20"/>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4(c)</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5(g)</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(5,544)</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construction prepayments,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 right-of-</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use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Impairments on digital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(72,129)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(62,383)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(142,163)</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9,755</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(67,042)</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(109,323)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6,278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(209,205)</w:t>
            </w: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21"/>
                <w:szCs w:val="2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(108,922)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6,278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(208,544)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262,237,117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310,335,985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p>
      <w:pPr>
        <w:ind w:left="860" w:hanging="406"/>
        <w:spacing w:after="0"/>
        <w:tabs>
          <w:tab w:leader="none" w:pos="8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the merger agreement with Stronghold, BMS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(“IFRS 3”) with Bitfarms as the acquirer and Stronghold as the acquired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condensed combined financial statements have been prepared using the acquisition method of accounting in accordance with IFRS 3. In order to effect the merger, the companies will take the following steps: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2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(as defined below),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 As at September 30, 2024, there were no Interim Stronghold RSUs.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assume the outstanding debt of Stronghold. Cash paid by Bitfarms to settle Stronghold’s outstanding debt immediately prior to closing of the merger will be recognized as a component of purchase consideration and an assumed liability for the outstanding debt would not be recognized in acquisition accounting.</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183" w:lineRule="exact"/>
        <w:rPr>
          <w:sz w:val="20"/>
          <w:szCs w:val="20"/>
          <w:color w:val="auto"/>
        </w:rPr>
      </w:pPr>
    </w:p>
    <w:p>
      <w:pPr>
        <w:ind w:left="860" w:hanging="406"/>
        <w:spacing w:after="0"/>
        <w:tabs>
          <w:tab w:leader="none" w:pos="8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Company’s unaudited pro forma condensed combined statement of financial position as at September 30, 2024, and the unaudited pro forma condensed combined statement of income for the nine months ended September 30, 2024 and the year ended December 31, 2023 have been prepared by management for the purpose of presenting the impact of the merger, as described herein. While this transaction has not closed as of the date of this proxy statement/prospectus, the unaudited pro forma condensed combined statement of financial position includes the pro forma effect of this transaction as if it had occurred on September 30, 2024. The unaudited pro forma condensed combined statement of income for the nine months ended September 30, 2024 and the year ended December 31, 2023, include the pro forma effect of this transaction as if it had occurred on January 1,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proxy statement/prospectus.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2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81" w:lineRule="exact"/>
        <w:rPr>
          <w:sz w:val="20"/>
          <w:szCs w:val="20"/>
          <w:color w:val="auto"/>
        </w:rPr>
      </w:pPr>
    </w:p>
    <w:p>
      <w:pPr>
        <w:jc w:val="both"/>
        <w:ind w:left="1320" w:right="459" w:hanging="434"/>
        <w:spacing w:after="0" w:line="256"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restated interim condensed consolidated financial statements as at September 30, 2024 and September 30, 2023 and for the three and nine months ended September 30, 2024 and 2023 prepared in accordance with International Financial Reporting Standards as issued by the International Accounting Standards Board (“IFRS Accounting Standards”), and International Accounting Standards 34 (“IAS 34”) applicable to interim financial statements, which are incorporated by reference in this proxy statement/prospectus.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restated consolidated financial statements as at and for the years ended December 31, 2023 and 2022, prepared in accordance with IFRS Accounting Standards and incorporated by reference in this proxy statement/prospectus.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unaudited restated interim condensed consolidated financial statements as at September 30, 2024 and September 30, 2023 and for the three months and nine months ended September 30, 2024 and 2023 prepared in accordance with generally accepted accounting principles in the United States (“U.S. GAAP”) and incorporated by reference in this proxy statement/prospectus.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of Stronghold</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audited consolidated financial statements as at and for the years ended December 31, 2023 and 2022, prepared in accordance with U.S. GAAP and incorporated by reference in this proxy statement/prospectus. For the purposes of these pro forma financial statements,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proxy statement/prospectus.</w:t>
      </w:r>
    </w:p>
    <w:p>
      <w:pPr>
        <w:spacing w:after="0" w:line="11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Disclosures about Acquired and Disposed Businesses</w:t>
      </w:r>
      <w:r>
        <w:rPr>
          <w:rFonts w:ascii="Times New Roman" w:cs="Times New Roman" w:eastAsia="Times New Roman" w:hAnsi="Times New Roman"/>
          <w:sz w:val="18"/>
          <w:szCs w:val="18"/>
          <w:color w:val="auto"/>
        </w:rPr>
        <w:t>. Release No. 33-10786 replaced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previous pro forma adjustment criteria with simplified requirements to depict the accounting for business combinations (“Transaction Accounting Adjustments”) and permitted the presentation of reasonably estimable synergies and other transaction effects that have occurred or are reasonably expected to occur (“Management’s Adjustments”). Only Transaction Accounting Adjustments are presented in the unaudited pro forma condensed combined financial statements. The pro forma condensed combined financial statements also apply the pro forma requirements of National Instrument 44-101 </w:t>
      </w:r>
      <w:r>
        <w:rPr>
          <w:rFonts w:ascii="Times New Roman" w:cs="Times New Roman" w:eastAsia="Times New Roman" w:hAnsi="Times New Roman"/>
          <w:sz w:val="18"/>
          <w:szCs w:val="18"/>
          <w:i w:val="1"/>
          <w:iCs w:val="1"/>
          <w:color w:val="auto"/>
        </w:rPr>
        <w:t>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 Prospectus Distributions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Bitfarms entered into the hosting agreement and the second hosting agreement on September 12, 2024 and October 29, 2024, respectively. Simultaneously with the execution of each of the hosting agreement and the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 xml:space="preserve">second hosting agreement, Bitfarms provided Stronghold with a deposit of $7.8 million and a pro forma adjustment was made to eliminate activities between the companies in the historical financial statements. Upon closing of the merger, Bitfarms would effectively settle these pre-existing relationships and would recognize a gain or loss in the unaudited pro forma condensed combined statement of earnings (loss) for the year ended December 31, 2023, based on the unfavourable element of the contracts and the carrying amount of the related asset previously recognized by Bitfarms (see Note 5f), </w:t>
      </w:r>
      <w:r>
        <w:rPr>
          <w:rFonts w:ascii="Times New Roman" w:cs="Times New Roman" w:eastAsia="Times New Roman" w:hAnsi="Times New Roman"/>
          <w:sz w:val="18"/>
          <w:szCs w:val="18"/>
          <w:i w:val="1"/>
          <w:iCs w:val="1"/>
          <w:color w:val="auto"/>
        </w:rPr>
        <w:t>Pro forma Adjustments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Assumptions for the Merger — Hosting Agreements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20"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proxy statement/prospectus as set forth in the notes to the unaudited pro forma condensed combined financial statements.</w:t>
      </w:r>
    </w:p>
    <w:p>
      <w:pPr>
        <w:spacing w:after="0" w:line="172" w:lineRule="exact"/>
        <w:rPr>
          <w:sz w:val="20"/>
          <w:szCs w:val="20"/>
          <w:color w:val="auto"/>
        </w:rPr>
      </w:pPr>
    </w:p>
    <w:p>
      <w:pPr>
        <w:ind w:left="860" w:hanging="406"/>
        <w:spacing w:after="0"/>
        <w:tabs>
          <w:tab w:leader="none" w:pos="8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14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which are presented in accordance with U.S. GAAP.</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September 30,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4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currencies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Electrical component inventory</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prepaid deposits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 (ii)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12,819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12,819</w:t>
            </w:r>
          </w:p>
        </w:tc>
        <w:tc>
          <w:tcPr>
            <w:tcW w:w="0" w:type="dxa"/>
            <w:vAlign w:val="bottom"/>
          </w:tcPr>
          <w:p>
            <w:pPr>
              <w:spacing w:after="0"/>
              <w:rPr>
                <w:sz w:val="1"/>
                <w:szCs w:val="1"/>
                <w:color w:val="auto"/>
              </w:rPr>
            </w:pPr>
          </w:p>
        </w:tc>
      </w:tr>
      <w:tr>
        <w:trPr>
          <w:trHeight w:val="282"/>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124,972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(iii), (iv)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126,675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(iii)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Road bond</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Security deposits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Long-term deposits, equipment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prepayments and other</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11,259</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14,799</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Trade payables and accrued</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26,058</w:t>
            </w:r>
          </w:p>
        </w:tc>
        <w:tc>
          <w:tcPr>
            <w:tcW w:w="0" w:type="dxa"/>
            <w:vAlign w:val="bottom"/>
          </w:tcPr>
          <w:p>
            <w:pPr>
              <w:spacing w:after="0"/>
              <w:rPr>
                <w:sz w:val="1"/>
                <w:szCs w:val="1"/>
                <w:color w:val="auto"/>
              </w:rPr>
            </w:pPr>
          </w:p>
        </w:tc>
      </w:tr>
      <w:tr>
        <w:trPr>
          <w:trHeight w:val="188"/>
        </w:trPr>
        <w:tc>
          <w:tcPr>
            <w:tcW w:w="210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Financed insurance premiums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discounts and issuance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19,567</w:t>
            </w: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19,567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operating lease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47,679</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vMerge w:val="continue"/>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47,679</w:t>
            </w:r>
          </w:p>
        </w:tc>
        <w:tc>
          <w:tcPr>
            <w:tcW w:w="0" w:type="dxa"/>
            <w:vAlign w:val="bottom"/>
          </w:tcPr>
          <w:p>
            <w:pPr>
              <w:spacing w:after="0"/>
              <w:rPr>
                <w:sz w:val="1"/>
                <w:szCs w:val="1"/>
                <w:color w:val="auto"/>
              </w:rPr>
            </w:pPr>
          </w:p>
        </w:tc>
      </w:tr>
      <w:tr>
        <w:trPr>
          <w:trHeight w:val="282"/>
        </w:trPr>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retirement provision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16,765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16,765</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Long-term debt, net of discounts</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33,880</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33,880</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issuance fees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Long-term operating lease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right w:val="single" w:sz="8" w:color="CCEEFF"/>
            </w:tcBorders>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10,501</w:t>
            </w: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10,501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Redeemable common stock</w:t>
      </w:r>
    </w:p>
    <w:p>
      <w:pPr>
        <w:sectPr>
          <w:pgSz w:w="11900" w:h="16881" w:orient="portrait"/>
          <w:cols w:equalWidth="0" w:num="1">
            <w:col w:w="9019"/>
          </w:cols>
          <w:pgMar w:left="1440" w:top="270" w:right="1440" w:bottom="0" w:gutter="0" w:footer="0" w:header="0"/>
        </w:sectPr>
      </w:pP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vMerge w:val="continue"/>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3"/>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A; $0.0001</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238,000,000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14,737,601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$0.0001 par value;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23,102 shares authorized; 5,990</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-1707515</wp:posOffset>
            </wp:positionV>
            <wp:extent cx="514350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-1338580</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-661670</wp:posOffset>
            </wp:positionV>
            <wp:extent cx="5143500" cy="4972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r>
      <w:tr>
        <w:trPr>
          <w:trHeight w:val="205"/>
        </w:trPr>
        <w:tc>
          <w:tcPr>
            <w:tcW w:w="460" w:type="dxa"/>
            <w:vAlign w:val="bottom"/>
          </w:tcPr>
          <w:p>
            <w:pPr>
              <w:spacing w:after="0"/>
              <w:rPr>
                <w:sz w:val="17"/>
                <w:szCs w:val="17"/>
                <w:color w:val="auto"/>
              </w:rPr>
            </w:pPr>
          </w:p>
        </w:tc>
        <w:tc>
          <w:tcPr>
            <w:tcW w:w="2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30, 2024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264"/>
        </w:trPr>
        <w:tc>
          <w:tcPr>
            <w:tcW w:w="460" w:type="dxa"/>
            <w:vAlign w:val="bottom"/>
          </w:tcPr>
          <w:p>
            <w:pPr>
              <w:spacing w:after="0"/>
              <w:rPr>
                <w:sz w:val="22"/>
                <w:szCs w:val="22"/>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543"/>
        </w:trPr>
        <w:tc>
          <w:tcPr>
            <w:tcW w:w="460" w:type="dxa"/>
            <w:vAlign w:val="bottom"/>
          </w:tcPr>
          <w:p>
            <w:pPr>
              <w:spacing w:after="0"/>
              <w:rPr>
                <w:sz w:val="24"/>
                <w:szCs w:val="24"/>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20" w:type="dxa"/>
            <w:vAlign w:val="bottom"/>
          </w:tcPr>
          <w:p>
            <w:pPr>
              <w:spacing w:after="0"/>
              <w:rPr>
                <w:sz w:val="24"/>
                <w:szCs w:val="24"/>
                <w:color w:val="auto"/>
              </w:rPr>
            </w:pPr>
          </w:p>
        </w:tc>
      </w:tr>
      <w:tr>
        <w:trPr>
          <w:trHeight w:val="7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783"/>
        </w:trPr>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 capital</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r>
    </w:tbl>
    <w:p>
      <w:pPr>
        <w:sectPr>
          <w:pgSz w:w="11900" w:h="16881" w:orient="portrait"/>
          <w:cols w:equalWidth="0" w:num="2">
            <w:col w:w="4400" w:space="520"/>
            <w:col w:w="4099"/>
          </w:cols>
          <w:pgMar w:left="1440" w:top="270" w:right="1440" w:bottom="0" w:gutter="0" w:footer="0" w:header="0"/>
          <w:type w:val="continuous"/>
        </w:sectPr>
      </w:pPr>
    </w:p>
    <w:bookmarkStart w:id="143" w:name="page144"/>
    <w:bookmarkEnd w:id="14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(360,764)</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(360,764)</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380,293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(4,058)</w:t>
            </w: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Contributed surplus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0" w:type="dxa"/>
            <w:vAlign w:val="bottom"/>
            <w:vMerge w:val="continue"/>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3"/>
                <w:szCs w:val="23"/>
                <w:color w:val="auto"/>
              </w:rPr>
            </w:pPr>
          </w:p>
        </w:tc>
        <w:tc>
          <w:tcPr>
            <w:tcW w:w="2440" w:type="dxa"/>
            <w:vAlign w:val="bottom"/>
            <w:vMerge w:val="continue"/>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 redeemable</w:t>
            </w: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5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4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other current assets to short-term prepaid deposits to align with Bitfarms’ presentation</w:t>
      </w:r>
    </w:p>
    <w:p>
      <w:pPr>
        <w:ind w:left="860" w:hanging="406"/>
        <w:spacing w:after="0"/>
        <w:tabs>
          <w:tab w:leader="none" w:pos="86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due from related parties to other assets to align with Bitfarms’ presentation</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land to property, plant and equipment align with Bitfarms’ presentation</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4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property, plant and equipment relating to software to intangible assets to align with Bitfarms’ presentation</w:t>
      </w:r>
    </w:p>
    <w:p>
      <w:pPr>
        <w:ind w:left="880" w:right="479" w:hanging="426"/>
        <w:spacing w:after="0" w:line="264" w:lineRule="auto"/>
        <w:tabs>
          <w:tab w:leader="none" w:pos="88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road bond, security deposits and other noncurrent assets to long-term deposits, equipment prepayments and other to align with Bitfarms’ presentation</w:t>
      </w:r>
    </w:p>
    <w:p>
      <w:pPr>
        <w:ind w:left="880" w:right="479" w:hanging="426"/>
        <w:spacing w:after="0" w:line="264" w:lineRule="auto"/>
        <w:tabs>
          <w:tab w:leader="none" w:pos="84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reclassify accrued liabilities and financed insurance premiums to trade payables and accrued liabilities to align with Bitfarms’ presentation</w:t>
      </w:r>
    </w:p>
    <w:p>
      <w:pPr>
        <w:ind w:left="880" w:right="479" w:hanging="426"/>
        <w:spacing w:after="0" w:line="288" w:lineRule="auto"/>
        <w:tabs>
          <w:tab w:leader="none" w:pos="848"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common stock — Class A and a portion of additional paid-in-capital to share capital to align with Bitfarms’ presentation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00" w:hanging="2246"/>
        <w:spacing w:after="0" w:line="263" w:lineRule="auto"/>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 For the nine months ended September 30, 2024</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54,649</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(1,296)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22,322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(8,807)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Pr>
          <w:p>
            <w:pPr>
              <w:spacing w:after="0"/>
              <w:rPr>
                <w:sz w:val="12"/>
                <w:szCs w:val="12"/>
                <w:color w:val="auto"/>
              </w:rPr>
            </w:pPr>
          </w:p>
        </w:tc>
        <w:tc>
          <w:tcPr>
            <w:tcW w:w="2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plant and equipment and</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4,358</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(gain) on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on digital</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loss on sale of miner</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55,986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(39,807)</w:t>
            </w:r>
          </w:p>
        </w:tc>
        <w:tc>
          <w:tcPr>
            <w:tcW w:w="10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(39,766)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740" w:hanging="426"/>
        <w:spacing w:after="0" w:line="267" w:lineRule="auto"/>
        <w:tabs>
          <w:tab w:leader="none" w:pos="85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 w:lineRule="exact"/>
        <w:rPr>
          <w:sz w:val="20"/>
          <w:szCs w:val="20"/>
          <w:color w:val="auto"/>
        </w:rPr>
      </w:pPr>
    </w:p>
    <w:p>
      <w:pPr>
        <w:ind w:left="880" w:right="760" w:hanging="426"/>
        <w:spacing w:after="0" w:line="264" w:lineRule="auto"/>
        <w:tabs>
          <w:tab w:leader="none" w:pos="844"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and other to revenues to align with Bitfarms’ presentation</w:t>
      </w:r>
    </w:p>
    <w:p>
      <w:pPr>
        <w:ind w:left="880" w:right="740" w:hanging="426"/>
        <w:spacing w:after="0" w:line="264" w:lineRule="auto"/>
        <w:tabs>
          <w:tab w:leader="none" w:pos="84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740" w:hanging="426"/>
        <w:spacing w:after="0" w:line="264" w:lineRule="auto"/>
        <w:tabs>
          <w:tab w:leader="none" w:pos="85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760" w:hanging="426"/>
        <w:spacing w:after="0" w:line="264" w:lineRule="auto"/>
        <w:tabs>
          <w:tab w:leader="none" w:pos="844"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on sale of miner assets to loss on disposition of property, plant and equipment and deposits to align with Bitfarms’ presentation</w:t>
      </w:r>
    </w:p>
    <w:p>
      <w:pPr>
        <w:ind w:left="880" w:right="760" w:hanging="426"/>
        <w:spacing w:after="0" w:line="288" w:lineRule="auto"/>
        <w:tabs>
          <w:tab w:leader="none" w:pos="8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changes in fair value of warrant liabilities, other and a portion of operations and maintenance to net financial expenses (income) to align with Bitfarms’ presentation</w:t>
      </w:r>
    </w:p>
    <w:p>
      <w:pPr>
        <w:sectPr>
          <w:pgSz w:w="11900" w:h="16838" w:orient="portrait"/>
          <w:cols w:equalWidth="0" w:num="1">
            <w:col w:w="9300"/>
          </w:cols>
          <w:pgMar w:left="1440" w:top="270" w:right="1159" w:bottom="177" w:gutter="0" w:footer="0" w:header="0"/>
        </w:sectPr>
      </w:pPr>
    </w:p>
    <w:p>
      <w:pPr>
        <w:spacing w:after="0" w:line="1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300"/>
          </w:cols>
          <w:pgMar w:left="1440" w:top="270" w:right="1159" w:bottom="177" w:gutter="0" w:footer="0" w:header="0"/>
          <w:type w:val="continuous"/>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Capacity</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74,966</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(2,865)</w:t>
            </w:r>
          </w:p>
        </w:tc>
        <w:tc>
          <w:tcPr>
            <w:tcW w:w="0" w:type="dxa"/>
            <w:vAlign w:val="bottom"/>
          </w:tcPr>
          <w:p>
            <w:pPr>
              <w:spacing w:after="0"/>
              <w:rPr>
                <w:sz w:val="1"/>
                <w:szCs w:val="1"/>
                <w:color w:val="auto"/>
              </w:rPr>
            </w:pPr>
          </w:p>
        </w:tc>
      </w:tr>
      <w:tr>
        <w:trPr>
          <w:trHeight w:val="282"/>
        </w:trPr>
        <w:tc>
          <w:tcPr>
            <w:tcW w:w="2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9019"/>
          </w:cols>
          <w:pgMar w:left="1440" w:top="270" w:right="1440" w:bottom="0" w:gutter="0" w:footer="0" w:header="0"/>
        </w:sect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28,590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(28,590)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32,836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(13,826)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(18,958)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(31,430)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(50,388)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expenses</w:t>
            </w: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35,415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(35,415)</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3,818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(3,818)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(3,766)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plant and equipment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(968)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digital assets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loss on sale of</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miner assets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Impairments on equipment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5,422</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on short-term prepaid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deposits, equipment and</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construction prepayments,</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7"/>
                <w:szCs w:val="17"/>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right-of-use assets</w:t>
            </w:r>
          </w:p>
        </w:tc>
        <w:tc>
          <w:tcPr>
            <w:tcW w:w="0" w:type="dxa"/>
            <w:vAlign w:val="bottom"/>
          </w:tcPr>
          <w:p>
            <w:pPr>
              <w:spacing w:after="0"/>
              <w:rPr>
                <w:sz w:val="1"/>
                <w:szCs w:val="1"/>
                <w:color w:val="auto"/>
              </w:rPr>
            </w:pPr>
          </w:p>
        </w:tc>
      </w:tr>
      <w:tr>
        <w:trPr>
          <w:trHeight w:val="26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137,401</w:t>
            </w:r>
          </w:p>
        </w:tc>
        <w:tc>
          <w:tcPr>
            <w:tcW w:w="22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77,883</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(62,435)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-3771265</wp:posOffset>
            </wp:positionV>
            <wp:extent cx="514350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-3411220</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-3051175</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-2656840</wp:posOffset>
            </wp:positionV>
            <wp:extent cx="514350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-2296795</wp:posOffset>
            </wp:positionV>
            <wp:extent cx="514350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-1439545</wp:posOffset>
            </wp:positionV>
            <wp:extent cx="514350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-1079500</wp:posOffset>
            </wp:positionV>
            <wp:extent cx="514350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-367665</wp:posOffset>
            </wp:positionV>
            <wp:extent cx="514350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(50,388)</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(3,766)</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968</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(910)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212090</wp:posOffset>
            </wp:positionV>
            <wp:extent cx="4114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(62,383)</w:t>
      </w:r>
    </w:p>
    <w:p>
      <w:pPr>
        <w:spacing w:after="0" w:line="266" w:lineRule="exact"/>
        <w:rPr>
          <w:sz w:val="20"/>
          <w:szCs w:val="20"/>
          <w:color w:val="auto"/>
        </w:rPr>
      </w:pPr>
    </w:p>
    <w:p>
      <w:pPr>
        <w:sectPr>
          <w:pgSz w:w="11900" w:h="16838" w:orient="portrait"/>
          <w:cols w:equalWidth="0" w:num="2">
            <w:col w:w="7580" w:space="400"/>
            <w:col w:w="103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(9,846)</w:t>
            </w: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9,846</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(28,961)</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28,961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(647)</w:t>
            </w: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647</w:t>
            </w:r>
          </w:p>
        </w:tc>
        <w:tc>
          <w:tcPr>
            <w:tcW w:w="7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(39,441)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(39,441)</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(65)</w:t>
            </w: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(39,389)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22"/>
                <w:szCs w:val="22"/>
                <w:color w:val="auto"/>
              </w:rPr>
            </w:pPr>
          </w:p>
        </w:tc>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1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53"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audited consolidated financial statements for the year ended December 31, 2023 incorporated by reference in this proxy statement/prospectus.</w:t>
      </w:r>
    </w:p>
    <w:p>
      <w:pPr>
        <w:ind w:left="880" w:right="479" w:hanging="426"/>
        <w:spacing w:after="0" w:line="264" w:lineRule="auto"/>
        <w:tabs>
          <w:tab w:leader="none" w:pos="844"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capacity and other to revenues to align with Bitfarms’ presentation</w:t>
      </w:r>
    </w:p>
    <w:p>
      <w:pPr>
        <w:ind w:left="880" w:right="459" w:hanging="426"/>
        <w:spacing w:after="0" w:line="264" w:lineRule="auto"/>
        <w:tabs>
          <w:tab w:leader="none" w:pos="84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459" w:hanging="426"/>
        <w:spacing w:after="0" w:line="264" w:lineRule="auto"/>
        <w:tabs>
          <w:tab w:leader="none" w:pos="853"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479" w:hanging="426"/>
        <w:spacing w:after="0" w:line="288" w:lineRule="auto"/>
        <w:tabs>
          <w:tab w:leader="none" w:pos="844"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loss on sale of miner assets to loss on disposition of property, plant and equipment to align with Bitfarms’ presentation</w:t>
      </w:r>
    </w:p>
    <w:p>
      <w:pPr>
        <w:sectPr>
          <w:pgSz w:w="11900" w:h="16838" w:orient="portrait"/>
          <w:cols w:equalWidth="0" w:num="1">
            <w:col w:w="9019"/>
          </w:cols>
          <w:pgMar w:left="1440" w:top="270" w:right="1440" w:bottom="0" w:gutter="0" w:footer="0" w:header="0"/>
          <w:type w:val="continuous"/>
        </w:sectPr>
      </w:pPr>
    </w:p>
    <w:bookmarkStart w:id="147" w:name="page148"/>
    <w:bookmarkEnd w:id="147"/>
    <w:p>
      <w:pPr>
        <w:jc w:val="both"/>
        <w:ind w:left="880" w:right="479" w:hanging="426"/>
        <w:spacing w:after="0" w:line="295" w:lineRule="auto"/>
        <w:tabs>
          <w:tab w:leader="none" w:pos="88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loss on debt extinguishment, changes in fair value of warrant liabilities, other and a portion of operations and maintenance to net financial expenses (income) to align with Bitfarms’ presentation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hanging="406"/>
        <w:spacing w:after="0"/>
        <w:tabs>
          <w:tab w:leader="none" w:pos="8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Stronghold incorporated elsewhere in this proxy statement/prospectus are prepared in accordance with U.S. GAAP. IFRS Accounting Standards differ in certain material respects from U.S. GAAP. The following pro forma adjustments have been made to reflect the historical financial information of Stronghold as if it had applied IFRS Accounting Standards, as applied by Bitfarms, for purposes of the unaudited pro forma condensed combined financial statements.</w:t>
      </w:r>
    </w:p>
    <w:p>
      <w:pPr>
        <w:spacing w:after="0" w:line="179" w:lineRule="exact"/>
        <w:rPr>
          <w:sz w:val="20"/>
          <w:szCs w:val="20"/>
          <w:color w:val="auto"/>
        </w:rPr>
      </w:pPr>
    </w:p>
    <w:p>
      <w:pPr>
        <w:ind w:left="1300" w:hanging="414"/>
        <w:spacing w:after="0"/>
        <w:tabs>
          <w:tab w:leader="none" w:pos="13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59"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(Subtopic 350-60) </w:t>
      </w:r>
      <w:r>
        <w:rPr>
          <w:rFonts w:ascii="Times New Roman" w:cs="Times New Roman" w:eastAsia="Times New Roman" w:hAnsi="Times New Roman"/>
          <w:sz w:val="18"/>
          <w:szCs w:val="18"/>
          <w:color w:val="auto"/>
        </w:rPr>
        <w:t>as of January 1, 2024, which requires all entities holding crypto assets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17" w:lineRule="exact"/>
        <w:rPr>
          <w:rFonts w:ascii="Times New Roman" w:cs="Times New Roman" w:eastAsia="Times New Roman" w:hAnsi="Times New Roman"/>
          <w:sz w:val="18"/>
          <w:szCs w:val="18"/>
          <w:b w:val="1"/>
          <w:bCs w:val="1"/>
          <w:color w:val="auto"/>
        </w:rPr>
      </w:pPr>
    </w:p>
    <w:p>
      <w:pPr>
        <w:jc w:val="both"/>
        <w:ind w:left="1320" w:right="4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IFRS Accounting Standards,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07" w:lineRule="exact"/>
        <w:rPr>
          <w:rFonts w:ascii="Times New Roman" w:cs="Times New Roman" w:eastAsia="Times New Roman" w:hAnsi="Times New Roman"/>
          <w:sz w:val="18"/>
          <w:szCs w:val="18"/>
          <w:b w:val="1"/>
          <w:bCs w:val="1"/>
          <w:color w:val="auto"/>
        </w:rPr>
      </w:pPr>
    </w:p>
    <w:p>
      <w:pPr>
        <w:jc w:val="both"/>
        <w:ind w:left="13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Bitcoin miner hosting revenue contracts</w:t>
      </w:r>
    </w:p>
    <w:p>
      <w:pPr>
        <w:spacing w:after="0" w:line="160"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Under U.S. GAAP, Stronghold is required to measure the estimated fair value of noncash consideration at contract inception, whereas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does not specify the measurement date for noncash consideration. The use of a measurement date other than contract inception would not be precluded under IFRS and the Company will need to use judgement to determine the most appropriate measurement date. Under IFRS, the Company determined that it would measure its noncash consideration when received (i.e., on a daily basis, as each Bitcoin is awarded). To reflect the IFRS accounting requirements and to align to Bitfarms’ accounting policy, the following adjustments were made to the unaudited pro forma condensed combined statement of earnings (loss):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20" w:hanging="434"/>
        <w:spacing w:after="0"/>
        <w:tabs>
          <w:tab w:leader="none" w:pos="13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62"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12"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9" w:lineRule="exact"/>
        <w:rPr>
          <w:sz w:val="20"/>
          <w:szCs w:val="20"/>
          <w:color w:val="auto"/>
        </w:rPr>
      </w:pPr>
    </w:p>
    <w:p>
      <w:pPr>
        <w:ind w:left="860" w:hanging="406"/>
        <w:spacing w:after="0"/>
        <w:tabs>
          <w:tab w:leader="none" w:pos="8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158" w:lineRule="exact"/>
        <w:rPr>
          <w:sz w:val="20"/>
          <w:szCs w:val="20"/>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Elimination of historical equity</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pro forma adjustment eliminates the historical equity accounts of Stronghold.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consideration</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purchase consideration of $146,138 was determined based on Stronghold’s issued and outstanding share capital and equity awards outstanding under Stronghold’s incentive compensation plans as of September 30,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Nasdaq as at January 15, 2025 ($1.67 per share).</w:t>
      </w:r>
    </w:p>
    <w:p>
      <w:pPr>
        <w:spacing w:after="0" w:line="124"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components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consideration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Conversion of Stronghold Series C preferred stock to Stronghold Class A common stock</w:t>
      </w:r>
    </w:p>
    <w:p>
      <w:pPr>
        <w:spacing w:after="0" w:line="61" w:lineRule="exact"/>
        <w:rPr>
          <w:sz w:val="20"/>
          <w:szCs w:val="20"/>
          <w:color w:val="auto"/>
        </w:rPr>
      </w:pPr>
    </w:p>
    <w:p>
      <w:pPr>
        <w:ind w:left="640" w:right="140" w:hanging="179"/>
        <w:spacing w:after="0" w:line="266" w:lineRule="auto"/>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 corresponding number of Stronghold Class V common stock) to Stronghold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7" w:lineRule="exact"/>
        <w:rPr>
          <w:sz w:val="20"/>
          <w:szCs w:val="20"/>
          <w:color w:val="auto"/>
        </w:rPr>
      </w:pPr>
    </w:p>
    <w:p>
      <w:pPr>
        <w:ind w:left="460" w:right="2100"/>
        <w:spacing w:after="0" w:line="360" w:lineRule="auto"/>
        <w:rPr>
          <w:sz w:val="20"/>
          <w:szCs w:val="20"/>
          <w:color w:val="auto"/>
        </w:rPr>
      </w:pPr>
      <w:r>
        <w:rPr>
          <w:rFonts w:ascii="Times New Roman" w:cs="Times New Roman" w:eastAsia="Times New Roman" w:hAnsi="Times New Roman"/>
          <w:sz w:val="18"/>
          <w:szCs w:val="18"/>
          <w:color w:val="auto"/>
        </w:rPr>
        <w:t>Stronghold RSUs outstanding that immediately vests in full Stronghold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140335</wp:posOffset>
            </wp:positionV>
            <wp:extent cx="514350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ratio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Bitfarms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common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Replacement employee options</w:t>
      </w:r>
      <w:r>
        <w:rPr>
          <w:rFonts w:ascii="Times New Roman" w:cs="Times New Roman" w:eastAsia="Times New Roman" w:hAnsi="Times New Roman"/>
          <w:sz w:val="20"/>
          <w:szCs w:val="20"/>
          <w:color w:val="auto"/>
          <w:vertAlign w:val="superscript"/>
        </w:rPr>
        <w:t>(i)</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Settlement of pre-existing relationship</w:t>
      </w:r>
      <w:r>
        <w:rPr>
          <w:rFonts w:ascii="Times New Roman" w:cs="Times New Roman" w:eastAsia="Times New Roman" w:hAnsi="Times New Roman"/>
          <w:sz w:val="20"/>
          <w:szCs w:val="20"/>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43500"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share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8"/>
          <w:szCs w:val="18"/>
          <w:color w:val="auto"/>
        </w:rPr>
        <w:t>1,497</w:t>
      </w:r>
    </w:p>
    <w:p>
      <w:pPr>
        <w:spacing w:after="0" w:line="200" w:lineRule="exact"/>
        <w:rPr>
          <w:sz w:val="20"/>
          <w:szCs w:val="20"/>
          <w:color w:val="auto"/>
        </w:rPr>
      </w:pPr>
    </w:p>
    <w:p>
      <w:pPr>
        <w:spacing w:after="0" w:line="282"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2,406</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446</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19,087</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48,099</w:t>
      </w:r>
    </w:p>
    <w:p>
      <w:pPr>
        <w:spacing w:after="0" w:line="90" w:lineRule="exact"/>
        <w:rPr>
          <w:sz w:val="20"/>
          <w:szCs w:val="20"/>
          <w:color w:val="auto"/>
        </w:rPr>
      </w:pPr>
    </w:p>
    <w:p>
      <w:pPr>
        <w:ind w:left="788" w:hanging="788"/>
        <w:spacing w:after="0"/>
        <w:tabs>
          <w:tab w:leader="none" w:pos="78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ind w:left="608" w:hanging="608"/>
        <w:spacing w:after="0"/>
        <w:tabs>
          <w:tab w:leader="none" w:pos="60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80,325</w:t>
      </w:r>
    </w:p>
    <w:p>
      <w:pPr>
        <w:spacing w:after="0" w:line="77" w:lineRule="exact"/>
        <w:rPr>
          <w:sz w:val="20"/>
          <w:szCs w:val="20"/>
          <w:color w:val="auto"/>
        </w:rPr>
      </w:pPr>
    </w:p>
    <w:p>
      <w:pPr>
        <w:ind w:left="928" w:hanging="928"/>
        <w:spacing w:after="0"/>
        <w:tabs>
          <w:tab w:leader="none" w:pos="92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77" w:lineRule="exact"/>
        <w:rPr>
          <w:sz w:val="20"/>
          <w:szCs w:val="20"/>
          <w:color w:val="auto"/>
        </w:rPr>
      </w:pPr>
    </w:p>
    <w:p>
      <w:pPr>
        <w:ind w:left="768" w:hanging="768"/>
        <w:spacing w:after="0"/>
        <w:tabs>
          <w:tab w:leader="none" w:pos="76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w:t>
      </w:r>
    </w:p>
    <w:p>
      <w:pPr>
        <w:spacing w:after="0" w:line="90" w:lineRule="exact"/>
        <w:rPr>
          <w:rFonts w:ascii="Times New Roman" w:cs="Times New Roman" w:eastAsia="Times New Roman" w:hAnsi="Times New Roman"/>
          <w:sz w:val="18"/>
          <w:szCs w:val="18"/>
          <w:color w:val="auto"/>
        </w:rPr>
      </w:pPr>
    </w:p>
    <w:p>
      <w:pPr>
        <w:ind w:left="608" w:hanging="608"/>
        <w:spacing w:after="0"/>
        <w:tabs>
          <w:tab w:leader="none" w:pos="6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472"/>
            <w:col w:w="1707"/>
          </w:cols>
          <w:pgMar w:left="1440" w:top="270" w:right="1440" w:bottom="717" w:gutter="0" w:footer="0" w:header="0"/>
          <w:type w:val="continuous"/>
        </w:sectPr>
      </w:pP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r>
              <w:rPr>
                <w:rFonts w:ascii="Times New Roman" w:cs="Times New Roman" w:eastAsia="Times New Roman" w:hAnsi="Times New Roman"/>
                <w:sz w:val="20"/>
                <w:szCs w:val="20"/>
                <w:color w:val="auto"/>
                <w:vertAlign w:val="superscript"/>
              </w:rPr>
              <w:t>(iii)</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12,597</w:t>
            </w:r>
          </w:p>
        </w:tc>
      </w:tr>
      <w:tr>
        <w:trPr>
          <w:trHeight w:val="283"/>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Stronghold indebtedness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53,469</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146,138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4" w:lineRule="auto"/>
        <w:tabs>
          <w:tab w:leader="none" w:pos="844"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6"/>
          <w:szCs w:val="16"/>
          <w:i w:val="1"/>
          <w:iCs w:val="1"/>
          <w:color w:val="auto"/>
        </w:rPr>
        <w:t>Share-based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payment </w:t>
      </w:r>
      <w:r>
        <w:rPr>
          <w:rFonts w:ascii="Times New Roman" w:cs="Times New Roman" w:eastAsia="Times New Roman" w:hAnsi="Times New Roman"/>
          <w:sz w:val="16"/>
          <w:szCs w:val="16"/>
          <w:color w:val="auto"/>
        </w:rPr>
        <w:t>(“IFRS 2”) Bitfarms will account for the portion of the estimated fair value of the Stronghold 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January 15, 2025 is $10 and based on the vesting period completed was fully allocated to the estimated purchase consideration. The fair value of each new Bitfarms employee option ranges from $0.01 to $0.40 and has been calculated using the Black-Scholes model.</w:t>
      </w:r>
    </w:p>
    <w:p>
      <w:pPr>
        <w:spacing w:after="0" w:line="9"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48"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accordance with IFRS 3 upon closing of the merger, Bitfarms would effectively settle the pre-existing contractual relationships between Bitfarms and Stronghold and would recognize a loss based on the unfavourable element of the Hosting Agreements and reduce estimated purchase consideration transferred for the merger. For a more detailed discussion, see Note 5f) </w:t>
      </w:r>
      <w:r>
        <w:rPr>
          <w:rFonts w:ascii="Times New Roman" w:cs="Times New Roman" w:eastAsia="Times New Roman" w:hAnsi="Times New Roman"/>
          <w:sz w:val="16"/>
          <w:szCs w:val="16"/>
          <w:i w:val="1"/>
          <w:iCs w:val="1"/>
          <w:color w:val="auto"/>
        </w:rPr>
        <w:t>Pro forma Adjustments and Assumptions for the Merger — Hosting Agreements</w:t>
      </w:r>
      <w:r>
        <w:rPr>
          <w:rFonts w:ascii="Times New Roman" w:cs="Times New Roman" w:eastAsia="Times New Roman" w:hAnsi="Times New Roman"/>
          <w:sz w:val="16"/>
          <w:szCs w:val="16"/>
          <w:color w:val="auto"/>
        </w:rPr>
        <w:t>.</w:t>
      </w:r>
    </w:p>
    <w:p>
      <w:pPr>
        <w:jc w:val="both"/>
        <w:ind w:left="880" w:right="459" w:hanging="426"/>
        <w:spacing w:after="0" w:line="268" w:lineRule="auto"/>
        <w:tabs>
          <w:tab w:leader="none" w:pos="89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6"/>
          <w:szCs w:val="16"/>
          <w:i w:val="1"/>
          <w:iCs w:val="1"/>
          <w:color w:val="auto"/>
        </w:rPr>
        <w:t>Financial Instruments: Presentations</w:t>
      </w:r>
      <w:r>
        <w:rPr>
          <w:rFonts w:ascii="Times New Roman" w:cs="Times New Roman" w:eastAsia="Times New Roman" w:hAnsi="Times New Roman"/>
          <w:sz w:val="16"/>
          <w:szCs w:val="16"/>
          <w:color w:val="auto"/>
        </w:rPr>
        <w:t xml:space="preserve"> (“IAS 32”) and are classified as liabilities. The fair value of the new Bitfarms warrants issued to acquire Stronghold is a component of estimated purchase consideration. The estimated fair value of each new Bitfarms warrants as at January 15, 2025 is $1.26 and has been calculated using the Black-Scholes model.</w:t>
      </w:r>
    </w:p>
    <w:p>
      <w:pPr>
        <w:spacing w:after="0" w:line="118"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w:t>
      </w:r>
    </w:p>
    <w:p>
      <w:pPr>
        <w:sectPr>
          <w:pgSz w:w="11900" w:h="16838" w:orient="portrait"/>
          <w:cols w:equalWidth="0" w:num="1">
            <w:col w:w="9019"/>
          </w:cols>
          <w:pgMar w:left="1440" w:top="270" w:right="1440" w:bottom="717" w:gutter="0" w:footer="0" w:header="0"/>
          <w:type w:val="continuous"/>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proxy statement/prospectus and before the closing as a result the number of outstanding Stronghold Class A common stock or other equity awards is subject to change. The actual consideration transferred will also depend on the market price of Bitfarms’ common shares when the merger is consummated. The Company believes that an 85% fluctuation in the market price of the Bitfarms common shares is reasonably possible based on historical volatility, and the potential effect on the estimated purchase consideration would be: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common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85% increase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214,438</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 decrease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77,837</w:t>
            </w: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purchase price allocation of consideration</w:t>
      </w:r>
    </w:p>
    <w:p>
      <w:pPr>
        <w:spacing w:after="0" w:line="121"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7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and goodwill based on the results of certain valuations and other studies that have yet to be completed and other changes to assets and liabilities.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41"/>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r>
      <w:tr>
        <w:trPr>
          <w:trHeight w:val="2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101,194</w:t>
            </w:r>
          </w:p>
        </w:tc>
      </w:tr>
      <w:tr>
        <w:trPr>
          <w:trHeight w:val="32"/>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w:t>
            </w:r>
          </w:p>
        </w:tc>
      </w:tr>
      <w:tr>
        <w:trPr>
          <w:trHeight w:val="23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146,138</w:t>
            </w:r>
          </w:p>
        </w:tc>
      </w:tr>
      <w:tr>
        <w:trPr>
          <w:trHeight w:val="27"/>
        </w:trPr>
        <w:tc>
          <w:tcPr>
            <w:tcW w:w="6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redeemable common stock</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$11,536.</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Stronghold RSUs</w:t>
      </w:r>
    </w:p>
    <w:p>
      <w:pPr>
        <w:spacing w:after="0" w:line="135"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$1,388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25" w:lineRule="exact"/>
        <w:rPr>
          <w:sz w:val="20"/>
          <w:szCs w:val="20"/>
          <w:color w:val="auto"/>
        </w:rPr>
      </w:pPr>
    </w:p>
    <w:p>
      <w:pPr>
        <w:ind w:left="1280" w:hanging="394"/>
        <w:spacing w:after="0"/>
        <w:tabs>
          <w:tab w:leader="none" w:pos="12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 Agreements</w:t>
      </w:r>
    </w:p>
    <w:p>
      <w:pPr>
        <w:spacing w:after="0" w:line="148"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On September 12, 2024, Bitfarms entered into the hosting agreement with Stronghold Digital Mining Hosting, LLC, a wholly-owned subsidiary of Stronghold. Simultaneously with the execution of the hosting agreement, Bitfarms provided Stronghold with a deposit of $7.8 million. In the historical financial statements, Bitfarms recorded the deposit as a financial asset initially recognized at fair value and subsequently recorded at amortized cost (within long-term deposits, equipment prepayments and other) and Stronghold recorded the deposit received as a contract liability, within other noncurrent liabilities. With the exception of the $7.8 million deposit, there were no other activities between the companies in the historical financial statements since the Bitmain T21 miners (owned by Bitfarms) has not yet been delivered to Stronghold’s Panther Creek mining facility as at September 30, 2024. To eliminate the activities between the companies in the historical financial statements, the following adjustments were made to the unaudited pro forma condensed combined statement of financial position:</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On October 29, 2024, Bitfarms entered into the second hosting agreement with Stronghold. In connection with the execution of the second hosting agreement, Bitfarms provided Stronghold with an additional deposit of $7.8 million. The two deposits bear interest at SOFR plus 1% each and will be returned to Bitfarms at the end of the initial hosting term under the hosting agreement and the second hosting agreement, as applicable. The 1% spread on the deposits when compared with terms for current market transactions for same or similar items is unfavourable to Bitfarms. The hosting agreement and the second hosting agreement were determined to be separate transactions from the merger and are considered a pre-existing contractual relationship between Bitfarms and Stronghold. Upon closing of the merger, Bitfarms would effectively settle the pre-existing relationship and would recognize a gain or loss based on the unfavourable element of the contracts. Whether Bitfarms had previously recognized an amount in its financial statements related to a preexisting relationship will affect the amount recognized as a gain or loss for the effective settlement of the relationship. As noted above, Bitfarms had recognized a financial asset related to the hosting agreement. Upon initial recognition of the financial asset, Bitfarms had previously recognized a $675 loss in the historical financial statements. Since the total unfavourable element of the contracts is only $263, a pro forma adjustment of $412 was made to the unaudited pro forma condensed combined statement of earnings (loss) for the year ended December 31, 2023, to decrease general and administrative expenses.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non-employee options for new Bitfarms options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at the effective time, 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$1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3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warrants for new Bitfarms warrants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merger agreement, at the effective time, 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 Merger — Purchase consideration</w:t>
      </w:r>
      <w:r>
        <w:rPr>
          <w:rFonts w:ascii="Times New Roman" w:cs="Times New Roman" w:eastAsia="Times New Roman" w:hAnsi="Times New Roman"/>
          <w:sz w:val="18"/>
          <w:szCs w:val="18"/>
          <w:color w:val="auto"/>
        </w:rPr>
        <w:t>, Bitfarms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the new Bitfarms warrants as a component of estimated purchase consideration. Since the Stronghold warrants will be replaced, a pro forma adjustment was made to the unaudited pro forma condensed combined statement of financial position to decrease warrant liabilities by $16,765.</w:t>
      </w:r>
    </w:p>
    <w:p>
      <w:pPr>
        <w:spacing w:after="0" w:line="107" w:lineRule="exact"/>
        <w:rPr>
          <w:rFonts w:ascii="Times New Roman" w:cs="Times New Roman" w:eastAsia="Times New Roman" w:hAnsi="Times New Roman"/>
          <w:sz w:val="18"/>
          <w:szCs w:val="18"/>
          <w:color w:val="auto"/>
        </w:rPr>
      </w:pPr>
    </w:p>
    <w:p>
      <w:pPr>
        <w:jc w:val="both"/>
        <w:ind w:left="13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29"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Stronghold’s outstanding indebtedness</w:t>
      </w:r>
    </w:p>
    <w:p>
      <w:pPr>
        <w:spacing w:after="0" w:line="132" w:lineRule="exact"/>
        <w:rPr>
          <w:rFonts w:ascii="Times New Roman" w:cs="Times New Roman" w:eastAsia="Times New Roman" w:hAnsi="Times New Roman"/>
          <w:sz w:val="18"/>
          <w:szCs w:val="18"/>
          <w:color w:val="auto"/>
        </w:rPr>
      </w:pPr>
    </w:p>
    <w:p>
      <w:pPr>
        <w:jc w:val="both"/>
        <w:ind w:left="132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$19,567, $33,880 and $21, respectively.</w:t>
      </w:r>
    </w:p>
    <w:p>
      <w:pPr>
        <w:spacing w:after="0" w:line="116"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earnings (loss) for the nine months ended September 30, 2024 and the year ended December 31, 2023 reflects a pro forma adjustment to decrease net financial expenses (income) by $6,753 and $9,755 respectively to eliminate the historical interest expense recorded related to Stronghold’s outstanding debt.</w:t>
      </w:r>
    </w:p>
    <w:p>
      <w:pPr>
        <w:spacing w:after="0" w:line="17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costs</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transaction costs for the merger are expected to approximate $6,734, of which $4,234 and $nil were included in the Company’s consolidated statements of profit or loss for the nine months ended September 30, 2024 and the year ended December 31, 2023, respectively.</w:t>
      </w:r>
    </w:p>
    <w:p>
      <w:pPr>
        <w:spacing w:after="0" w:line="10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nonrecurring incremental transaction costs of $2,500 that will be incurred subsequent to September 30, 2024, that have not yet been expensed in Bitfarms’ historical statements of profit or loss or accrued in the historical statements of financial position are reflected as an adjustment to:</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taxes</w:t>
      </w:r>
    </w:p>
    <w:p>
      <w:pPr>
        <w:spacing w:after="0" w:line="148"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nine months ended September 30, 2024 and the year ended December 31, 2023 do not have an income tax effect due to the pro forma net loss position and it is not probable that deferred tax assets will be utilized.</w:t>
      </w:r>
    </w:p>
    <w:p>
      <w:pPr>
        <w:spacing w:after="0" w:line="175"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r>
      <w:tr>
        <w:trPr>
          <w:trHeight w:val="46"/>
        </w:trPr>
        <w:tc>
          <w:tcPr>
            <w:tcW w:w="5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net loss per common share – Pro forma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(208,544)</w:t>
            </w:r>
          </w:p>
        </w:tc>
      </w:tr>
      <w:tr>
        <w:trPr>
          <w:trHeight w:val="40"/>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loss per common share – weighted average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396,423,169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262,237,117</w:t>
            </w:r>
          </w:p>
        </w:tc>
      </w:tr>
      <w:tr>
        <w:trPr>
          <w:trHeight w:val="2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48,098,868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48,098,868</w:t>
            </w: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78"/>
        </w:trPr>
        <w:tc>
          <w:tcPr>
            <w:tcW w:w="5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0"/>
                <w:szCs w:val="20"/>
                <w:color w:val="auto"/>
                <w:vertAlign w:val="superscript"/>
              </w:rPr>
              <w:t>(i)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87" w:lineRule="exact"/>
        <w:rPr>
          <w:sz w:val="20"/>
          <w:szCs w:val="20"/>
          <w:color w:val="auto"/>
        </w:rPr>
      </w:pPr>
    </w:p>
    <w:p>
      <w:pPr>
        <w:ind w:left="880" w:right="459" w:hanging="13"/>
        <w:spacing w:after="0" w:line="298" w:lineRule="auto"/>
        <w:rPr>
          <w:sz w:val="20"/>
          <w:szCs w:val="20"/>
          <w:color w:val="auto"/>
        </w:rPr>
      </w:pPr>
      <w:r>
        <w:rPr>
          <w:rFonts w:ascii="Times New Roman" w:cs="Times New Roman" w:eastAsia="Times New Roman" w:hAnsi="Times New Roman"/>
          <w:sz w:val="16"/>
          <w:szCs w:val="16"/>
          <w:color w:val="auto"/>
        </w:rPr>
        <w:t>Potentially dilutive securities have not been included in the calculation of diluted net loss per share because their effect is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Stronghold</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shows the shares of Stronghold common stock (rounded to the nearest whole number) beneficially owned as of December 31, 2024 by (i) each person known by Stronghold to beneficially own more than 5% of the shares of Stronghold common stock issued and outstanding, (ii) each director (who was serving as a director as of that date) and nominee for director of Stronghold, (iii) each named executive officer of Stronghold and (iv) all current directors and executive officers of Stronghold as a group. In general, a person “beneficially owns” shares if he or she has or shares with others the right to vote those shares or to dispose of them, or if the person has the right to acquire such voting or disposition rights on December 31, 2024 or 60 days thereafter (such as by exercising options). The percentage of shares of Stronghold common stock beneficially owned is based on 14,957,379 shares of Stronghold Class A common stock and 2,405,760 shares of Stronghold Class V common stock outstanding as of December 31, 2024 (as well as shares issuable upon the exercise of outstanding stock options and restricted stock units exercisable or vesting within 60 days after December 31, 2024). Except as otherwise noted, the person or entities listed below have sole voting and investment power with respect to all shares of Stronghold common stock beneficially owned by them, except to the extent this power may be shared with a spouse. Furthermore, unless otherwise noted, the mailing address of each person or entity named in the table is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w:t>
            </w:r>
            <w:r>
              <w:rPr>
                <w:rFonts w:ascii="Times New Roman" w:cs="Times New Roman" w:eastAsia="Times New Roman" w:hAnsi="Times New Roman"/>
                <w:sz w:val="18"/>
                <w:szCs w:val="18"/>
                <w:b w:val="1"/>
                <w:bCs w:val="1"/>
                <w:color w:val="auto"/>
                <w:w w:val="95"/>
                <w:vertAlign w:val="superscript"/>
              </w:rPr>
              <w:t>(1)</w:t>
            </w:r>
          </w:p>
        </w:tc>
      </w:tr>
      <w:tr>
        <w:trPr>
          <w:trHeight w:val="26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Power</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Continental General Insurance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5"/>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and its affiliates</w:t>
            </w:r>
            <w:r>
              <w:rPr>
                <w:rFonts w:ascii="Times New Roman" w:cs="Times New Roman" w:eastAsia="Times New Roman" w:hAnsi="Times New Roman"/>
                <w:sz w:val="20"/>
                <w:szCs w:val="20"/>
                <w:color w:val="auto"/>
                <w:vertAlign w:val="superscript"/>
              </w:rPr>
              <w:t>(3)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1,083,937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Beryl Capital Management LLC</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5"/>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its affiliates</w:t>
            </w:r>
            <w:r>
              <w:rPr>
                <w:rFonts w:ascii="Times New Roman" w:cs="Times New Roman" w:eastAsia="Times New Roman" w:hAnsi="Times New Roman"/>
                <w:sz w:val="20"/>
                <w:szCs w:val="20"/>
                <w:color w:val="auto"/>
                <w:vertAlign w:val="superscript"/>
              </w:rPr>
              <w:t>(4)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1,057,067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0"/>
                <w:szCs w:val="20"/>
                <w:color w:val="auto"/>
                <w:vertAlign w:val="superscript"/>
              </w:rPr>
              <w:t>(5)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760,644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59"/>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A. Beard</w:t>
            </w:r>
            <w:r>
              <w:rPr>
                <w:rFonts w:ascii="Times New Roman" w:cs="Times New Roman" w:eastAsia="Times New Roman" w:hAnsi="Times New Roman"/>
                <w:sz w:val="20"/>
                <w:szCs w:val="20"/>
                <w:color w:val="auto"/>
                <w:vertAlign w:val="superscript"/>
              </w:rPr>
              <w:t>(2)(6)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447,973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3"/>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109,322</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Schaffer</w:t>
            </w:r>
            <w:r>
              <w:rPr>
                <w:rFonts w:ascii="Times New Roman" w:cs="Times New Roman" w:eastAsia="Times New Roman" w:hAnsi="Times New Roman"/>
                <w:sz w:val="20"/>
                <w:szCs w:val="20"/>
                <w:color w:val="auto"/>
                <w:vertAlign w:val="superscript"/>
              </w:rPr>
              <w:t>(7)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16,339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M. Weber</w:t>
            </w:r>
            <w:r>
              <w:rPr>
                <w:rFonts w:ascii="Times New Roman" w:cs="Times New Roman" w:eastAsia="Times New Roman" w:hAnsi="Times New Roman"/>
                <w:sz w:val="20"/>
                <w:szCs w:val="20"/>
                <w:color w:val="auto"/>
                <w:vertAlign w:val="superscript"/>
              </w:rPr>
              <w:t>(8)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16,235</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Indira Agarwal</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51,874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P. James</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64,666</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Pacchia</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62,050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Trowbridge, IV</w:t>
            </w:r>
            <w:r>
              <w:rPr>
                <w:rFonts w:ascii="Times New Roman" w:cs="Times New Roman" w:eastAsia="Times New Roman" w:hAnsi="Times New Roman"/>
                <w:sz w:val="20"/>
                <w:szCs w:val="20"/>
                <w:color w:val="auto"/>
                <w:vertAlign w:val="superscript"/>
              </w:rPr>
              <w:t>(9)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60,768</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Doherty</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31,498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8"/>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(9 Persons)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860,725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40"/>
        </w:trPr>
        <w:tc>
          <w:tcPr>
            <w:tcW w:w="2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ind w:left="880" w:right="479" w:hanging="426"/>
        <w:spacing w:after="0" w:line="264" w:lineRule="auto"/>
        <w:tabs>
          <w:tab w:leader="none" w:pos="8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Stronghold Class A common stock and Stronghold Class V common stock voting together as a single class.</w:t>
      </w:r>
    </w:p>
    <w:p>
      <w:pPr>
        <w:jc w:val="both"/>
        <w:ind w:left="880" w:right="459" w:hanging="426"/>
        <w:spacing w:after="0" w:line="267" w:lineRule="auto"/>
        <w:tabs>
          <w:tab w:leader="none" w:pos="8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Q Power has shared voting power and shared dispositive power over 2,407,200 shares of Stronghold common stock, consisting of 1,440 shares of Stronghold Class A common stock and 2,405,760 shares of Stronghold Class V common stock. Greg Beard and Bill Spence serve as the Managing Members of Q Power. As Managing Members, Messrs. Beard and Spence possess all voting and investment power over the shares of Stronghold common stock held by Q Power. Such persons may be deemed to beneficially hold the shares held by Q Power. Each of Messrs. Beard and Spence disclaims beneficial ownership of the securities owned by Q Power except to the extent of his pecuniary interest therein, if any. This amount does not include shares beneficially owned directly by Messrs. Beard and Spence. Mr. Spence previously served as Stronghold’s Co-Chair of the Board. The mailing address of Q Power is 2151 Lisbon Road, Kennerdell, PA 16374.</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3" w:lineRule="auto"/>
        <w:tabs>
          <w:tab w:leader="none" w:pos="8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1,083,937 shares of Stronghold Class A common stock held by Continental General Insurance Company and its affiliates, (i) Continental General Insurance Company has shared voting power and shared dispositive power over 1,069,537 shares of Stronghold Class A common stock issuable upon the conversion of shares of Stronghold Series C preferred stock that it directly beneficially owns, (ii) MG Capital Management has shared voting power and shared dispositive power over 14,400 shares of Stronghold Class A common stock that it directly beneficially owns, (iii) Continental Insurance Group, Ltd., as the sole owner of Continental General Insurance Company, has shared voting power and shared dispositive power over 1,069,537 shares of Stronghold Class A common stock, (iv) Continental General Holdings LLC, as the sole owner of Continental Insurance Group, Ltd., has shared voting power and shared dispositive power over 1,069,537 shares of Stronghold Class A common stock, and</w:t>
      </w:r>
    </w:p>
    <w:p>
      <w:pPr>
        <w:spacing w:after="0" w:line="2" w:lineRule="exact"/>
        <w:rPr>
          <w:rFonts w:ascii="Times New Roman" w:cs="Times New Roman" w:eastAsia="Times New Roman" w:hAnsi="Times New Roman"/>
          <w:sz w:val="16"/>
          <w:szCs w:val="16"/>
          <w:color w:val="auto"/>
        </w:rPr>
      </w:pPr>
    </w:p>
    <w:p>
      <w:pPr>
        <w:jc w:val="both"/>
        <w:ind w:left="880" w:right="459" w:firstLine="6"/>
        <w:spacing w:after="0" w:line="260" w:lineRule="auto"/>
        <w:tabs>
          <w:tab w:leader="none" w:pos="1134"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Gorzynski, as the sole Director of MG Capital Management and as Manager of Continental General Holdings LLC, has shared voting and shared dispositive power over 1,083,937 shares of Stronghold Class A common stock. Each of Continental General Insurance Company, MG Capital Management, Continental Insurance Group, Ltd., Continental General Holdings LLC and Michael Gorzynski disclaims beneficial ownership, except to the extent of their respective pecuniary interests therein. The principal business office of Michael Gorzynski is 595 Madison Avenue,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The principal business office of MG Capital Management is c/o Campbells LLP, Floor 4, Willow House, Cricket Square, Grand Cayman, KY1-9010, Cayman Islands. The principal business office of each of Continental General Insurance Company, Continental Insurance Group, Ltd., and Continental General Holdings LLC is 11001 Lakeline Blvd., Ste. 120, Austin, TX 78717.</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13, 2024, reporting the beneficial ownership of 1,057,067 shares of Stronghold Class A common stock held by Beryl Capital Management LLC and its affiliates, (i) Beryl Capital Management LLC has shared voting power and shared dispositive power over 1,057,067 shares of Stronghold Class A common stock, (ii) Beryl Capital Management LP has shared voting power and shared dispositive power over 1,057,067 shares of Stronghold Class A common stock, (iii) Beryl Capital Management II LP has shared voting power and shared dispositive power over 909,387 shares of Stronghold Class A common stock, and</w:t>
      </w:r>
    </w:p>
    <w:p>
      <w:pPr>
        <w:jc w:val="both"/>
        <w:ind w:left="880" w:right="459" w:firstLine="6"/>
        <w:spacing w:after="0" w:line="264" w:lineRule="auto"/>
        <w:tabs>
          <w:tab w:leader="none" w:pos="1177"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A. Witkin has shared voting power and shared dispositive power over 1,057,067 shares of Stronghold Class A common stock,. Each of Beryl Capital Management LLC, Beryl Capital Management LP, Beryl Capital Management II LP and David A. Witkin disclaims beneficial ownership, except to the extent of its pecuniary interests therein. The principal business office of Beryl Capital Management LLC, Beryl Capital Management LP, Beryl Capital Management II LP and David A. Witkin is 225 Avenue I, Suite 205, Redondo Beach, CA 90277.</w:t>
      </w:r>
    </w:p>
    <w:p>
      <w:pPr>
        <w:jc w:val="both"/>
        <w:ind w:left="880" w:right="459" w:hanging="426"/>
        <w:spacing w:after="0" w:line="264" w:lineRule="auto"/>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760,644 shares of Stronghold Class A common stock held by Armistice Capital, LLC. The following reporting persons may be deemed to beneficially own 760,644 shares of Stronghold Class A common stock: (i) Armistice Capital, LLC has shared voting power and shared dispositive power over 760,644 shares of Stronghold Class A common stock, and (ii) Steven Boyd has shared voting power and shared dispositive power over 760,644 shares of Stronghold Class A common stock. Each of Steven Boyd and Armistice Capital, LLC disclaim beneficial ownership, except to the extent of its pecuniary interests therein. The principal business office of Armistice Capital, LLC and Steven Boyd is c/o Armistice Capital, LLC 510 Madison Avenue, 7th Floor, New York, New York 10022.</w:t>
      </w:r>
    </w:p>
    <w:p>
      <w:pPr>
        <w:jc w:val="both"/>
        <w:ind w:left="880" w:right="479" w:hanging="426"/>
        <w:spacing w:after="0" w:line="264" w:lineRule="auto"/>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Beard has sole voting power and sole dispositive power over 446,533 shares of Stronghold Class A common stock, consisting of 286,292 shares of Stronghold Class A common stock held directly by Mr. Beard, and 160,241 shares of Stronghold Class A common stock issuable upon the exercise of certain warrants.</w:t>
      </w:r>
    </w:p>
    <w:p>
      <w:pPr>
        <w:ind w:left="880" w:hanging="426"/>
        <w:spacing w:after="0"/>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3,855 Stronghold RSUs that will vest within 60 days of December 31,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8,856 Stronghold RSUs that will vest within 60 days of December 31, 2024.</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Trowbridge is a member of Q Power but does not possess any voting or investment power over the shares of Stronghold Class A common stock held by Q Power. Mr. Trowbridge disclaims beneficial ownership of the securities owned by Q Power except to the extent of his pecuniary interest therein,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Bitfarms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table below shows the Bitfarms common shares beneficially owned as of January 17, 2025 by (i) each person known by Bitfarms to beneficially own more than 5% of Bitfarms common shares issued and outstanding, (ii) each director and nominee for director of Bitfarms, (iii) each named executive officer of Bitfarms and (iv) all current directors and executive officers of Bitfarms as a group. In general, a person “beneficially owns” shares if he or she has or shares with others the right to vote those shares or to dispose of them, or if the person has the right to acquire such voting or disposition rights on January 17, 2025 or 60 days thereafter (such as from the vesting of RSUs or by exercising options). The percentage of Bitfarms common shares beneficially owned is based on 488,583,690 Bitfarms common shares outstanding as of January 17, 2025. Securities that can be acquired within 60 days after January 17, 2025 are deemed to be outstanding for purposes of computing the ownership percentage of the beneficial owner of such securities, but not for purposes of computing any other person’s percentage. Except as otherwise noted, the person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entities listed below have sole voting and investment power with respect to all Bitfarms common shares beneficially owned by them, except to the extent this power may be shared with a spouse. Furthermore, unless otherwise noted, the mailing address of each person or entity named in the table is 110 Yonge Street, Suite 1601, Toronto, Ontario, Canada M5C 1T4.</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46"/>
        </w:trPr>
        <w:tc>
          <w:tcPr>
            <w:tcW w:w="5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90,110,912</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10"/>
                <w:szCs w:val="10"/>
                <w:color w:val="auto"/>
              </w:rPr>
              <w:t>(1)</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293,667</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Benoit Gobeil</w:t>
            </w:r>
            <w:r>
              <w:rPr>
                <w:rFonts w:ascii="Times New Roman" w:cs="Times New Roman" w:eastAsia="Times New Roman" w:hAnsi="Times New Roman"/>
                <w:sz w:val="10"/>
                <w:szCs w:val="10"/>
                <w:color w:val="auto"/>
              </w:rPr>
              <w:t>(2)</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74"/>
        </w:trPr>
        <w:tc>
          <w:tcPr>
            <w:tcW w:w="54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Edith M. Hofmeister</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48,816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8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Fanny Philip</w:t>
            </w:r>
            <w:r>
              <w:rPr>
                <w:rFonts w:ascii="Times New Roman" w:cs="Times New Roman" w:eastAsia="Times New Roman" w:hAnsi="Times New Roman"/>
                <w:sz w:val="20"/>
                <w:szCs w:val="20"/>
                <w:color w:val="auto"/>
                <w:vertAlign w:val="superscript"/>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r>
              <w:rPr>
                <w:rFonts w:ascii="Times New Roman" w:cs="Times New Roman" w:eastAsia="Times New Roman" w:hAnsi="Times New Roman"/>
                <w:sz w:val="20"/>
                <w:szCs w:val="20"/>
                <w:color w:val="auto"/>
                <w:vertAlign w:val="superscript"/>
              </w:rPr>
              <w:t>(6)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299,063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0"/>
                <w:szCs w:val="20"/>
                <w:color w:val="auto"/>
                <w:vertAlign w:val="superscript"/>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0"/>
                <w:szCs w:val="20"/>
                <w:color w:val="auto"/>
                <w:vertAlign w:val="superscript"/>
              </w:rPr>
              <w:t>(8)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Wargo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54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1,200,932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Gagnon was appointed Chief Executive Officer of Bitfarms as of July 8, 2024 and was appointed to Bitfarms’ Board of Directors as of August 13, 2024. Mr. Gagnon previously served as the Chief Mining Officer of Bitfarms. The Bitfarms common shares held by Mr. Gagnon include 143,667 Bitfarms common shares issuable upon the vesting of Bitfarms RSUs within 60 days of January 17, 2025.</w:t>
      </w:r>
    </w:p>
    <w:p>
      <w:pPr>
        <w:ind w:left="880" w:hanging="426"/>
        <w:spacing w:after="0"/>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Gobeil include 2,386 Bitfarms common shares.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Howlett include: (i) 20,000 Bitfarms common shares and (ii) 56,250 Bitfarms common shares issuable upon the vesting of Bitfarms RSUs within 60 days of January 17, 2025.</w:t>
      </w:r>
    </w:p>
    <w:p>
      <w:pPr>
        <w:ind w:left="880" w:right="479" w:hanging="426"/>
        <w:spacing w:after="0" w:line="264"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Hofmeister include 37,500 Bitfarms common shares issuable upon the vesting of Bitfarms RSUs within 60 days of January 17, 2025.</w:t>
      </w:r>
    </w:p>
    <w:p>
      <w:pPr>
        <w:ind w:left="880" w:hanging="426"/>
        <w:spacing w:after="0"/>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Philip include 2,000 Bitfarms common shares.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Morphy ceased to serve as Bitfarms’ Chief Executive Officer and ceased to serve on the Board of Directors of Bitfarms, in each case, as of May 13, 2024. The Bitfarms common shares held by Mr. Morphy include 461,063 Bitfarms common shares.</w:t>
      </w:r>
    </w:p>
    <w:p>
      <w:pPr>
        <w:ind w:left="880" w:right="459" w:hanging="426"/>
        <w:spacing w:after="0" w:line="264"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Lucas include: (i) 93,334 Bitfarms common shares and (ii) 247,916 Bitfarms common shares issuable upon the vesting of Bitfarms RSUs within 60 days of January 17, 2025.</w:t>
      </w:r>
    </w:p>
    <w:p>
      <w:pPr>
        <w:jc w:val="both"/>
        <w:ind w:left="880" w:right="459" w:hanging="426"/>
        <w:spacing w:after="0" w:line="270" w:lineRule="auto"/>
        <w:tabs>
          <w:tab w:leader="none" w:pos="88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Bonta was appointed Interim Chief Executive Officer of Bitfarms as of May 13, 2024, and ceased to serve as Interim Chief Executive Officer of Bitfarms as of July 8, 2024. Mr. Bonta ceased to serve on the Board of Directors of Bitfarms as of August 13, 2024. The Bitfarms common shares held by Mr. Bonta include: (i) 125,000 Bitfarms common shares and (ii) 12,500 Bitfarms common shares issuable upon the vesting of Bitfarms RSUs within 60 days of January 17,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BITFARMS SHAREHOLDERS AND STRONGHOLD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Bitfarms is organized pursuant to the laws of the Province of Ontario, Canada, and, accordingly, the rights of Bitfarms shareholders will be governed principally by the OBCA, Bitfarms’ articles and Bitfarms’ by-laws. Stronghold is organized under the laws of the State of Delaware and the rights of Stronghold stockholders are governed by the DGCL (“Delaware Law”) and the Stronghold charter and by-laws. Upon completion of the merger, each share of Stronghold Class A common stock issued and outstanding immediately prior to the effective time will be converted into the right to receive the merger consideration. As a result, Stronghold stockholders will become common shareholders of Bitfarms and their rights will be governed principally by the OBCA and Bitfarms’ articles and by-laws.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Differences Between the Rights of Shareholders of Bitfarms and Stockholders of Stronghold</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differences between the rights of Bitfarms shareholders under the OBCA and Bitfarms’ articles and Bitfarms’ by-laws and the existing rights of Stronghold stockholders under Delaware Law, Stronghold’s charter and Stronghold’s by-laws. While Stronghold and Bitfarms believe that the following summary covers all of the material differences, it may not contain all of the information that is important to you. The following summary does not include a complete description of all differences between the rights of Bitfarms shareholders and Stronghold stockholders, nor does it include a complete discussion of the respective rights of Bitfarms shareholders and Stronghold stockholders.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OBCA, Bitfarms’ articles and by-laws, Delaware Law, Stronghold’s charter and by-laws and the various other documents referred to in this summary. You are urged to carefully read this entire proxy statement/prospectus, the relevant provisions of the OBCA and Delaware Law, Bitfarms’ articles and by-laws, Stronghold’s charter and by-laws and each other document referred to in this proxy statement/prospectus for a more complete understanding of the differences between the rights of a Bitfarms shareholder and the rights of a Stronghold stockholder. Stronghold has filed with the SEC its charter and by-laws referenced in this summary of shareholder rights. Bitfarms’ articles and by-laws are filed as exhibits to this proxy statement/prospectus and are incorporated by reference herein.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References to a “holder” in the following summary are to the registered holder of the applicable shares.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Authorized and Outstanding</w:t>
            </w:r>
          </w:p>
        </w:tc>
        <w:tc>
          <w:tcPr>
            <w:tcW w:w="100" w:type="dxa"/>
            <w:vAlign w:val="bottom"/>
            <w:vMerge w:val="continue"/>
          </w:tcPr>
          <w:p>
            <w:pPr>
              <w:spacing w:after="0"/>
              <w:rPr>
                <w:sz w:val="16"/>
                <w:szCs w:val="16"/>
                <w:color w:val="auto"/>
              </w:rPr>
            </w:pPr>
          </w:p>
        </w:tc>
        <w:tc>
          <w:tcPr>
            <w:tcW w:w="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color w:val="auto"/>
              </w:rPr>
              <w:t>authorized</w:t>
            </w:r>
          </w:p>
        </w:tc>
        <w:tc>
          <w:tcPr>
            <w:tcW w:w="5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w w:val="94"/>
              </w:rPr>
              <w:t>share</w:t>
            </w: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capital  of</w:t>
            </w:r>
          </w:p>
        </w:tc>
        <w:tc>
          <w:tcPr>
            <w:tcW w:w="100" w:type="dxa"/>
            <w:vAlign w:val="bottom"/>
            <w:vMerge w:val="continue"/>
          </w:tcPr>
          <w:p>
            <w:pPr>
              <w:spacing w:after="0"/>
              <w:rPr>
                <w:sz w:val="16"/>
                <w:szCs w:val="16"/>
                <w:color w:val="auto"/>
              </w:rPr>
            </w:pPr>
          </w:p>
        </w:tc>
        <w:tc>
          <w:tcPr>
            <w:tcW w:w="270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The aggregate number of shares of</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Bitfarms consists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an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unlimited</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that  Stronghold  has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number of common shares, and an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authority to issue is (i) 238,000,000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unlimited</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Stronghold  Class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shares, issuable in series.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(ii)</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As of January 27, 2025, the latest</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Stronghold  Class  V</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7"/>
            <w:vMerge w:val="continue"/>
          </w:tcPr>
          <w:p>
            <w:pPr>
              <w:spacing w:after="0"/>
              <w:rPr>
                <w:sz w:val="15"/>
                <w:szCs w:val="15"/>
                <w:color w:val="auto"/>
              </w:rPr>
            </w:pPr>
          </w:p>
        </w:tc>
        <w:tc>
          <w:tcPr>
            <w:tcW w:w="27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common stock and (iii) 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practicable date before the date of</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this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proxy</w:t>
            </w: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statement/prospectus,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$0.0001 per share (together with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had 493,777,528 common</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common</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issued and outstanding and</w:t>
            </w: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capital stock”).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no  preference  shares  issued  and</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2024, the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Holders</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Bitfarms</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for   the   special   meeting,</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7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Stronghold had 14,957,379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are  entitled  to  all  of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A common stock issued and</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applicable</w:t>
            </w:r>
          </w:p>
        </w:tc>
        <w:tc>
          <w:tcPr>
            <w:tcW w:w="5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rights</w:t>
            </w:r>
          </w:p>
        </w:tc>
        <w:tc>
          <w:tcPr>
            <w:tcW w:w="1400" w:type="dxa"/>
            <w:vAlign w:val="bottom"/>
            <w:gridSpan w:val="3"/>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and  obligations</w:t>
            </w: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outstanding,</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2,405,760</w:t>
            </w:r>
          </w:p>
        </w:tc>
        <w:tc>
          <w:tcPr>
            <w:tcW w:w="6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bl>
    <w:p>
      <w:pPr>
        <w:ind w:left="3160"/>
        <w:spacing w:after="0"/>
        <w:tabs>
          <w:tab w:leader="none" w:pos="3920" w:val="left"/>
          <w:tab w:leader="none" w:pos="4460" w:val="left"/>
          <w:tab w:leader="none" w:pos="4840" w:val="left"/>
          <w:tab w:leader="none" w:pos="5480" w:val="left"/>
        </w:tabs>
        <w:rPr>
          <w:sz w:val="20"/>
          <w:szCs w:val="20"/>
          <w:color w:val="auto"/>
        </w:rPr>
      </w:pPr>
      <w:r>
        <w:rPr>
          <w:rFonts w:ascii="Times New Roman" w:cs="Times New Roman" w:eastAsia="Times New Roman" w:hAnsi="Times New Roman"/>
          <w:sz w:val="18"/>
          <w:szCs w:val="18"/>
          <w:color w:val="auto"/>
        </w:rPr>
        <w:t>provided</w:t>
        <w:tab/>
        <w:t>under</w:t>
        <w:tab/>
        <w:t>the</w:t>
        <w:tab/>
        <w:t>OBCA</w:t>
        <w:tab/>
        <w:t>and</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articles and by-laws.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Under</w:t>
            </w: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Bitfarms’</w:t>
            </w:r>
          </w:p>
        </w:tc>
        <w:tc>
          <w:tcPr>
            <w:tcW w:w="7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articles,</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Class V common stock, 5,990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Bitfarms may</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Series C preferred stock and 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issued at any time or from time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Series D preferred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time  in  one  or  more  series.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   value   $0.0001   per   share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any shares of a series of</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(“Series D preferred stock”). 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are issued,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Stronghold  common  stock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of Bitfarms will fix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all of the applicable rights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that will form</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obligations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series and will, subject to the</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Law</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limitations  set  out  in  Bitfarms’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charter and by-laws.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articles, determine the designation,</w:t>
            </w:r>
          </w:p>
        </w:tc>
        <w:tc>
          <w:tcPr>
            <w:tcW w:w="2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Under Delaware Law, the board of</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rights,</w:t>
            </w:r>
          </w:p>
        </w:tc>
        <w:tc>
          <w:tcPr>
            <w:tcW w:w="18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privileges, restrictions</w:t>
            </w:r>
          </w:p>
        </w:tc>
        <w:tc>
          <w:tcPr>
            <w:tcW w:w="4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w w:val="99"/>
              </w:rPr>
              <w:t>and</w:t>
            </w:r>
          </w:p>
        </w:tc>
        <w:tc>
          <w:tcPr>
            <w:tcW w:w="2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conditions  to  be  attached  to  the</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such series,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approval, may amend the articles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except as required by law or in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incorporation to reflect a reduction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accordance with any voting rights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number  of  authorized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resulting  from  a  share  repurchase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and/or delete all references to a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the holders of 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series   that   is   no   longer</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  class</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not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entitled  to  receive  notice  of,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attend or to vote at any meeting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shareholders of Bitfarms.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to the rights set out</w:t>
      </w:r>
    </w:p>
    <w:p>
      <w:pPr>
        <w:spacing w:after="0" w:line="27" w:lineRule="exact"/>
        <w:rPr>
          <w:sz w:val="20"/>
          <w:szCs w:val="20"/>
          <w:color w:val="auto"/>
        </w:rPr>
      </w:pPr>
    </w:p>
    <w:p>
      <w:pPr>
        <w:ind w:left="3160"/>
        <w:spacing w:after="0"/>
        <w:tabs>
          <w:tab w:leader="none" w:pos="386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above,</w:t>
        <w:tab/>
        <w:t>holders</w:t>
        <w:tab/>
        <w:t>of</w:t>
        <w:tab/>
        <w:t>Bitfarms’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preference shares are entitled to all</w:t>
      </w:r>
    </w:p>
    <w:p>
      <w:pPr>
        <w:spacing w:after="0" w:line="9" w:lineRule="exact"/>
        <w:rPr>
          <w:sz w:val="20"/>
          <w:szCs w:val="20"/>
          <w:color w:val="auto"/>
        </w:rPr>
      </w:pPr>
    </w:p>
    <w:p>
      <w:pPr>
        <w:ind w:left="3160"/>
        <w:spacing w:after="0"/>
        <w:tabs>
          <w:tab w:leader="none" w:pos="3480" w:val="left"/>
          <w:tab w:leader="none" w:pos="3920" w:val="left"/>
          <w:tab w:leader="none" w:pos="4860" w:val="left"/>
          <w:tab w:leader="none" w:pos="5460" w:val="left"/>
        </w:tabs>
        <w:rPr>
          <w:sz w:val="20"/>
          <w:szCs w:val="20"/>
          <w:color w:val="auto"/>
        </w:rPr>
      </w:pPr>
      <w:r>
        <w:rPr>
          <w:rFonts w:ascii="Times New Roman" w:cs="Times New Roman" w:eastAsia="Times New Roman" w:hAnsi="Times New Roman"/>
          <w:sz w:val="18"/>
          <w:szCs w:val="18"/>
          <w:color w:val="auto"/>
        </w:rPr>
        <w:t>of</w:t>
        <w:tab/>
        <w:t>the</w:t>
        <w:tab/>
        <w:t>applicable</w:t>
        <w:tab/>
        <w:t>rights</w:t>
        <w:tab/>
        <w:t>and</w:t>
      </w:r>
    </w:p>
    <w:p>
      <w:pPr>
        <w:spacing w:after="0" w:line="9" w:lineRule="exact"/>
        <w:rPr>
          <w:sz w:val="20"/>
          <w:szCs w:val="20"/>
          <w:color w:val="auto"/>
        </w:rPr>
      </w:pPr>
    </w:p>
    <w:p>
      <w:pPr>
        <w:ind w:left="3160"/>
        <w:spacing w:after="0"/>
        <w:tabs>
          <w:tab w:leader="none" w:pos="4100" w:val="left"/>
          <w:tab w:leader="none" w:pos="4920" w:val="left"/>
          <w:tab w:leader="none" w:pos="5500" w:val="left"/>
        </w:tabs>
        <w:rPr>
          <w:sz w:val="20"/>
          <w:szCs w:val="20"/>
          <w:color w:val="auto"/>
        </w:rPr>
      </w:pPr>
      <w:r>
        <w:rPr>
          <w:rFonts w:ascii="Times New Roman" w:cs="Times New Roman" w:eastAsia="Times New Roman" w:hAnsi="Times New Roman"/>
          <w:sz w:val="18"/>
          <w:szCs w:val="18"/>
          <w:color w:val="auto"/>
        </w:rPr>
        <w:t>obligations</w:t>
        <w:tab/>
        <w:t>provided</w:t>
        <w:tab/>
        <w:t>under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OBCA and Bitfarms’ articles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number of authorized Bitfarms</w:t>
      </w:r>
    </w:p>
    <w:p>
      <w:pPr>
        <w:spacing w:after="0" w:line="27"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tabs>
          <w:tab w:leader="none" w:pos="3800" w:val="left"/>
          <w:tab w:leader="none" w:pos="4180" w:val="left"/>
          <w:tab w:leader="none" w:pos="5040" w:val="left"/>
          <w:tab w:leader="none" w:pos="5560" w:val="left"/>
        </w:tabs>
        <w:rPr>
          <w:sz w:val="20"/>
          <w:szCs w:val="20"/>
          <w:color w:val="auto"/>
        </w:rPr>
      </w:pPr>
      <w:r>
        <w:rPr>
          <w:rFonts w:ascii="Times New Roman" w:cs="Times New Roman" w:eastAsia="Times New Roman" w:hAnsi="Times New Roman"/>
          <w:sz w:val="18"/>
          <w:szCs w:val="18"/>
          <w:color w:val="auto"/>
        </w:rPr>
        <w:t>shares</w:t>
        <w:tab/>
        <w:t>of</w:t>
        <w:tab/>
        <w:t>Bitfarms</w:t>
        <w:tab/>
        <w:t>may</w:t>
        <w:tab/>
        <w:t>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increased or reduced (but not below</w:t>
      </w:r>
    </w:p>
    <w:p>
      <w:pPr>
        <w:spacing w:after="0" w:line="9" w:lineRule="exact"/>
        <w:rPr>
          <w:sz w:val="20"/>
          <w:szCs w:val="20"/>
          <w:color w:val="auto"/>
        </w:rPr>
      </w:pPr>
    </w:p>
    <w:p>
      <w:pPr>
        <w:ind w:left="3160"/>
        <w:spacing w:after="0"/>
        <w:tabs>
          <w:tab w:leader="none" w:pos="3500" w:val="left"/>
          <w:tab w:leader="none" w:pos="4200" w:val="left"/>
          <w:tab w:leader="none" w:pos="4500" w:val="left"/>
          <w:tab w:leader="none" w:pos="5100" w:val="left"/>
        </w:tabs>
        <w:rPr>
          <w:sz w:val="20"/>
          <w:szCs w:val="20"/>
          <w:color w:val="auto"/>
        </w:rPr>
      </w:pPr>
      <w:r>
        <w:rPr>
          <w:rFonts w:ascii="Times New Roman" w:cs="Times New Roman" w:eastAsia="Times New Roman" w:hAnsi="Times New Roman"/>
          <w:sz w:val="18"/>
          <w:szCs w:val="18"/>
          <w:color w:val="auto"/>
        </w:rPr>
        <w:t>the</w:t>
        <w:tab/>
        <w:t>number</w:t>
        <w:tab/>
        <w:t>of</w:t>
        <w:tab/>
        <w:t>issued</w:t>
        <w:tab/>
        <w:t>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as applicable)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through an amendment of Bitfarms’</w:t>
      </w:r>
    </w:p>
    <w:p>
      <w:pPr>
        <w:spacing w:after="0" w:line="9" w:lineRule="exact"/>
        <w:rPr>
          <w:sz w:val="20"/>
          <w:szCs w:val="20"/>
          <w:color w:val="auto"/>
        </w:rPr>
      </w:pPr>
    </w:p>
    <w:p>
      <w:pPr>
        <w:ind w:left="3160"/>
        <w:spacing w:after="0"/>
        <w:tabs>
          <w:tab w:leader="none" w:pos="3860" w:val="left"/>
          <w:tab w:leader="none" w:pos="4840" w:val="left"/>
          <w:tab w:leader="none" w:pos="5220" w:val="left"/>
        </w:tabs>
        <w:rPr>
          <w:sz w:val="20"/>
          <w:szCs w:val="20"/>
          <w:color w:val="auto"/>
        </w:rPr>
      </w:pPr>
      <w:r>
        <w:rPr>
          <w:rFonts w:ascii="Times New Roman" w:cs="Times New Roman" w:eastAsia="Times New Roman" w:hAnsi="Times New Roman"/>
          <w:sz w:val="18"/>
          <w:szCs w:val="18"/>
          <w:color w:val="auto"/>
        </w:rPr>
        <w:t>articles</w:t>
        <w:tab/>
        <w:t>authorized</w:t>
        <w:tab/>
        <w:t>by</w:t>
        <w:tab/>
        <w:t>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if applicable, a separate 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the  holders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affected class or series of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provisions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and the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 the board of directors of</w:t>
      </w:r>
    </w:p>
    <w:p>
      <w:pPr>
        <w:spacing w:after="0" w:line="9" w:lineRule="exact"/>
        <w:rPr>
          <w:sz w:val="20"/>
          <w:szCs w:val="20"/>
          <w:color w:val="auto"/>
        </w:rPr>
      </w:pPr>
    </w:p>
    <w:p>
      <w:pPr>
        <w:ind w:left="3160"/>
        <w:spacing w:after="0"/>
        <w:tabs>
          <w:tab w:leader="none" w:pos="4080" w:val="left"/>
          <w:tab w:leader="none" w:pos="4900" w:val="left"/>
        </w:tabs>
        <w:rPr>
          <w:sz w:val="20"/>
          <w:szCs w:val="20"/>
          <w:color w:val="auto"/>
        </w:rPr>
      </w:pPr>
      <w:r>
        <w:rPr>
          <w:rFonts w:ascii="Times New Roman" w:cs="Times New Roman" w:eastAsia="Times New Roman" w:hAnsi="Times New Roman"/>
          <w:sz w:val="18"/>
          <w:szCs w:val="18"/>
          <w:color w:val="auto"/>
        </w:rPr>
        <w:t>Bitfarms,</w:t>
      </w:r>
      <w:r>
        <w:rPr>
          <w:sz w:val="20"/>
          <w:szCs w:val="20"/>
          <w:color w:val="auto"/>
        </w:rPr>
        <w:tab/>
      </w:r>
      <w:r>
        <w:rPr>
          <w:rFonts w:ascii="Times New Roman" w:cs="Times New Roman" w:eastAsia="Times New Roman" w:hAnsi="Times New Roman"/>
          <w:sz w:val="18"/>
          <w:szCs w:val="18"/>
          <w:color w:val="auto"/>
        </w:rPr>
        <w:t>without</w:t>
      </w:r>
      <w:r>
        <w:rPr>
          <w:sz w:val="20"/>
          <w:szCs w:val="20"/>
          <w:color w:val="auto"/>
        </w:rPr>
        <w:tab/>
      </w:r>
      <w:r>
        <w:rPr>
          <w:rFonts w:ascii="Times New Roman" w:cs="Times New Roman" w:eastAsia="Times New Roman" w:hAnsi="Times New Roman"/>
          <w:sz w:val="18"/>
          <w:szCs w:val="18"/>
          <w:color w:val="auto"/>
        </w:rPr>
        <w:t>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approval, may approve the issuance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including one or</w:t>
      </w:r>
    </w:p>
    <w:p>
      <w:pPr>
        <w:spacing w:after="0" w:line="9" w:lineRule="exact"/>
        <w:rPr>
          <w:sz w:val="20"/>
          <w:szCs w:val="20"/>
          <w:color w:val="auto"/>
        </w:rPr>
      </w:pPr>
    </w:p>
    <w:p>
      <w:pPr>
        <w:ind w:left="3160"/>
        <w:spacing w:after="0"/>
        <w:tabs>
          <w:tab w:leader="none" w:pos="3680" w:val="left"/>
          <w:tab w:leader="none" w:pos="4160" w:val="left"/>
          <w:tab w:leader="none" w:pos="4740" w:val="left"/>
          <w:tab w:leader="none" w:pos="5060" w:val="left"/>
        </w:tabs>
        <w:rPr>
          <w:sz w:val="20"/>
          <w:szCs w:val="20"/>
          <w:color w:val="auto"/>
        </w:rPr>
      </w:pPr>
      <w:r>
        <w:rPr>
          <w:rFonts w:ascii="Times New Roman" w:cs="Times New Roman" w:eastAsia="Times New Roman" w:hAnsi="Times New Roman"/>
          <w:sz w:val="18"/>
          <w:szCs w:val="18"/>
          <w:color w:val="auto"/>
        </w:rPr>
        <w:t>more</w:t>
        <w:tab/>
        <w:t>new</w:t>
        <w:tab/>
        <w:t>series</w:t>
        <w:tab/>
        <w:t>of</w:t>
        <w:tab/>
        <w:t>preferred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Variation of Rights Attaching to a</w:t>
            </w:r>
          </w:p>
        </w:tc>
        <w:tc>
          <w:tcPr>
            <w:tcW w:w="100" w:type="dxa"/>
            <w:vAlign w:val="bottom"/>
            <w:vMerge w:val="continue"/>
          </w:tcPr>
          <w:p>
            <w:pPr>
              <w:spacing w:after="0"/>
              <w:rPr>
                <w:sz w:val="16"/>
                <w:szCs w:val="16"/>
                <w:color w:val="auto"/>
              </w:rPr>
            </w:pPr>
          </w:p>
        </w:tc>
        <w:tc>
          <w:tcPr>
            <w:tcW w:w="26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the  OBCA,  the  rights</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Delaware Law, there are no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Class or Series of Shares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attaching</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5"/>
              </w:rPr>
              <w:t>to</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Bitfarms  common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limits  imposed  on  the  classes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may be varied only through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of shares a corporation issues.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amendment of Bitfarms’ articles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However,</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authorized by special resolution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must  include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shareholders.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limitations  or  restrictions  on  any</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classes or series of capital stock.</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Consolidation and 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the issued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the  issued</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 class or series of Bitfarms may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Stronghold common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 changed into a different number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combined  into  a  smaller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shares of the same class or series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or  split  into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into  the  same  or  a  different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greater number of shares through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of other classes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its  charter.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through an amendment to its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Stronghold’s charter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requires the affirmative vote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Bitfarms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at  least  a  majority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if applicable, a separate 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voting  power  of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the  holders  of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stock  entitled  to  vote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affected class or series of shares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thereon, voting together as a single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accordance with the provisions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However,  a  stock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OBCA.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would not need stockholder approval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issued shares do not exceed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share amount.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Bitfarms may, by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Delaware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Law,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special  resolution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repurchase  shares  to  reduce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stated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outstanding capital shares, but only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 for a class or series of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capital of the corporation is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any  reason,  provided  (i)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impaired and if the repurchase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the differently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impair  the  capital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are entitled</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vote separately as a class 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as the case may be, on the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proposal to take the action, whether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or not the shares otherwise carry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right to vote and (ii) there are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 reasonable grounds for believing</w:t>
      </w:r>
    </w:p>
    <w:p>
      <w:pPr>
        <w:spacing w:after="0" w:line="9" w:lineRule="exact"/>
        <w:rPr>
          <w:sz w:val="20"/>
          <w:szCs w:val="20"/>
          <w:color w:val="auto"/>
        </w:rPr>
      </w:pPr>
    </w:p>
    <w:p>
      <w:pPr>
        <w:ind w:left="3160"/>
        <w:spacing w:after="0"/>
        <w:tabs>
          <w:tab w:leader="none" w:pos="3580" w:val="left"/>
          <w:tab w:leader="none" w:pos="4360" w:val="left"/>
          <w:tab w:leader="none" w:pos="4700" w:val="left"/>
          <w:tab w:leader="none" w:pos="5020" w:val="left"/>
          <w:tab w:leader="none" w:pos="5520" w:val="left"/>
        </w:tabs>
        <w:rPr>
          <w:sz w:val="20"/>
          <w:szCs w:val="20"/>
          <w:color w:val="auto"/>
        </w:rPr>
      </w:pPr>
      <w:r>
        <w:rPr>
          <w:rFonts w:ascii="Times New Roman" w:cs="Times New Roman" w:eastAsia="Times New Roman" w:hAnsi="Times New Roman"/>
          <w:sz w:val="18"/>
          <w:szCs w:val="18"/>
          <w:color w:val="auto"/>
        </w:rPr>
        <w:t>that</w:t>
        <w:tab/>
        <w:t>Bitfarms</w:t>
        <w:tab/>
        <w:t>is,</w:t>
        <w:tab/>
        <w:t>or</w:t>
        <w:tab/>
        <w:t>after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proposed  reduction  of  its  stated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capital would be, unable to pay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liabilities as they become due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after the proposed reduction of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stated capital, the realizable value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assets would be less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than the aggregate of its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gridSpan w:val="4"/>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Distributions, Dividends,</w:t>
            </w:r>
          </w:p>
        </w:tc>
        <w:tc>
          <w:tcPr>
            <w:tcW w:w="100" w:type="dxa"/>
            <w:vAlign w:val="bottom"/>
            <w:vMerge w:val="continue"/>
          </w:tcPr>
          <w:p>
            <w:pPr>
              <w:spacing w:after="0"/>
              <w:rPr>
                <w:sz w:val="16"/>
                <w:szCs w:val="16"/>
                <w:color w:val="auto"/>
              </w:rPr>
            </w:pPr>
          </w:p>
        </w:tc>
        <w:tc>
          <w:tcPr>
            <w:tcW w:w="17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i w:val="1"/>
                <w:iCs w:val="1"/>
                <w:color w:val="auto"/>
                <w:w w:val="99"/>
              </w:rPr>
              <w:t>Distributions/Dividends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Distributions/Dividends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Repurchases and Redemptions</w:t>
            </w: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Under  Bitfarms’  articles  and  the</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Under Delaware Law, the Stronghold</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vMerge w:val="continue"/>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Bitfarms shareholders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of directors may,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entitled to receive dividends if, as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restrictions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contained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when declared by the directors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Stronghold’s charter, declare and pay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Bitfarms,  subject  to  prior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shares of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satisfaction</w:t>
            </w: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3"/>
              </w:rPr>
              <w:t>of</w:t>
            </w: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preferential</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stock  either  (i)  out  of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any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surplus or (ii) in the case there is no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preference shares and provided that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surplus, out of its net profits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 are no reasonable grounds for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fiscal year in which the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believing that Bitfarms is, or after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  declared  and/or  the  preceding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proposed payment of dividends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fiscal year. Dividends may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would  be,  unable  to  pay  its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declared out of net profits, 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liabilities as they become due 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the corporation’s capital has been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the  proposed  payment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diminished to an amount less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dividends, the realization value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amount of all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assets would be less than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of its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having</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preference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distribution  of  assets  until  the</w:t>
            </w:r>
          </w:p>
        </w:tc>
        <w:tc>
          <w:tcPr>
            <w:tcW w:w="0" w:type="dxa"/>
            <w:vAlign w:val="bottom"/>
          </w:tcPr>
          <w:p>
            <w:pPr>
              <w:spacing w:after="0"/>
              <w:rPr>
                <w:sz w:val="1"/>
                <w:szCs w:val="1"/>
                <w:color w:val="auto"/>
              </w:rPr>
            </w:pPr>
          </w:p>
        </w:tc>
      </w:tr>
      <w:tr>
        <w:trPr>
          <w:trHeight w:val="63"/>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deficiency in the amount of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subject to its articles, purchase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redeem any redeemable shares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by it at prices not exceeding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having  a  preference  upon  the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redemption price thereof stated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distribution of assets is repaired.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articles   or   calculated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according to a formula stated in the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However,</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not  make  any  payment  to</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ability to acquire shares is limited.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purchase or redeem any redeemable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160 of the DGCL provides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issued  by  it  if  there  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no corporation may purchase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grounds</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believing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redeem its shares when the capital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that  it  would  not  meet  similar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corporation is impaired or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solvency  tests  as  those  set  out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impaired  as  a  result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above.  Pursuant  to  the  OBCA,</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purchase or redemption.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 in limited circumstances set</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out in the OBCA, a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shall not hold shares in itself.</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issued by a corporation and</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purchased, redeemed or otherwise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acquired by it shall be cancelled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if the articles limit the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authorized  shares  of  a  class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series, may be restored to the status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shares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class. Under the OBCA, except</w:t>
      </w:r>
    </w:p>
    <w:p>
      <w:pPr>
        <w:spacing w:after="0" w:line="9" w:lineRule="exact"/>
        <w:rPr>
          <w:sz w:val="20"/>
          <w:szCs w:val="20"/>
          <w:color w:val="auto"/>
        </w:rPr>
      </w:pPr>
    </w:p>
    <w:p>
      <w:pPr>
        <w:ind w:left="3160"/>
        <w:spacing w:after="0"/>
        <w:tabs>
          <w:tab w:leader="none" w:pos="3540" w:val="left"/>
          <w:tab w:leader="none" w:pos="4320" w:val="left"/>
          <w:tab w:leader="none" w:pos="5660" w:val="left"/>
        </w:tabs>
        <w:rPr>
          <w:sz w:val="20"/>
          <w:szCs w:val="20"/>
          <w:color w:val="auto"/>
        </w:rPr>
      </w:pPr>
      <w:r>
        <w:rPr>
          <w:rFonts w:ascii="Times New Roman" w:cs="Times New Roman" w:eastAsia="Times New Roman" w:hAnsi="Times New Roman"/>
          <w:sz w:val="18"/>
          <w:szCs w:val="18"/>
          <w:color w:val="auto"/>
        </w:rPr>
        <w:t>in</w:t>
        <w:tab/>
        <w:t>limited</w:t>
        <w:tab/>
        <w:t>circumstances,</w:t>
      </w:r>
      <w:r>
        <w:rPr>
          <w:sz w:val="20"/>
          <w:szCs w:val="20"/>
          <w:color w:val="auto"/>
        </w:rPr>
        <w:tab/>
      </w: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hold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holding body corporate, and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permit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subsidiary bodies corporate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 shares of the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66" w:lineRule="exact"/>
        <w:rPr>
          <w:sz w:val="20"/>
          <w:szCs w:val="20"/>
          <w:color w:val="auto"/>
        </w:rPr>
      </w:pPr>
    </w:p>
    <w:p>
      <w:pPr>
        <w:jc w:val="both"/>
        <w:ind w:left="3160" w:right="459" w:hanging="26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Dividends in Shares/Bonus Issues </w:t>
      </w:r>
      <w:r>
        <w:rPr>
          <w:rFonts w:ascii="Times New Roman" w:cs="Times New Roman" w:eastAsia="Times New Roman" w:hAnsi="Times New Roman"/>
          <w:sz w:val="18"/>
          <w:szCs w:val="18"/>
          <w:color w:val="auto"/>
        </w:rPr>
        <w:t>In accordance with the OBCA, Under Delaware Law, Stronghold,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may pay dividends in may make distributions to its money or property or by issuing shareholders in money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-419100</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 w:leader="none" w:pos="6640" w:val="left"/>
          <w:tab w:leader="none" w:pos="7000" w:val="left"/>
          <w:tab w:leader="none" w:pos="7420" w:val="left"/>
          <w:tab w:leader="none" w:pos="8380" w:val="left"/>
        </w:tabs>
        <w:rPr>
          <w:sz w:val="20"/>
          <w:szCs w:val="20"/>
          <w:color w:val="auto"/>
        </w:rPr>
      </w:pPr>
      <w:r>
        <w:rPr>
          <w:rFonts w:ascii="Times New Roman" w:cs="Times New Roman" w:eastAsia="Times New Roman" w:hAnsi="Times New Roman"/>
          <w:sz w:val="18"/>
          <w:szCs w:val="18"/>
          <w:color w:val="auto"/>
        </w:rPr>
        <w:t>fully paid shares.</w:t>
      </w:r>
      <w:r>
        <w:rPr>
          <w:sz w:val="20"/>
          <w:szCs w:val="20"/>
          <w:color w:val="auto"/>
        </w:rPr>
        <w:tab/>
      </w:r>
      <w:r>
        <w:rPr>
          <w:rFonts w:ascii="Times New Roman" w:cs="Times New Roman" w:eastAsia="Times New Roman" w:hAnsi="Times New Roman"/>
          <w:sz w:val="18"/>
          <w:szCs w:val="18"/>
          <w:color w:val="auto"/>
        </w:rPr>
        <w:t>property</w:t>
        <w:tab/>
        <w:t>or</w:t>
        <w:tab/>
        <w:t>the</w:t>
        <w:tab/>
        <w:t>incurrence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indebtedness to or for the benefit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any shareholder.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 of</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shareholders do not have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 stockholders do not have</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issued shares.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issued shares of stock.</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Bitfarms’ by-</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Delaware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Forfeiture of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Bitfarms has a lien on shares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may issue the whole or any part of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registered  in  the  name  of  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or preferred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their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 as partly paid and subject to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representative  for  a  debt  of  that</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call  for  the  remainder  of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Bitfarms,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provided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consideration  to  be  paid  therefor.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that such shares are not listed and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When the whole of the consideration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posted  for  trading  on  a  stock</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payable for shares of a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exchange  in  or  outside  Canada,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has not been paid in full, and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lien may be enforced by the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assets of the corporation shall be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sale of such shares or by any other</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insufficient to satisfy the claims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7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remedy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available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its creditors, each holder of shares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until such</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not paid in full shall be bound to pay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indebtedness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has  been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satisfied,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unpaid  balance  due  for  such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may refuse to register 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transfer of any such shares.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applicable.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Bitfarms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common  share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7"/>
              </w:rPr>
              <w:t>outstanding</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entitles the holder to one vote at all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Stronghold’s Class A common stock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meetings of Bitfarms shareholders,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entitles its holder to one vote on all</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except  meetings  at  which  only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matters   to   be   voted   on   by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holders of another specified class or</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stockholders</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series of shares are entitled to vote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separately as a class or series.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entitles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Except   as   required   by   law,</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 to one vote on all matters to</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760" w:type="dxa"/>
            <w:vAlign w:val="bottom"/>
            <w:gridSpan w:val="6"/>
          </w:tcPr>
          <w:p>
            <w:pPr>
              <w:ind w:left="60"/>
              <w:spacing w:after="0" w:line="181" w:lineRule="exact"/>
              <w:rPr>
                <w:sz w:val="20"/>
                <w:szCs w:val="20"/>
                <w:color w:val="auto"/>
              </w:rPr>
            </w:pPr>
            <w:r>
              <w:rPr>
                <w:rFonts w:ascii="Times New Roman" w:cs="Times New Roman" w:eastAsia="Times New Roman" w:hAnsi="Times New Roman"/>
                <w:sz w:val="18"/>
                <w:szCs w:val="18"/>
                <w:color w:val="auto"/>
              </w:rPr>
              <w:t>be   voted   on   by   stockholders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including   the   OBCA,   or   in</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780" w:type="dxa"/>
            <w:vAlign w:val="bottom"/>
            <w:gridSpan w:val="6"/>
          </w:tcPr>
          <w:p>
            <w:pPr>
              <w:ind w:left="140"/>
              <w:spacing w:after="0" w:line="170" w:lineRule="exact"/>
              <w:rPr>
                <w:sz w:val="20"/>
                <w:szCs w:val="20"/>
                <w:color w:val="auto"/>
              </w:rPr>
            </w:pPr>
            <w:r>
              <w:rPr>
                <w:rFonts w:ascii="Times New Roman" w:cs="Times New Roman" w:eastAsia="Times New Roman" w:hAnsi="Times New Roman"/>
                <w:sz w:val="18"/>
                <w:szCs w:val="18"/>
                <w:color w:val="auto"/>
              </w:rPr>
              <w:t>accordance with any voting rights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Holders  of  Stronghold  Class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holders of the preference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vote together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of  Bitfarms  will  not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  a  single  class  on  all  matters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entitled  to  receive  notice  of,  to</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presented</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attend or to vote at any meeting of</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stockholders  for  their  vote  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Bitfarms shareholders, provided</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approval,</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except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privileges,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required  by  applicable  law  or  by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restrictions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Stronghold’s charter.</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160" w:right="459"/>
        <w:spacing w:after="0" w:line="253" w:lineRule="auto"/>
        <w:rPr>
          <w:sz w:val="20"/>
          <w:szCs w:val="20"/>
          <w:color w:val="auto"/>
        </w:rPr>
      </w:pPr>
      <w:r>
        <w:rPr>
          <w:rFonts w:ascii="Times New Roman" w:cs="Times New Roman" w:eastAsia="Times New Roman" w:hAnsi="Times New Roman"/>
          <w:sz w:val="18"/>
          <w:szCs w:val="18"/>
          <w:color w:val="auto"/>
        </w:rPr>
        <w:t>and conditions attached to the Except as required under Delaware preference shares as a class may be Law or Stronghold’s charter, holders added to, changed or removed only of shares of Series C preferred stock with the approval of the holders of or Series D preferred stock do not the preference shares given in such have any voting rights, except that manner as may then be required by the approval of holders of not less law, at a meeting of the holders of than 66⅔% of the then-outstanding the preference shares duly called shares of Series C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-1104900</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s>
        <w:rPr>
          <w:sz w:val="20"/>
          <w:szCs w:val="20"/>
          <w:color w:val="auto"/>
        </w:rPr>
      </w:pPr>
      <w:r>
        <w:rPr>
          <w:rFonts w:ascii="Times New Roman" w:cs="Times New Roman" w:eastAsia="Times New Roman" w:hAnsi="Times New Roman"/>
          <w:sz w:val="18"/>
          <w:szCs w:val="18"/>
          <w:color w:val="auto"/>
        </w:rPr>
        <w:t>for that purpose.</w:t>
      </w:r>
      <w:r>
        <w:rPr>
          <w:sz w:val="20"/>
          <w:szCs w:val="20"/>
          <w:color w:val="auto"/>
        </w:rPr>
        <w:tab/>
      </w:r>
      <w:r>
        <w:rPr>
          <w:rFonts w:ascii="Times New Roman" w:cs="Times New Roman" w:eastAsia="Times New Roman" w:hAnsi="Times New Roman"/>
          <w:sz w:val="18"/>
          <w:szCs w:val="18"/>
          <w:color w:val="auto"/>
        </w:rPr>
        <w:t>Series D preferred stock is required</w:t>
      </w:r>
    </w:p>
    <w:p>
      <w:pPr>
        <w:spacing w:after="0" w:line="9" w:lineRule="exact"/>
        <w:rPr>
          <w:sz w:val="20"/>
          <w:szCs w:val="20"/>
          <w:color w:val="auto"/>
        </w:rPr>
      </w:pPr>
    </w:p>
    <w:p>
      <w:pPr>
        <w:ind w:left="5860"/>
        <w:spacing w:after="0"/>
        <w:tabs>
          <w:tab w:leader="none" w:pos="6160" w:val="left"/>
          <w:tab w:leader="none" w:pos="6500" w:val="left"/>
          <w:tab w:leader="none" w:pos="7220" w:val="left"/>
          <w:tab w:leader="none" w:pos="7760" w:val="left"/>
          <w:tab w:leader="none" w:pos="8380" w:val="left"/>
        </w:tabs>
        <w:rPr>
          <w:sz w:val="20"/>
          <w:szCs w:val="20"/>
          <w:color w:val="auto"/>
        </w:rPr>
      </w:pPr>
      <w:r>
        <w:rPr>
          <w:rFonts w:ascii="Times New Roman" w:cs="Times New Roman" w:eastAsia="Times New Roman" w:hAnsi="Times New Roman"/>
          <w:sz w:val="18"/>
          <w:szCs w:val="18"/>
          <w:color w:val="auto"/>
        </w:rPr>
        <w:t>to</w:t>
        <w:tab/>
        <w:t>(i)</w:t>
        <w:tab/>
        <w:t>amend,</w:t>
        <w:tab/>
        <w:t>alter,</w:t>
        <w:tab/>
        <w:t>repeal</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760" w:val="left"/>
          <w:tab w:leader="none" w:pos="7500" w:val="left"/>
          <w:tab w:leader="none" w:pos="8360" w:val="left"/>
        </w:tabs>
        <w:rPr>
          <w:sz w:val="20"/>
          <w:szCs w:val="20"/>
          <w:color w:val="auto"/>
        </w:rPr>
      </w:pPr>
      <w:r>
        <w:rPr>
          <w:rFonts w:ascii="Times New Roman" w:cs="Times New Roman" w:eastAsia="Times New Roman" w:hAnsi="Times New Roman"/>
          <w:sz w:val="18"/>
          <w:szCs w:val="18"/>
          <w:color w:val="auto"/>
        </w:rPr>
        <w:t>otherwise</w:t>
        <w:tab/>
        <w:t>modify</w:t>
        <w:tab/>
        <w:t>(whether</w:t>
        <w:tab/>
        <w:t>by</w:t>
      </w:r>
    </w:p>
    <w:p>
      <w:pPr>
        <w:spacing w:after="0" w:line="9" w:lineRule="exact"/>
        <w:rPr>
          <w:sz w:val="20"/>
          <w:szCs w:val="20"/>
          <w:color w:val="auto"/>
        </w:rPr>
      </w:pPr>
    </w:p>
    <w:p>
      <w:pPr>
        <w:ind w:left="5860"/>
        <w:spacing w:after="0"/>
        <w:tabs>
          <w:tab w:leader="none" w:pos="6720" w:val="left"/>
          <w:tab w:leader="none" w:pos="7740" w:val="left"/>
          <w:tab w:leader="none" w:pos="8240" w:val="left"/>
        </w:tabs>
        <w:rPr>
          <w:sz w:val="20"/>
          <w:szCs w:val="20"/>
          <w:color w:val="auto"/>
        </w:rPr>
      </w:pPr>
      <w:r>
        <w:rPr>
          <w:rFonts w:ascii="Times New Roman" w:cs="Times New Roman" w:eastAsia="Times New Roman" w:hAnsi="Times New Roman"/>
          <w:sz w:val="18"/>
          <w:szCs w:val="18"/>
          <w:color w:val="auto"/>
        </w:rPr>
        <w:t>merger,</w:t>
      </w:r>
      <w:r>
        <w:rPr>
          <w:sz w:val="20"/>
          <w:szCs w:val="20"/>
          <w:color w:val="auto"/>
        </w:rPr>
        <w:tab/>
      </w:r>
      <w:r>
        <w:rPr>
          <w:rFonts w:ascii="Times New Roman" w:cs="Times New Roman" w:eastAsia="Times New Roman" w:hAnsi="Times New Roman"/>
          <w:sz w:val="18"/>
          <w:szCs w:val="18"/>
          <w:color w:val="auto"/>
        </w:rPr>
        <w:t>operation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6"/>
          <w:szCs w:val="16"/>
          <w:color w:val="auto"/>
        </w:rPr>
        <w:t>law,</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consolidation or otherwise) (a) any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provision of Stronghold’s charter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by-laws  in  a  manner  that  would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adversely affect the powers,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(b) any provision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(ii)  authorize,  create,  increase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amount of, or issue any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preferred</w:t>
      </w:r>
    </w:p>
    <w:p>
      <w:pPr>
        <w:spacing w:after="0" w:line="9" w:lineRule="exact"/>
        <w:rPr>
          <w:sz w:val="20"/>
          <w:szCs w:val="20"/>
          <w:color w:val="auto"/>
        </w:rPr>
      </w:pPr>
    </w:p>
    <w:p>
      <w:pPr>
        <w:ind w:left="5860"/>
        <w:spacing w:after="0"/>
        <w:tabs>
          <w:tab w:leader="none" w:pos="6360" w:val="left"/>
          <w:tab w:leader="none" w:pos="6640" w:val="left"/>
          <w:tab w:leader="none" w:pos="7040" w:val="left"/>
          <w:tab w:leader="none" w:pos="7540" w:val="left"/>
          <w:tab w:leader="none" w:pos="7840" w:val="left"/>
          <w:tab w:leader="none" w:pos="8380" w:val="left"/>
        </w:tabs>
        <w:rPr>
          <w:sz w:val="20"/>
          <w:szCs w:val="20"/>
          <w:color w:val="auto"/>
        </w:rPr>
      </w:pPr>
      <w:r>
        <w:rPr>
          <w:rFonts w:ascii="Times New Roman" w:cs="Times New Roman" w:eastAsia="Times New Roman" w:hAnsi="Times New Roman"/>
          <w:sz w:val="18"/>
          <w:szCs w:val="18"/>
          <w:color w:val="auto"/>
        </w:rPr>
        <w:t>stock</w:t>
        <w:tab/>
        <w:t>or</w:t>
        <w:tab/>
        <w:t>any</w:t>
        <w:tab/>
        <w:t>class</w:t>
        <w:tab/>
        <w:t>or</w:t>
        <w:tab/>
        <w:t>series</w:t>
        <w:tab/>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Stock or Series C preferred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D Parity Stock or any</w:t>
      </w:r>
    </w:p>
    <w:p>
      <w:pPr>
        <w:spacing w:after="0" w:line="9" w:lineRule="exact"/>
        <w:rPr>
          <w:sz w:val="20"/>
          <w:szCs w:val="20"/>
          <w:color w:val="auto"/>
        </w:rPr>
      </w:pPr>
    </w:p>
    <w:p>
      <w:pPr>
        <w:ind w:left="5860"/>
        <w:spacing w:after="0"/>
        <w:tabs>
          <w:tab w:leader="none" w:pos="6680" w:val="left"/>
          <w:tab w:leader="none" w:pos="7780" w:val="left"/>
          <w:tab w:leader="none" w:pos="8380" w:val="left"/>
        </w:tabs>
        <w:rPr>
          <w:sz w:val="20"/>
          <w:szCs w:val="20"/>
          <w:color w:val="auto"/>
        </w:rPr>
      </w:pPr>
      <w:r>
        <w:rPr>
          <w:rFonts w:ascii="Times New Roman" w:cs="Times New Roman" w:eastAsia="Times New Roman" w:hAnsi="Times New Roman"/>
          <w:sz w:val="18"/>
          <w:szCs w:val="18"/>
          <w:color w:val="auto"/>
        </w:rPr>
        <w:t>security</w:t>
      </w:r>
      <w:r>
        <w:rPr>
          <w:sz w:val="20"/>
          <w:szCs w:val="20"/>
          <w:color w:val="auto"/>
        </w:rPr>
        <w:tab/>
      </w:r>
      <w:r>
        <w:rPr>
          <w:rFonts w:ascii="Times New Roman" w:cs="Times New Roman" w:eastAsia="Times New Roman" w:hAnsi="Times New Roman"/>
          <w:sz w:val="18"/>
          <w:szCs w:val="18"/>
          <w:color w:val="auto"/>
        </w:rPr>
        <w:t>convertible</w:t>
      </w:r>
      <w:r>
        <w:rPr>
          <w:sz w:val="20"/>
          <w:szCs w:val="20"/>
          <w:color w:val="auto"/>
        </w:rPr>
        <w:tab/>
      </w: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980" w:val="left"/>
          <w:tab w:leader="none" w:pos="7300" w:val="left"/>
          <w:tab w:leader="none" w:pos="8280" w:val="left"/>
        </w:tabs>
        <w:rPr>
          <w:sz w:val="20"/>
          <w:szCs w:val="20"/>
          <w:color w:val="auto"/>
        </w:rPr>
      </w:pPr>
      <w:r>
        <w:rPr>
          <w:rFonts w:ascii="Times New Roman" w:cs="Times New Roman" w:eastAsia="Times New Roman" w:hAnsi="Times New Roman"/>
          <w:sz w:val="18"/>
          <w:szCs w:val="18"/>
          <w:color w:val="auto"/>
        </w:rPr>
        <w:t>exchangeable</w:t>
        <w:tab/>
        <w:t>or</w:t>
        <w:tab/>
        <w:t>exercisable</w:t>
        <w:tab/>
        <w:t>for,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shares of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preferred stock,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Senior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Parity Stock, (iii) authorize,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enter into or otherwise engage in a</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Fundamental Transaction (as defined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unless such Fundamental Transaction</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does not adversely affect the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and (iv) agree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consent to any of the foregoing.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Provision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of Directors;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16541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Election; Composition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Board of Directors; Classified</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Board; Removal; Vacancies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10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Bitfarms’ articles provide for a The Stronghold by-laws do not minimum of one and a maximum of provide for a required number of 10 directors. The number of directors. The number of directors to directors to be elected to the be elected to the Stronghold board of Bitfarms board of directors is directors is determined by the determined by the Bitfarms board Stronghold board of directors.</w:t>
      </w:r>
    </w:p>
    <w:tbl>
      <w:tblPr>
        <w:tblLayout w:type="fixed"/>
        <w:tblInd w:w="0" w:type="dxa"/>
        <w:tblCellMar>
          <w:top w:w="0" w:type="dxa"/>
          <w:left w:w="0" w:type="dxa"/>
          <w:bottom w:w="0" w:type="dxa"/>
          <w:right w:w="0" w:type="dxa"/>
        </w:tblCellMar>
      </w:tblPr>
      <w:tr>
        <w:trPr>
          <w:trHeight w:val="203"/>
        </w:trPr>
        <w:tc>
          <w:tcPr>
            <w:tcW w:w="2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of directors. The Bitfarms board of</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180"/>
        </w:trPr>
        <w:tc>
          <w:tcPr>
            <w:tcW w:w="26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directors has the ability to appoint</w:t>
            </w: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additional</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currently consists of seven directors.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meetings.</w:t>
            </w:r>
          </w:p>
        </w:tc>
        <w:tc>
          <w:tcPr>
            <w:tcW w:w="11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i w:val="1"/>
                <w:iCs w:val="1"/>
                <w:color w:val="auto"/>
                <w:w w:val="96"/>
              </w:rPr>
              <w:t>Quorum</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25"/>
          <w:szCs w:val="25"/>
          <w:color w:val="auto"/>
          <w:vertAlign w:val="superscript"/>
        </w:rPr>
        <w:t>The Bitfarms board of directors</w:t>
      </w:r>
      <w:r>
        <w:rPr>
          <w:rFonts w:ascii="Times New Roman" w:cs="Times New Roman" w:eastAsia="Times New Roman" w:hAnsi="Times New Roman"/>
          <w:sz w:val="14"/>
          <w:szCs w:val="14"/>
          <w:color w:val="auto"/>
        </w:rPr>
        <w:t xml:space="preserve"> The Stronghold by-laws provide that currently consists of five directors. </w:t>
      </w:r>
      <w:r>
        <w:rPr>
          <w:rFonts w:ascii="Times New Roman" w:cs="Times New Roman" w:eastAsia="Times New Roman" w:hAnsi="Times New Roman"/>
          <w:sz w:val="25"/>
          <w:szCs w:val="25"/>
          <w:color w:val="auto"/>
          <w:vertAlign w:val="subscript"/>
        </w:rPr>
        <w:t>a majority of the directors in office</w:t>
      </w:r>
      <w:r>
        <w:rPr>
          <w:rFonts w:ascii="Times New Roman" w:cs="Times New Roman" w:eastAsia="Times New Roman" w:hAnsi="Times New Roman"/>
          <w:sz w:val="14"/>
          <w:szCs w:val="14"/>
          <w:color w:val="auto"/>
        </w:rPr>
        <w:t xml:space="preserve"> After completion of the merger, the </w:t>
      </w:r>
      <w:r>
        <w:rPr>
          <w:rFonts w:ascii="Times New Roman" w:cs="Times New Roman" w:eastAsia="Times New Roman" w:hAnsi="Times New Roman"/>
          <w:sz w:val="25"/>
          <w:szCs w:val="25"/>
          <w:color w:val="auto"/>
          <w:vertAlign w:val="subscript"/>
        </w:rPr>
        <w:t>shall be necessary to constitute a</w:t>
      </w:r>
      <w:r>
        <w:rPr>
          <w:rFonts w:ascii="Times New Roman" w:cs="Times New Roman" w:eastAsia="Times New Roman" w:hAnsi="Times New Roman"/>
          <w:sz w:val="14"/>
          <w:szCs w:val="14"/>
          <w:color w:val="auto"/>
        </w:rPr>
        <w:t xml:space="preserve"> Bitfarms board of directors will </w:t>
      </w:r>
      <w:r>
        <w:rPr>
          <w:rFonts w:ascii="Times New Roman" w:cs="Times New Roman" w:eastAsia="Times New Roman" w:hAnsi="Times New Roman"/>
          <w:sz w:val="25"/>
          <w:szCs w:val="25"/>
          <w:color w:val="auto"/>
          <w:vertAlign w:val="subscript"/>
        </w:rPr>
        <w:t>quorum.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consist of six directors.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Quorum</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Bitfarms’ by-laws, a quorum</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a meeting of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are elected at the annual</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majority</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9"/>
              </w:rPr>
              <w:t>of</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or  at  a</w:t>
            </w: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special</w:t>
            </w:r>
          </w:p>
        </w:tc>
        <w:tc>
          <w:tcPr>
            <w:tcW w:w="6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color w:val="auto"/>
              </w:rPr>
              <w:t>meeting</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called</w:t>
            </w:r>
          </w:p>
        </w:tc>
        <w:tc>
          <w:tcPr>
            <w:tcW w:w="3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for</w:t>
            </w:r>
          </w:p>
        </w:tc>
        <w:tc>
          <w:tcPr>
            <w:tcW w:w="500" w:type="dxa"/>
            <w:vAlign w:val="bottom"/>
          </w:tcPr>
          <w:p>
            <w:pPr>
              <w:ind w:left="160"/>
              <w:spacing w:after="0" w:line="144" w:lineRule="exact"/>
              <w:rPr>
                <w:sz w:val="20"/>
                <w:szCs w:val="20"/>
                <w:color w:val="auto"/>
              </w:rPr>
            </w:pPr>
            <w:r>
              <w:rPr>
                <w:rFonts w:ascii="Times New Roman" w:cs="Times New Roman" w:eastAsia="Times New Roman" w:hAnsi="Times New Roman"/>
                <w:sz w:val="16"/>
                <w:szCs w:val="16"/>
                <w:color w:val="auto"/>
              </w:rPr>
              <w:t>such</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purpose and hold office until the next</w:t>
            </w: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until</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her</w:t>
            </w:r>
          </w:p>
        </w:tc>
        <w:tc>
          <w:tcPr>
            <w:tcW w:w="0" w:type="dxa"/>
            <w:vAlign w:val="bottom"/>
          </w:tcPr>
          <w:p>
            <w:pPr>
              <w:spacing w:after="0"/>
              <w:rPr>
                <w:sz w:val="1"/>
                <w:szCs w:val="1"/>
                <w:color w:val="auto"/>
              </w:rPr>
            </w:pPr>
          </w:p>
        </w:tc>
      </w:tr>
      <w:tr>
        <w:trPr>
          <w:trHeight w:val="99"/>
        </w:trPr>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successor shall be elected and shall</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Pursuant  to  Bitfarms’  by-laws,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qualify or until his or her earlier</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of Bitfarms are elected at</w:t>
            </w: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death, resignation or removal.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annual meeting of shareholders</w:t>
            </w: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Under Delaware Law, the candidates</w:t>
            </w:r>
          </w:p>
        </w:tc>
        <w:tc>
          <w:tcPr>
            <w:tcW w:w="0" w:type="dxa"/>
            <w:vAlign w:val="bottom"/>
          </w:tcPr>
          <w:p>
            <w:pPr>
              <w:spacing w:after="0"/>
              <w:rPr>
                <w:sz w:val="1"/>
                <w:szCs w:val="1"/>
                <w:color w:val="auto"/>
              </w:rPr>
            </w:pPr>
          </w:p>
        </w:tc>
      </w:tr>
      <w:tr>
        <w:trPr>
          <w:trHeight w:val="180"/>
        </w:trPr>
        <w:tc>
          <w:tcPr>
            <w:tcW w:w="26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or  at  a  special  meeting  of</w:t>
            </w:r>
          </w:p>
        </w:tc>
        <w:tc>
          <w:tcPr>
            <w:tcW w:w="2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called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election as directors receiving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purpose and hold office until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highest number of votes cast (known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close of the next annual meeting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as a plurality) up to the number of</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until</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to  be  elected  will  be</w:t>
            </w:r>
          </w:p>
        </w:tc>
        <w:tc>
          <w:tcPr>
            <w:tcW w:w="0" w:type="dxa"/>
            <w:vAlign w:val="bottom"/>
          </w:tcPr>
          <w:p>
            <w:pPr>
              <w:spacing w:after="0"/>
              <w:rPr>
                <w:sz w:val="1"/>
                <w:szCs w:val="1"/>
                <w:color w:val="auto"/>
              </w:rPr>
            </w:pPr>
          </w:p>
        </w:tc>
      </w:tr>
      <w:tr>
        <w:trPr>
          <w:trHeight w:val="216"/>
        </w:trPr>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successors are elected.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elected.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OBCA and Bitfarms’ by-laws</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Classified Board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  that  directors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and by-laws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elected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ordinary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resolution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do not divide its board of directors</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passed  at  an  annual  meeting  of</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into classes.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 response to this plurality voting</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Removal</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standard and as a requirement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provides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rules of the TSX, the Bitfarms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may  be  removed  from</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has adopted a</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office   at   any   time   by   the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“majority</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voting”</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policy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which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shareholders, either with or without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provides  that  any  nominee  for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cause, upon the affirmative vote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 in an uncontested election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holders of at least 66⅔% of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receives more withheld votes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outstanding  shares  of  stock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than “for” votes (i.e., the nominee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entitled to vote generally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is not elected by at least a majority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acting 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50% + 1 vote), will immediately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 meeting of the stockholders or by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tender their resignation and will not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written  consent  (if  permitted)  in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participate in any meeting of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Delaware Law and</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or any</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Stronghold’s by-laws.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committee  thereof  at  which  the</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considered.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on 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300" w:type="dxa"/>
            <w:vAlign w:val="bottom"/>
          </w:tcPr>
          <w:p>
            <w:pPr>
              <w:spacing w:after="0"/>
              <w:rPr>
                <w:sz w:val="20"/>
                <w:szCs w:val="20"/>
                <w:color w:val="auto"/>
              </w:rPr>
            </w:pPr>
          </w:p>
        </w:tc>
        <w:tc>
          <w:tcPr>
            <w:tcW w:w="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of</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920" w:space="240"/>
            <w:col w:w="585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and</w:t>
            </w: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Nominating</w:t>
            </w:r>
          </w:p>
        </w:tc>
        <w:tc>
          <w:tcPr>
            <w:tcW w:w="100" w:type="dxa"/>
            <w:vAlign w:val="bottom"/>
            <w:vMerge w:val="continue"/>
          </w:tcPr>
          <w:p>
            <w:pPr>
              <w:spacing w:after="0"/>
              <w:rPr>
                <w:sz w:val="16"/>
                <w:szCs w:val="16"/>
                <w:color w:val="auto"/>
              </w:rPr>
            </w:pPr>
          </w:p>
        </w:tc>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Vacancies</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Committee, will determine whether</w:t>
            </w:r>
          </w:p>
        </w:tc>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or  not  to  accept  the  resignation</w:t>
            </w:r>
          </w:p>
        </w:tc>
        <w:tc>
          <w:tcPr>
            <w:tcW w:w="2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90 days after the date of the</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vacancies,</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vacancies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will</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resulting  from  an  increase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accept   the</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resignation   absent</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number of directors,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exceptional</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circumstances.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be filled by the affirmative vote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will promptly issue a news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least a majority of the remaining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release  with  the  decision  of  the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and if</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 if less than a quorum, or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sole remaining director, and shall not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determines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to</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accept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filled by the stockholders.</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resignation, the news release will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 the reasons for that decision.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will be</w:t>
      </w:r>
    </w:p>
    <w:p>
      <w:pPr>
        <w:spacing w:after="0" w:line="9" w:lineRule="exact"/>
        <w:rPr>
          <w:sz w:val="20"/>
          <w:szCs w:val="20"/>
          <w:color w:val="auto"/>
        </w:rPr>
      </w:pPr>
    </w:p>
    <w:p>
      <w:pPr>
        <w:ind w:left="3160"/>
        <w:spacing w:after="0"/>
        <w:tabs>
          <w:tab w:leader="none" w:pos="3900" w:val="left"/>
          <w:tab w:leader="none" w:pos="442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effective</w:t>
        <w:tab/>
        <w:t>when</w:t>
        <w:tab/>
        <w:t>accepted</w:t>
        <w:tab/>
        <w:t>by</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accepts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it  can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appoint a new director to fill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w:t>
      </w:r>
    </w:p>
    <w:p>
      <w:pPr>
        <w:spacing w:after="0" w:line="139" w:lineRule="exact"/>
        <w:rPr>
          <w:sz w:val="20"/>
          <w:szCs w:val="20"/>
          <w:color w:val="auto"/>
        </w:rPr>
      </w:pPr>
    </w:p>
    <w:p>
      <w:pPr>
        <w:ind w:left="3160"/>
        <w:spacing w:after="0"/>
        <w:tabs>
          <w:tab w:leader="none" w:pos="3780" w:val="left"/>
          <w:tab w:leader="none" w:pos="4200" w:val="left"/>
          <w:tab w:leader="none" w:pos="4920" w:val="left"/>
        </w:tabs>
        <w:rPr>
          <w:sz w:val="20"/>
          <w:szCs w:val="20"/>
          <w:color w:val="auto"/>
        </w:rPr>
      </w:pPr>
      <w:r>
        <w:rPr>
          <w:rFonts w:ascii="Times New Roman" w:cs="Times New Roman" w:eastAsia="Times New Roman" w:hAnsi="Times New Roman"/>
          <w:sz w:val="18"/>
          <w:szCs w:val="18"/>
          <w:color w:val="auto"/>
        </w:rPr>
        <w:t>Under</w:t>
        <w:tab/>
        <w:t>the</w:t>
        <w:tab/>
        <w:t>OBCA,</w:t>
        <w:tab/>
        <w:t>cumulative</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voting  is  only  permitted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articles of a corporation specifically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for it. Bitfarms’ articles do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provide for cumulative voting.</w:t>
      </w:r>
    </w:p>
    <w:p>
      <w:pPr>
        <w:spacing w:after="0" w:line="1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articles and by-laws do</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divide its board of directors into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classes.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and Bitfarms’ by-laws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that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may, by ordinary resolution at an</w:t>
      </w:r>
    </w:p>
    <w:p>
      <w:pPr>
        <w:spacing w:after="0" w:line="9" w:lineRule="exact"/>
        <w:rPr>
          <w:sz w:val="20"/>
          <w:szCs w:val="20"/>
          <w:color w:val="auto"/>
        </w:rPr>
      </w:pPr>
    </w:p>
    <w:p>
      <w:pPr>
        <w:ind w:left="3160"/>
        <w:spacing w:after="0"/>
        <w:tabs>
          <w:tab w:leader="none" w:pos="3800" w:val="left"/>
          <w:tab w:leader="none" w:pos="4140" w:val="left"/>
          <w:tab w:leader="none" w:pos="4820" w:val="left"/>
          <w:tab w:leader="none" w:pos="5580" w:val="left"/>
        </w:tabs>
        <w:rPr>
          <w:sz w:val="20"/>
          <w:szCs w:val="20"/>
          <w:color w:val="auto"/>
        </w:rPr>
      </w:pPr>
      <w:r>
        <w:rPr>
          <w:rFonts w:ascii="Times New Roman" w:cs="Times New Roman" w:eastAsia="Times New Roman" w:hAnsi="Times New Roman"/>
          <w:sz w:val="18"/>
          <w:szCs w:val="18"/>
          <w:color w:val="auto"/>
        </w:rPr>
        <w:t>annual</w:t>
        <w:tab/>
        <w:t>or</w:t>
        <w:tab/>
        <w:t>special</w:t>
        <w:tab/>
        <w:t>meeting</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shareholders, remove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or directors from office.</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46" w:lineRule="exact"/>
        <w:rPr>
          <w:sz w:val="20"/>
          <w:szCs w:val="20"/>
          <w:color w:val="auto"/>
        </w:rPr>
      </w:pPr>
    </w:p>
    <w:p>
      <w:pPr>
        <w:ind w:left="3160"/>
        <w:spacing w:after="0"/>
        <w:tabs>
          <w:tab w:leader="none" w:pos="3560" w:val="left"/>
          <w:tab w:leader="none" w:pos="4220" w:val="left"/>
          <w:tab w:leader="none" w:pos="5040" w:val="left"/>
          <w:tab w:leader="none" w:pos="5660" w:val="left"/>
        </w:tabs>
        <w:rPr>
          <w:sz w:val="20"/>
          <w:szCs w:val="20"/>
          <w:color w:val="auto"/>
        </w:rPr>
      </w:pPr>
      <w:r>
        <w:rPr>
          <w:rFonts w:ascii="Times New Roman" w:cs="Times New Roman" w:eastAsia="Times New Roman" w:hAnsi="Times New Roman"/>
          <w:sz w:val="18"/>
          <w:szCs w:val="18"/>
          <w:color w:val="auto"/>
        </w:rPr>
        <w:t>The</w:t>
        <w:tab/>
        <w:t>OBCA</w:t>
        <w:tab/>
        <w:t>generally</w:t>
        <w:tab/>
        <w:t>allows</w:t>
        <w:tab/>
        <w:t>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 on the board of directors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filled by a quorum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except a vacancy resulting from 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 in the number or maximum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or a failure to</w:t>
      </w:r>
    </w:p>
    <w:p>
      <w:pPr>
        <w:spacing w:after="0" w:line="9" w:lineRule="exact"/>
        <w:rPr>
          <w:sz w:val="20"/>
          <w:szCs w:val="20"/>
          <w:color w:val="auto"/>
        </w:rPr>
      </w:pPr>
    </w:p>
    <w:p>
      <w:pPr>
        <w:ind w:left="3160"/>
        <w:spacing w:after="0"/>
        <w:tabs>
          <w:tab w:leader="none" w:pos="3640" w:val="left"/>
          <w:tab w:leader="none" w:pos="4020" w:val="left"/>
          <w:tab w:leader="none" w:pos="4720" w:val="left"/>
          <w:tab w:leader="none" w:pos="5040" w:val="left"/>
        </w:tabs>
        <w:rPr>
          <w:sz w:val="20"/>
          <w:szCs w:val="20"/>
          <w:color w:val="auto"/>
        </w:rPr>
      </w:pPr>
      <w:r>
        <w:rPr>
          <w:rFonts w:ascii="Times New Roman" w:cs="Times New Roman" w:eastAsia="Times New Roman" w:hAnsi="Times New Roman"/>
          <w:sz w:val="18"/>
          <w:szCs w:val="18"/>
          <w:color w:val="auto"/>
        </w:rPr>
        <w:t>elect</w:t>
        <w:tab/>
        <w:t>the</w:t>
        <w:tab/>
        <w:t>number</w:t>
        <w:tab/>
        <w:t>or</w:t>
      </w:r>
      <w:r>
        <w:rPr>
          <w:sz w:val="20"/>
          <w:szCs w:val="20"/>
          <w:color w:val="auto"/>
        </w:rPr>
        <w:tab/>
      </w:r>
      <w:r>
        <w:rPr>
          <w:rFonts w:ascii="Times New Roman" w:cs="Times New Roman" w:eastAsia="Times New Roman" w:hAnsi="Times New Roman"/>
          <w:sz w:val="17"/>
          <w:szCs w:val="17"/>
          <w:color w:val="auto"/>
        </w:rPr>
        <w:t>minimum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provided for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articles.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spacing w:after="0" w:line="185" w:lineRule="auto"/>
        <w:framePr w:w="360" w:h="160" w:wrap="auto" w:vAnchor="page" w:hAnchor="page" w:x="5760" w:y="1466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pacing w:after="0" w:line="185" w:lineRule="auto"/>
        <w:framePr w:w="1780" w:h="160" w:wrap="auto" w:vAnchor="page" w:hAnchor="page" w:x="4560" w:y="139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declare dividends;</w:t>
      </w:r>
    </w:p>
    <w:p>
      <w:pPr>
        <w:jc w:val="both"/>
        <w:spacing w:after="0" w:line="234" w:lineRule="auto"/>
        <w:framePr w:w="5480" w:h="808" w:wrap="auto" w:vAnchor="page" w:hAnchor="page" w:x="4560" w:y="54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OBCA, the directors of Under Delaware Law, the directors Bitfarms owe a statutory fiduciary of Stronghold owe a duty of care and duty to Bitfarms. The directors a duty of loyalty. The duty of care have a duty to manage, or supervise requires that directors act on an</w:t>
      </w:r>
    </w:p>
    <w:p>
      <w:pPr>
        <w:spacing w:after="0" w:line="218" w:lineRule="auto"/>
        <w:framePr w:w="5460" w:h="376" w:wrap="auto" w:vAnchor="page" w:hAnchor="page" w:x="4560" w:y="63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business informed basis after due and affairs of Bitfarms. In consideration of the relevant</w:t>
      </w:r>
    </w:p>
    <w:p>
      <w:pPr>
        <w:jc w:val="both"/>
        <w:spacing w:after="0" w:line="242" w:lineRule="auto"/>
        <w:framePr w:w="5480" w:h="1672" w:wrap="auto" w:vAnchor="page" w:hAnchor="page" w:x="4560" w:y="675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their powers and materials and appropriate discharging their duties, the deliberation. The duty of care also directors must: (i) act honestly and requires that directors exercise care in good faith with a view to the best in overseeing and investigating the interests of Bitfarms; and conduct of corporate employees. The (ii) exercise the care, diligence and duty of loyalty requires directors to skill that a reasonably prudent act in what they reasonably believe person would exercise in to be the best interests of the</w:t>
      </w:r>
    </w:p>
    <w:p>
      <w:pPr>
        <w:spacing w:after="0" w:line="185" w:lineRule="auto"/>
        <w:framePr w:w="2020" w:h="160" w:wrap="auto" w:vAnchor="page" w:hAnchor="page" w:x="45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circumstances.</w:t>
      </w:r>
    </w:p>
    <w:p>
      <w:pPr>
        <w:spacing w:after="0" w:line="185" w:lineRule="auto"/>
        <w:framePr w:w="2760" w:h="160" w:wrap="auto" w:vAnchor="page" w:hAnchor="page" w:x="72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stockholders</w:t>
      </w:r>
    </w:p>
    <w:p>
      <w:pPr>
        <w:jc w:val="both"/>
        <w:ind w:firstLine="2700"/>
        <w:spacing w:after="0" w:line="213" w:lineRule="auto"/>
        <w:framePr w:w="5480" w:h="1024" w:wrap="auto" w:vAnchor="page" w:hAnchor="page" w:x="4560" w:y="870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any conflict of interest. A </w:t>
      </w:r>
      <w:r>
        <w:rPr>
          <w:rFonts w:ascii="Times New Roman" w:cs="Times New Roman" w:eastAsia="Times New Roman" w:hAnsi="Times New Roman"/>
          <w:sz w:val="25"/>
          <w:szCs w:val="25"/>
          <w:color w:val="auto"/>
          <w:vertAlign w:val="superscript"/>
        </w:rPr>
        <w:t>Under the OBCA, the directors of</w:t>
      </w:r>
      <w:r>
        <w:rPr>
          <w:rFonts w:ascii="Times New Roman" w:cs="Times New Roman" w:eastAsia="Times New Roman" w:hAnsi="Times New Roman"/>
          <w:sz w:val="14"/>
          <w:szCs w:val="14"/>
          <w:color w:val="auto"/>
        </w:rPr>
        <w:t xml:space="preserve"> party challenging the propriety of a Bitfarms may delegate their duties </w:t>
      </w:r>
      <w:r>
        <w:rPr>
          <w:rFonts w:ascii="Times New Roman" w:cs="Times New Roman" w:eastAsia="Times New Roman" w:hAnsi="Times New Roman"/>
          <w:sz w:val="25"/>
          <w:szCs w:val="25"/>
          <w:color w:val="auto"/>
          <w:vertAlign w:val="subscript"/>
        </w:rPr>
        <w:t>decision of a board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to a managing director or</w:t>
      </w:r>
      <w:r>
        <w:rPr>
          <w:rFonts w:ascii="Times New Roman" w:cs="Times New Roman" w:eastAsia="Times New Roman" w:hAnsi="Times New Roman"/>
          <w:sz w:val="14"/>
          <w:szCs w:val="14"/>
          <w:color w:val="auto"/>
        </w:rPr>
        <w:t xml:space="preserve"> typically bears the burden of </w:t>
      </w:r>
      <w:r>
        <w:rPr>
          <w:rFonts w:ascii="Times New Roman" w:cs="Times New Roman" w:eastAsia="Times New Roman" w:hAnsi="Times New Roman"/>
          <w:sz w:val="25"/>
          <w:szCs w:val="25"/>
          <w:color w:val="auto"/>
          <w:vertAlign w:val="superscript"/>
        </w:rPr>
        <w:t>committee of directors, or to an</w:t>
      </w:r>
      <w:r>
        <w:rPr>
          <w:rFonts w:ascii="Times New Roman" w:cs="Times New Roman" w:eastAsia="Times New Roman" w:hAnsi="Times New Roman"/>
          <w:sz w:val="14"/>
          <w:szCs w:val="14"/>
          <w:color w:val="auto"/>
        </w:rPr>
        <w:t xml:space="preserve"> rebutting the applicability of the</w:t>
      </w:r>
    </w:p>
    <w:p>
      <w:pPr>
        <w:ind w:firstLine="2700"/>
        <w:spacing w:after="0" w:line="183" w:lineRule="auto"/>
        <w:framePr w:w="5480" w:h="457" w:wrap="auto" w:vAnchor="page" w:hAnchor="page" w:x="4560" w:y="970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officer of Bitfarms, provided that </w:t>
      </w:r>
      <w:r>
        <w:rPr>
          <w:rFonts w:ascii="Times New Roman" w:cs="Times New Roman" w:eastAsia="Times New Roman" w:hAnsi="Times New Roman"/>
          <w:sz w:val="26"/>
          <w:szCs w:val="26"/>
          <w:color w:val="auto"/>
          <w:vertAlign w:val="subscript"/>
        </w:rPr>
        <w:t>“business judgment rule”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the directors may not delegate the</w:t>
      </w:r>
      <w:r>
        <w:rPr>
          <w:rFonts w:ascii="Times New Roman" w:cs="Times New Roman" w:eastAsia="Times New Roman" w:hAnsi="Times New Roman"/>
          <w:sz w:val="15"/>
          <w:szCs w:val="15"/>
          <w:color w:val="auto"/>
        </w:rPr>
        <w:t xml:space="preserve"> presumption, which presumes that</w:t>
      </w:r>
    </w:p>
    <w:p>
      <w:pPr>
        <w:ind w:firstLine="2700"/>
        <w:spacing w:after="0" w:line="185" w:lineRule="auto"/>
        <w:framePr w:w="760" w:h="135" w:wrap="auto" w:vAnchor="page" w:hAnchor="page" w:x="4560" w:y="10157"/>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vertAlign w:val="superscript"/>
        </w:rPr>
        <w:t>power to:</w:t>
      </w:r>
    </w:p>
    <w:p>
      <w:pPr>
        <w:ind w:firstLine="2700"/>
        <w:spacing w:after="0" w:line="185" w:lineRule="auto"/>
        <w:framePr w:w="2760" w:h="160" w:wrap="auto" w:vAnchor="page" w:hAnchor="page" w:x="7260" w:y="102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acted in accordance with</w:t>
      </w:r>
    </w:p>
    <w:p>
      <w:pPr>
        <w:ind w:firstLine="2700"/>
        <w:spacing w:after="0" w:line="185" w:lineRule="auto"/>
        <w:framePr w:w="5480" w:h="444" w:wrap="auto" w:vAnchor="page" w:hAnchor="page" w:x="4560" w:y="1042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shareholders any question or </w:t>
      </w:r>
      <w:r>
        <w:rPr>
          <w:rFonts w:ascii="Times New Roman" w:cs="Times New Roman" w:eastAsia="Times New Roman" w:hAnsi="Times New Roman"/>
          <w:sz w:val="25"/>
          <w:szCs w:val="25"/>
          <w:color w:val="auto"/>
          <w:vertAlign w:val="superscript"/>
        </w:rPr>
        <w:t>the duties of care and loyalty.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matter requiring the approval</w:t>
      </w:r>
      <w:r>
        <w:rPr>
          <w:rFonts w:ascii="Times New Roman" w:cs="Times New Roman" w:eastAsia="Times New Roman" w:hAnsi="Times New Roman"/>
          <w:sz w:val="14"/>
          <w:szCs w:val="14"/>
          <w:color w:val="auto"/>
        </w:rPr>
        <w:t xml:space="preserve"> Notwithstanding the foregoing,</w:t>
      </w:r>
    </w:p>
    <w:p>
      <w:pPr>
        <w:ind w:firstLine="2700"/>
        <w:spacing w:after="0" w:line="218" w:lineRule="auto"/>
        <w:framePr w:w="1500" w:h="160" w:wrap="auto" w:vAnchor="page" w:hAnchor="page" w:x="4980" w:y="10928"/>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of the shareholders;</w:t>
      </w:r>
    </w:p>
    <w:p>
      <w:pPr>
        <w:ind w:firstLine="2700"/>
        <w:spacing w:after="0" w:line="218" w:lineRule="auto"/>
        <w:framePr w:w="2780" w:h="376" w:wrap="auto" w:vAnchor="page" w:hAnchor="page" w:x="7260" w:y="108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courts may subject directors’ conduct to enhanced</w:t>
      </w:r>
    </w:p>
    <w:p>
      <w:pPr>
        <w:jc w:val="both"/>
        <w:ind w:firstLine="2700"/>
        <w:spacing w:after="0" w:line="237" w:lineRule="auto"/>
        <w:framePr w:w="5480" w:h="1024" w:wrap="auto" w:vAnchor="page" w:hAnchor="page" w:x="4560" w:y="112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fill a vacancy among the scrutiny of, among other matters, directors or in the office of defensive actions taken in response auditor, or appoint or remove to a threat to corporate control and any of the chief executive approval of a transaction resulting in officers, however designated, a sale of control of the corporation.</w:t>
      </w:r>
    </w:p>
    <w:p>
      <w:pPr>
        <w:ind w:firstLine="2700"/>
        <w:spacing w:after="0" w:line="185" w:lineRule="auto"/>
        <w:framePr w:w="2260" w:h="160" w:wrap="auto" w:vAnchor="page" w:hAnchor="page" w:x="4980" w:y="123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w:t>
      </w:r>
    </w:p>
    <w:p>
      <w:pPr>
        <w:ind w:firstLine="2700"/>
        <w:spacing w:after="0" w:line="183" w:lineRule="auto"/>
        <w:framePr w:w="5060" w:h="457" w:wrap="auto" w:vAnchor="page" w:hAnchor="page" w:x="4980" w:y="1250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however designated, the chair </w:t>
      </w:r>
      <w:r>
        <w:rPr>
          <w:rFonts w:ascii="Times New Roman" w:cs="Times New Roman" w:eastAsia="Times New Roman" w:hAnsi="Times New Roman"/>
          <w:sz w:val="26"/>
          <w:szCs w:val="26"/>
          <w:color w:val="auto"/>
          <w:vertAlign w:val="superscript"/>
        </w:rPr>
        <w:t>Under Delaware Law, a member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bscript"/>
        </w:rPr>
        <w:t>or the president of the</w:t>
      </w:r>
      <w:r>
        <w:rPr>
          <w:rFonts w:ascii="Times New Roman" w:cs="Times New Roman" w:eastAsia="Times New Roman" w:hAnsi="Times New Roman"/>
          <w:sz w:val="15"/>
          <w:szCs w:val="15"/>
          <w:color w:val="auto"/>
        </w:rPr>
        <w:t xml:space="preserve"> the board of directors, or a member</w:t>
      </w:r>
    </w:p>
    <w:p>
      <w:pPr>
        <w:ind w:firstLine="2700"/>
        <w:spacing w:after="0" w:line="218" w:lineRule="auto"/>
        <w:framePr w:w="960" w:h="160" w:wrap="auto" w:vAnchor="page" w:hAnchor="page" w:x="4980" w:y="13021"/>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corporation;</w:t>
      </w:r>
    </w:p>
    <w:p>
      <w:pPr>
        <w:ind w:firstLine="2700"/>
        <w:spacing w:after="0" w:line="218" w:lineRule="auto"/>
        <w:framePr w:w="2780" w:h="376" w:wrap="auto" w:vAnchor="page" w:hAnchor="page" w:x="7260" w:y="1294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committee designated by the board of directors, must, in the</w:t>
      </w:r>
    </w:p>
    <w:p>
      <w:pPr>
        <w:jc w:val="right"/>
        <w:ind w:firstLine="2700"/>
        <w:spacing w:after="0" w:line="218" w:lineRule="auto"/>
        <w:framePr w:w="5480" w:h="808" w:wrap="auto" w:vAnchor="page" w:hAnchor="page" w:x="4560" w:y="1337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issue  securities  except  as performance  of  such  member’s authorized by the directors;   duties, be fully protected in relying in good faith upon the records of the corporation    and    upon    such</w:t>
      </w:r>
    </w:p>
    <w:p>
      <w:pPr>
        <w:ind w:firstLine="2700"/>
        <w:spacing w:after="0" w:line="196" w:lineRule="auto"/>
        <w:framePr w:w="1680" w:h="160" w:wrap="auto" w:vAnchor="page" w:hAnchor="page" w:x="7260" w:y="142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opinions,</w:t>
      </w: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Pursuant  to  Bitfarms’  by-laws,</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vacancies in the board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be filled for the remainder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term by a qualified individual by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a quorum of the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there is not a quorum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if a vacancy results from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  to  elect  the  number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required to be elected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meeting of shareholders,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then  in  office  shall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forthwith call a special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fill the vacancy and,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they fail to call a meeting or if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are no directors then in office,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meeting may be called by any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Citizenship and Residency of</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288290</wp:posOffset>
            </wp:positionH>
            <wp:positionV relativeFrom="paragraph">
              <wp:posOffset>5846445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580" w:right="459" w:hanging="426"/>
        <w:spacing w:after="0" w:line="261" w:lineRule="auto"/>
        <w:tabs>
          <w:tab w:leader="none" w:pos="35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reports or statements presented to the acquire shares issued by corporation by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3160" w:type="dxa"/>
        <w:tblCellMar>
          <w:top w:w="0" w:type="dxa"/>
          <w:left w:w="0" w:type="dxa"/>
          <w:bottom w:w="0" w:type="dxa"/>
          <w:right w:w="0" w:type="dxa"/>
        </w:tblCellMar>
      </w:tblPr>
      <w:tr>
        <w:trPr>
          <w:trHeight w:val="198"/>
        </w:trPr>
        <w:tc>
          <w:tcPr>
            <w:tcW w:w="114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Bitfarms;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corporation’s officers or employees,</w:t>
            </w:r>
          </w:p>
        </w:tc>
        <w:tc>
          <w:tcPr>
            <w:tcW w:w="0" w:type="dxa"/>
            <w:vAlign w:val="bottom"/>
          </w:tcPr>
          <w:p>
            <w:pPr>
              <w:spacing w:after="0"/>
              <w:rPr>
                <w:sz w:val="1"/>
                <w:szCs w:val="1"/>
                <w:color w:val="auto"/>
              </w:rPr>
            </w:pPr>
          </w:p>
        </w:tc>
      </w:tr>
      <w:tr>
        <w:trPr>
          <w:trHeight w:val="288"/>
        </w:trPr>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(vi)  pay  a  commission  to  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committees  of  the  board  of</w:t>
            </w:r>
          </w:p>
        </w:tc>
        <w:tc>
          <w:tcPr>
            <w:tcW w:w="0" w:type="dxa"/>
            <w:vAlign w:val="bottom"/>
          </w:tcPr>
          <w:p>
            <w:pPr>
              <w:spacing w:after="0"/>
              <w:rPr>
                <w:sz w:val="1"/>
                <w:szCs w:val="1"/>
                <w:color w:val="auto"/>
              </w:rPr>
            </w:pPr>
          </w:p>
        </w:tc>
      </w:tr>
      <w:tr>
        <w:trPr>
          <w:trHeight w:val="216"/>
        </w:trPr>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person in consideration of 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by any other person as</w:t>
            </w:r>
          </w:p>
        </w:tc>
        <w:tc>
          <w:tcPr>
            <w:tcW w:w="0" w:type="dxa"/>
            <w:vAlign w:val="bottom"/>
          </w:tcPr>
          <w:p>
            <w:pPr>
              <w:spacing w:after="0"/>
              <w:rPr>
                <w:sz w:val="1"/>
                <w:szCs w:val="1"/>
                <w:color w:val="auto"/>
              </w:rPr>
            </w:pPr>
          </w:p>
        </w:tc>
      </w:tr>
      <w:tr>
        <w:trPr>
          <w:trHeight w:val="144"/>
        </w:trPr>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person’s</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purchasing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to matters the member reasonably</w:t>
            </w:r>
          </w:p>
        </w:tc>
        <w:tc>
          <w:tcPr>
            <w:tcW w:w="0" w:type="dxa"/>
            <w:vAlign w:val="bottom"/>
          </w:tcPr>
          <w:p>
            <w:pPr>
              <w:spacing w:after="0"/>
              <w:rPr>
                <w:sz w:val="1"/>
                <w:szCs w:val="1"/>
                <w:color w:val="auto"/>
              </w:rPr>
            </w:pPr>
          </w:p>
        </w:tc>
      </w:tr>
      <w:tr>
        <w:trPr>
          <w:trHeight w:val="180"/>
        </w:trPr>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believes  are  within  such  other</w:t>
            </w: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agreeing</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 purchase shares</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professional   or   expert</w:t>
            </w:r>
          </w:p>
        </w:tc>
        <w:tc>
          <w:tcPr>
            <w:tcW w:w="0" w:type="dxa"/>
            <w:vAlign w:val="bottom"/>
          </w:tcPr>
          <w:p>
            <w:pPr>
              <w:spacing w:after="0"/>
              <w:rPr>
                <w:sz w:val="1"/>
                <w:szCs w:val="1"/>
                <w:color w:val="auto"/>
              </w:rPr>
            </w:pPr>
          </w:p>
        </w:tc>
      </w:tr>
      <w:tr>
        <w:trPr>
          <w:trHeight w:val="144"/>
        </w:trPr>
        <w:tc>
          <w:tcPr>
            <w:tcW w:w="2640" w:type="dxa"/>
            <w:vAlign w:val="bottom"/>
            <w:gridSpan w:val="5"/>
          </w:tcPr>
          <w:p>
            <w:pPr>
              <w:ind w:left="420"/>
              <w:spacing w:after="0" w:line="144" w:lineRule="exact"/>
              <w:rPr>
                <w:sz w:val="20"/>
                <w:szCs w:val="20"/>
                <w:color w:val="auto"/>
              </w:rPr>
            </w:pPr>
            <w:r>
              <w:rPr>
                <w:rFonts w:ascii="Times New Roman" w:cs="Times New Roman" w:eastAsia="Times New Roman" w:hAnsi="Times New Roman"/>
                <w:sz w:val="16"/>
                <w:szCs w:val="16"/>
                <w:color w:val="auto"/>
              </w:rPr>
              <w:t>of Bitfarms from Bitfarms or</w:t>
            </w: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competence  and  who  has  been</w:t>
            </w:r>
          </w:p>
        </w:tc>
        <w:tc>
          <w:tcPr>
            <w:tcW w:w="0" w:type="dxa"/>
            <w:vAlign w:val="bottom"/>
          </w:tcPr>
          <w:p>
            <w:pPr>
              <w:spacing w:after="0"/>
              <w:rPr>
                <w:sz w:val="1"/>
                <w:szCs w:val="1"/>
                <w:color w:val="auto"/>
              </w:rPr>
            </w:pPr>
          </w:p>
        </w:tc>
      </w:tr>
      <w:tr>
        <w:trPr>
          <w:trHeight w:val="180"/>
        </w:trPr>
        <w:tc>
          <w:tcPr>
            <w:tcW w:w="2640" w:type="dxa"/>
            <w:vAlign w:val="bottom"/>
            <w:gridSpan w:val="5"/>
          </w:tcPr>
          <w:p>
            <w:pPr>
              <w:ind w:left="420"/>
              <w:spacing w:after="0" w:line="181" w:lineRule="exact"/>
              <w:rPr>
                <w:sz w:val="20"/>
                <w:szCs w:val="20"/>
                <w:color w:val="auto"/>
              </w:rPr>
            </w:pPr>
            <w:r>
              <w:rPr>
                <w:rFonts w:ascii="Times New Roman" w:cs="Times New Roman" w:eastAsia="Times New Roman" w:hAnsi="Times New Roman"/>
                <w:sz w:val="18"/>
                <w:szCs w:val="18"/>
                <w:color w:val="auto"/>
              </w:rPr>
              <w:t>from  any  other  person,  or</w:t>
            </w: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procuring</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agreeing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selected with reasonable care by or</w:t>
            </w:r>
          </w:p>
        </w:tc>
        <w:tc>
          <w:tcPr>
            <w:tcW w:w="0" w:type="dxa"/>
            <w:vAlign w:val="bottom"/>
          </w:tcPr>
          <w:p>
            <w:pPr>
              <w:spacing w:after="0"/>
              <w:rPr>
                <w:sz w:val="1"/>
                <w:szCs w:val="1"/>
                <w:color w:val="auto"/>
              </w:rPr>
            </w:pPr>
          </w:p>
        </w:tc>
      </w:tr>
      <w:tr>
        <w:trPr>
          <w:trHeight w:val="252"/>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procure</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purchasers  for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behalf of the corporation.</w:t>
            </w:r>
          </w:p>
        </w:tc>
        <w:tc>
          <w:tcPr>
            <w:tcW w:w="0" w:type="dxa"/>
            <w:vAlign w:val="bottom"/>
          </w:tcPr>
          <w:p>
            <w:pPr>
              <w:spacing w:after="0"/>
              <w:rPr>
                <w:sz w:val="1"/>
                <w:szCs w:val="1"/>
                <w:color w:val="auto"/>
              </w:rPr>
            </w:pPr>
          </w:p>
        </w:tc>
      </w:tr>
      <w:tr>
        <w:trPr>
          <w:trHeight w:val="234"/>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except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20"/>
        <w:spacing w:after="0"/>
        <w:rPr>
          <w:sz w:val="20"/>
          <w:szCs w:val="20"/>
          <w:color w:val="auto"/>
        </w:rPr>
      </w:pPr>
      <w:r>
        <w:rPr>
          <w:rFonts w:ascii="Times New Roman" w:cs="Times New Roman" w:eastAsia="Times New Roman" w:hAnsi="Times New Roman"/>
          <w:sz w:val="18"/>
          <w:szCs w:val="18"/>
          <w:color w:val="auto"/>
        </w:rPr>
        <w:t>authorized by the directors;</w:t>
      </w:r>
    </w:p>
    <w:p>
      <w:pPr>
        <w:spacing w:after="0" w:line="99" w:lineRule="exact"/>
        <w:rPr>
          <w:sz w:val="20"/>
          <w:szCs w:val="20"/>
          <w:color w:val="auto"/>
        </w:rPr>
      </w:pPr>
    </w:p>
    <w:p>
      <w:pPr>
        <w:ind w:left="3580" w:right="3259" w:hanging="426"/>
        <w:spacing w:after="0" w:line="282" w:lineRule="auto"/>
        <w:tabs>
          <w:tab w:leader="none" w:pos="357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management proxy circular;</w:t>
      </w:r>
    </w:p>
    <w:p>
      <w:pPr>
        <w:spacing w:after="0" w:line="53"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69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takeover bid circular, directors’ circular or issuer bid circular;</w:t>
      </w:r>
    </w:p>
    <w:p>
      <w:pPr>
        <w:spacing w:after="0" w:line="67"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4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approveany financial statements of Bitfarms; or</w:t>
      </w:r>
    </w:p>
    <w:p>
      <w:pPr>
        <w:spacing w:after="0" w:line="53"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3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Conflicts of Interest of Directors  </w:t>
            </w:r>
            <w:r>
              <w:rPr>
                <w:rFonts w:ascii="Times New Roman" w:cs="Times New Roman" w:eastAsia="Times New Roman" w:hAnsi="Times New Roman"/>
                <w:sz w:val="18"/>
                <w:szCs w:val="18"/>
                <w:color w:val="auto"/>
              </w:rPr>
              <w:t>According</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Delaware Law, a contract or a</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9"/>
              </w:rPr>
              <w:t>applicable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business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of  a  corporation  must  exercise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and  a  director  or  an</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particular care with regard to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entity  in  which  a  director  has  a</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following: (i) directors must not act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financial or other interest is not void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with self-interest  or  collateral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voidable solely for that reason or</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improper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motives;</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solely because the director is present</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must  not</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appropriate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corporate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at or participates in the meeting of</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opportunities lest they be forced to</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that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disgorge profits or gains realized;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or solely</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and (iii) directors who vote for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because the director’s vote is counted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consent to a resolution authorizing,</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 that purpose, if: (i)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among other things, a payment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dividend or a purchase, redemption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or other acquisition of shares of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while the corporation 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and the board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insolvent are jointly and severally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directors in good faith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liable to restore to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by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amounts distributed or paid 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affirmative vote of a majority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not  otherwise  recovered  by  the</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disinterested directors,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even though</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A  director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less than a quorum; (ii)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is required to disclose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his or her interest with respect to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material contract or transaction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proposed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material</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vote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transaction, with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thereon,   and   the   contract   or</w:t>
            </w:r>
          </w:p>
        </w:tc>
      </w:tr>
      <w:tr>
        <w:trPr>
          <w:trHeight w:val="248"/>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 director who discloses such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 specifically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approved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conflict of interest will not vote 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good  faith  by  vote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resolution  to  approve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 or (iii)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contract or transaction, unless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transaction  is  fair  as  to  the</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contract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relates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primarily</w:t>
            </w:r>
          </w:p>
        </w:tc>
        <w:tc>
          <w:tcPr>
            <w:tcW w:w="3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authorized, approved or ratified by</w:t>
            </w:r>
          </w:p>
        </w:tc>
      </w:tr>
      <w:tr>
        <w:trPr>
          <w:trHeight w:val="204"/>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the  board</w:t>
            </w:r>
          </w:p>
        </w:tc>
        <w:tc>
          <w:tcPr>
            <w:tcW w:w="1140" w:type="dxa"/>
            <w:vAlign w:val="bottom"/>
            <w:gridSpan w:val="2"/>
          </w:tcPr>
          <w:p>
            <w:pPr>
              <w:ind w:left="140"/>
              <w:spacing w:after="0" w:line="204" w:lineRule="exact"/>
              <w:rPr>
                <w:sz w:val="20"/>
                <w:szCs w:val="20"/>
                <w:color w:val="auto"/>
              </w:rPr>
            </w:pPr>
            <w:r>
              <w:rPr>
                <w:rFonts w:ascii="Times New Roman" w:cs="Times New Roman" w:eastAsia="Times New Roman" w:hAnsi="Times New Roman"/>
                <w:sz w:val="18"/>
                <w:szCs w:val="18"/>
                <w:color w:val="auto"/>
              </w:rPr>
              <w:t>of  directors</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or  the</w:t>
            </w:r>
          </w:p>
        </w:tc>
      </w:tr>
    </w:tbl>
    <w:p>
      <w:pPr>
        <w:ind w:left="5860"/>
        <w:spacing w:after="0"/>
        <w:rPr>
          <w:sz w:val="20"/>
          <w:szCs w:val="20"/>
          <w:color w:val="auto"/>
        </w:rPr>
      </w:pPr>
      <w:r>
        <w:rPr>
          <w:rFonts w:ascii="Times New Roman" w:cs="Times New Roman" w:eastAsia="Times New Roman" w:hAnsi="Times New Roman"/>
          <w:sz w:val="18"/>
          <w:szCs w:val="18"/>
          <w:color w:val="auto"/>
        </w:rPr>
        <w:t>stockholders.</w:t>
      </w:r>
    </w:p>
    <w:p>
      <w:pPr>
        <w:sectPr>
          <w:pgSz w:w="11900" w:h="16838" w:orient="portrait"/>
          <w:cols w:equalWidth="0" w:num="1">
            <w:col w:w="9019"/>
          </w:cols>
          <w:pgMar w:left="1440" w:top="270"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her remuneration as a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3900" w:val="left"/>
          <w:tab w:leader="none" w:pos="4200" w:val="left"/>
          <w:tab w:leader="none" w:pos="4520" w:val="left"/>
          <w:tab w:leader="none" w:pos="5260" w:val="left"/>
          <w:tab w:leader="none" w:pos="5520" w:val="left"/>
        </w:tabs>
        <w:rPr>
          <w:sz w:val="20"/>
          <w:szCs w:val="20"/>
          <w:color w:val="auto"/>
        </w:rPr>
      </w:pPr>
      <w:r>
        <w:rPr>
          <w:rFonts w:ascii="Times New Roman" w:cs="Times New Roman" w:eastAsia="Times New Roman" w:hAnsi="Times New Roman"/>
          <w:sz w:val="18"/>
          <w:szCs w:val="18"/>
          <w:color w:val="auto"/>
        </w:rPr>
        <w:t>Bitfarms</w:t>
        <w:tab/>
        <w:t>or</w:t>
        <w:tab/>
        <w:t>an</w:t>
        <w:tab/>
        <w:t>affiliate,</w:t>
        <w:tab/>
        <w:t>is</w:t>
        <w:tab/>
        <w:t>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indemnity or insurance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or is with an affiliate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w:t>
      </w:r>
    </w:p>
    <w:p>
      <w:pPr>
        <w:spacing w:after="0" w:line="139" w:lineRule="exact"/>
        <w:rPr>
          <w:sz w:val="20"/>
          <w:szCs w:val="20"/>
          <w:color w:val="auto"/>
        </w:rPr>
      </w:pPr>
    </w:p>
    <w:p>
      <w:pPr>
        <w:ind w:left="3160"/>
        <w:spacing w:after="0"/>
        <w:tabs>
          <w:tab w:leader="none" w:pos="3800" w:val="left"/>
          <w:tab w:leader="none" w:pos="4600" w:val="left"/>
          <w:tab w:leader="none" w:pos="5200" w:val="left"/>
          <w:tab w:leader="none" w:pos="5660" w:val="left"/>
        </w:tabs>
        <w:rPr>
          <w:sz w:val="20"/>
          <w:szCs w:val="20"/>
          <w:color w:val="auto"/>
        </w:rPr>
      </w:pPr>
      <w:r>
        <w:rPr>
          <w:rFonts w:ascii="Times New Roman" w:cs="Times New Roman" w:eastAsia="Times New Roman" w:hAnsi="Times New Roman"/>
          <w:sz w:val="18"/>
          <w:szCs w:val="18"/>
          <w:color w:val="auto"/>
        </w:rPr>
        <w:t>Where</w:t>
        <w:tab/>
        <w:t>Bitfarms</w:t>
        <w:tab/>
        <w:t>enters</w:t>
        <w:tab/>
        <w:t>into</w:t>
        <w:tab/>
        <w:t>a</w:t>
      </w:r>
    </w:p>
    <w:p>
      <w:pPr>
        <w:spacing w:after="0" w:line="27" w:lineRule="exact"/>
        <w:rPr>
          <w:sz w:val="20"/>
          <w:szCs w:val="20"/>
          <w:color w:val="auto"/>
        </w:rPr>
      </w:pPr>
    </w:p>
    <w:p>
      <w:pPr>
        <w:ind w:left="3160"/>
        <w:spacing w:after="0"/>
        <w:tabs>
          <w:tab w:leader="none" w:pos="3880" w:val="left"/>
          <w:tab w:leader="none" w:pos="4620" w:val="left"/>
          <w:tab w:leader="none" w:pos="4940" w:val="left"/>
        </w:tabs>
        <w:rPr>
          <w:sz w:val="20"/>
          <w:szCs w:val="20"/>
          <w:color w:val="auto"/>
        </w:rPr>
      </w:pPr>
      <w:r>
        <w:rPr>
          <w:rFonts w:ascii="Times New Roman" w:cs="Times New Roman" w:eastAsia="Times New Roman" w:hAnsi="Times New Roman"/>
          <w:sz w:val="18"/>
          <w:szCs w:val="18"/>
          <w:color w:val="auto"/>
        </w:rPr>
        <w:t>material</w:t>
        <w:tab/>
        <w:t>contract</w:t>
        <w:tab/>
        <w:t>or</w:t>
      </w:r>
      <w:r>
        <w:rPr>
          <w:sz w:val="20"/>
          <w:szCs w:val="20"/>
          <w:color w:val="auto"/>
        </w:rPr>
        <w:tab/>
      </w:r>
      <w:r>
        <w:rPr>
          <w:rFonts w:ascii="Times New Roman" w:cs="Times New Roman" w:eastAsia="Times New Roman" w:hAnsi="Times New Roman"/>
          <w:sz w:val="17"/>
          <w:szCs w:val="17"/>
          <w:color w:val="auto"/>
        </w:rPr>
        <w:t>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a director of Bitfarms, or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another person or entity of which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of Bitfarms is a director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or in which a director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has a material interest, the</w:t>
      </w:r>
    </w:p>
    <w:p>
      <w:pPr>
        <w:spacing w:after="0" w:line="9" w:lineRule="exact"/>
        <w:rPr>
          <w:sz w:val="20"/>
          <w:szCs w:val="20"/>
          <w:color w:val="auto"/>
        </w:rPr>
      </w:pPr>
    </w:p>
    <w:p>
      <w:pPr>
        <w:ind w:left="3160"/>
        <w:spacing w:after="0"/>
        <w:tabs>
          <w:tab w:leader="none" w:pos="3960" w:val="left"/>
          <w:tab w:leader="none" w:pos="4380" w:val="left"/>
          <w:tab w:leader="none" w:pos="5120" w:val="left"/>
          <w:tab w:leader="none" w:pos="5500" w:val="left"/>
        </w:tabs>
        <w:rPr>
          <w:sz w:val="20"/>
          <w:szCs w:val="20"/>
          <w:color w:val="auto"/>
        </w:rPr>
      </w:pPr>
      <w:r>
        <w:rPr>
          <w:rFonts w:ascii="Times New Roman" w:cs="Times New Roman" w:eastAsia="Times New Roman" w:hAnsi="Times New Roman"/>
          <w:sz w:val="18"/>
          <w:szCs w:val="18"/>
          <w:color w:val="auto"/>
        </w:rPr>
        <w:t>director</w:t>
        <w:tab/>
        <w:t>or</w:t>
      </w:r>
      <w:r>
        <w:rPr>
          <w:sz w:val="20"/>
          <w:szCs w:val="20"/>
          <w:color w:val="auto"/>
        </w:rPr>
        <w:tab/>
      </w:r>
      <w:r>
        <w:rPr>
          <w:rFonts w:ascii="Times New Roman" w:cs="Times New Roman" w:eastAsia="Times New Roman" w:hAnsi="Times New Roman"/>
          <w:sz w:val="18"/>
          <w:szCs w:val="18"/>
          <w:color w:val="auto"/>
        </w:rPr>
        <w:t>officer</w:t>
      </w:r>
      <w:r>
        <w:rPr>
          <w:sz w:val="20"/>
          <w:szCs w:val="20"/>
          <w:color w:val="auto"/>
        </w:rPr>
        <w:tab/>
      </w:r>
      <w:r>
        <w:rPr>
          <w:rFonts w:ascii="Times New Roman" w:cs="Times New Roman" w:eastAsia="Times New Roman" w:hAnsi="Times New Roman"/>
          <w:sz w:val="18"/>
          <w:szCs w:val="18"/>
          <w:color w:val="auto"/>
        </w:rPr>
        <w:t>is</w:t>
      </w:r>
      <w:r>
        <w:rPr>
          <w:sz w:val="20"/>
          <w:szCs w:val="20"/>
          <w:color w:val="auto"/>
        </w:rPr>
        <w:tab/>
      </w:r>
      <w:r>
        <w:rPr>
          <w:rFonts w:ascii="Times New Roman" w:cs="Times New Roman" w:eastAsia="Times New Roman" w:hAnsi="Times New Roman"/>
          <w:sz w:val="17"/>
          <w:szCs w:val="17"/>
          <w:color w:val="auto"/>
        </w:rPr>
        <w:t>not</w:t>
      </w:r>
    </w:p>
    <w:p>
      <w:pPr>
        <w:spacing w:after="0" w:line="9" w:lineRule="exact"/>
        <w:rPr>
          <w:sz w:val="20"/>
          <w:szCs w:val="20"/>
          <w:color w:val="auto"/>
        </w:rPr>
      </w:pPr>
    </w:p>
    <w:p>
      <w:pPr>
        <w:ind w:left="3160"/>
        <w:spacing w:after="0"/>
        <w:tabs>
          <w:tab w:leader="none" w:pos="4160" w:val="left"/>
          <w:tab w:leader="none" w:pos="4460" w:val="left"/>
          <w:tab w:leader="none" w:pos="5260" w:val="left"/>
          <w:tab w:leader="none" w:pos="5560" w:val="left"/>
        </w:tabs>
        <w:rPr>
          <w:sz w:val="20"/>
          <w:szCs w:val="20"/>
          <w:color w:val="auto"/>
        </w:rPr>
      </w:pPr>
      <w:r>
        <w:rPr>
          <w:rFonts w:ascii="Times New Roman" w:cs="Times New Roman" w:eastAsia="Times New Roman" w:hAnsi="Times New Roman"/>
          <w:sz w:val="18"/>
          <w:szCs w:val="18"/>
          <w:color w:val="auto"/>
        </w:rPr>
        <w:t>accountable</w:t>
        <w:tab/>
        <w:t>to</w:t>
        <w:tab/>
        <w:t>Bitfarms</w:t>
        <w:tab/>
        <w:t>or</w:t>
        <w:tab/>
        <w:t>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shareholders if (i) disclosure of the</w:t>
      </w:r>
    </w:p>
    <w:p>
      <w:pPr>
        <w:spacing w:after="0" w:line="9" w:lineRule="exact"/>
        <w:rPr>
          <w:sz w:val="20"/>
          <w:szCs w:val="20"/>
          <w:color w:val="auto"/>
        </w:rPr>
      </w:pPr>
    </w:p>
    <w:p>
      <w:pPr>
        <w:ind w:left="3160"/>
        <w:spacing w:after="0"/>
        <w:tabs>
          <w:tab w:leader="none" w:pos="3800" w:val="left"/>
          <w:tab w:leader="none" w:pos="4220" w:val="left"/>
          <w:tab w:leader="none" w:pos="4760" w:val="left"/>
          <w:tab w:leader="none" w:pos="5040" w:val="left"/>
        </w:tabs>
        <w:rPr>
          <w:sz w:val="20"/>
          <w:szCs w:val="20"/>
          <w:color w:val="auto"/>
        </w:rPr>
      </w:pPr>
      <w:r>
        <w:rPr>
          <w:rFonts w:ascii="Times New Roman" w:cs="Times New Roman" w:eastAsia="Times New Roman" w:hAnsi="Times New Roman"/>
          <w:sz w:val="18"/>
          <w:szCs w:val="18"/>
          <w:color w:val="auto"/>
        </w:rPr>
        <w:t>interest</w:t>
        <w:tab/>
        <w:t>was</w:t>
        <w:tab/>
        <w:t>made</w:t>
        <w:tab/>
        <w:t>as</w:t>
        <w:tab/>
        <w:t>described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 (ii) the directors of Bitfarms</w:t>
      </w:r>
    </w:p>
    <w:p>
      <w:pPr>
        <w:spacing w:after="0" w:line="9" w:lineRule="exact"/>
        <w:rPr>
          <w:sz w:val="20"/>
          <w:szCs w:val="20"/>
          <w:color w:val="auto"/>
        </w:rPr>
      </w:pPr>
    </w:p>
    <w:p>
      <w:pPr>
        <w:ind w:left="3160"/>
        <w:spacing w:after="0"/>
        <w:tabs>
          <w:tab w:leader="none" w:pos="4140" w:val="left"/>
          <w:tab w:leader="none" w:pos="4680" w:val="left"/>
          <w:tab w:leader="none" w:pos="5580" w:val="left"/>
        </w:tabs>
        <w:rPr>
          <w:sz w:val="20"/>
          <w:szCs w:val="20"/>
          <w:color w:val="auto"/>
        </w:rPr>
      </w:pPr>
      <w:r>
        <w:rPr>
          <w:rFonts w:ascii="Times New Roman" w:cs="Times New Roman" w:eastAsia="Times New Roman" w:hAnsi="Times New Roman"/>
          <w:sz w:val="18"/>
          <w:szCs w:val="18"/>
          <w:color w:val="auto"/>
        </w:rPr>
        <w:t>approved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contract</w:t>
      </w:r>
      <w:r>
        <w:rPr>
          <w:sz w:val="20"/>
          <w:szCs w:val="20"/>
          <w:color w:val="auto"/>
        </w:rPr>
        <w:tab/>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and (iii) the contract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was reasonable and fair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Bitfarms when it was approved.</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Despite the foregoing, even if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interest is not disclosed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 described above, provided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was acting honestly and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good  faith,  such  director  is  not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accountable to Bitfarms or to its</w:t>
      </w:r>
    </w:p>
    <w:p>
      <w:pPr>
        <w:spacing w:after="0" w:line="9" w:lineRule="exact"/>
        <w:rPr>
          <w:sz w:val="20"/>
          <w:szCs w:val="20"/>
          <w:color w:val="auto"/>
        </w:rPr>
      </w:pPr>
    </w:p>
    <w:p>
      <w:pPr>
        <w:ind w:left="3160"/>
        <w:spacing w:after="0"/>
        <w:tabs>
          <w:tab w:leader="none" w:pos="4240" w:val="left"/>
          <w:tab w:leader="none" w:pos="4600" w:val="left"/>
          <w:tab w:leader="none" w:pos="5300" w:val="left"/>
          <w:tab w:leader="none" w:pos="5660" w:val="left"/>
        </w:tabs>
        <w:rPr>
          <w:sz w:val="20"/>
          <w:szCs w:val="20"/>
          <w:color w:val="auto"/>
        </w:rPr>
      </w:pPr>
      <w:r>
        <w:rPr>
          <w:rFonts w:ascii="Times New Roman" w:cs="Times New Roman" w:eastAsia="Times New Roman" w:hAnsi="Times New Roman"/>
          <w:sz w:val="18"/>
          <w:szCs w:val="18"/>
          <w:color w:val="auto"/>
        </w:rPr>
        <w:t>shareholders</w:t>
        <w:tab/>
        <w:t>in</w:t>
        <w:tab/>
        <w:t>respect</w:t>
        <w:tab/>
        <w:t>of</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or contract in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has  an  interest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both"/>
        <w:ind w:left="3580" w:right="3259" w:hanging="210"/>
        <w:spacing w:after="0" w:line="258" w:lineRule="auto"/>
        <w:tabs>
          <w:tab w:leader="none" w:pos="35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approved or confirmed by special resolution at a meeting of the Bitfarms shareholders;</w:t>
      </w:r>
    </w:p>
    <w:p>
      <w:pPr>
        <w:spacing w:after="0" w:line="115" w:lineRule="exact"/>
        <w:rPr>
          <w:rFonts w:ascii="Times New Roman" w:cs="Times New Roman" w:eastAsia="Times New Roman" w:hAnsi="Times New Roman"/>
          <w:sz w:val="18"/>
          <w:szCs w:val="18"/>
          <w:color w:val="auto"/>
        </w:rPr>
      </w:pPr>
    </w:p>
    <w:p>
      <w:pPr>
        <w:jc w:val="both"/>
        <w:ind w:left="3580" w:right="3259" w:hanging="210"/>
        <w:spacing w:after="0" w:line="255" w:lineRule="auto"/>
        <w:tabs>
          <w:tab w:leader="none" w:pos="35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interest was made to the Bitfarms shareholders in a manner sufficient to indicate its nature before the contract or transaction was approved or confirmed; and</w:t>
      </w:r>
    </w:p>
    <w:p>
      <w:pPr>
        <w:spacing w:after="0" w:line="107" w:lineRule="exact"/>
        <w:rPr>
          <w:rFonts w:ascii="Times New Roman" w:cs="Times New Roman" w:eastAsia="Times New Roman" w:hAnsi="Times New Roman"/>
          <w:sz w:val="18"/>
          <w:szCs w:val="18"/>
          <w:color w:val="auto"/>
        </w:rPr>
      </w:pPr>
    </w:p>
    <w:p>
      <w:pPr>
        <w:jc w:val="both"/>
        <w:ind w:left="3580" w:right="3259" w:hanging="210"/>
        <w:spacing w:after="0" w:line="261" w:lineRule="auto"/>
        <w:tabs>
          <w:tab w:leader="none" w:pos="35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reasonable and fair to Bitfarms when it was approved or confirmed.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directors of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required to certify compliance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Bitfarms’ Code of Business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 on an annual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 Disclosure of</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94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6"/>
                <w:szCs w:val="16"/>
                <w:color w:val="auto"/>
              </w:rPr>
            </w:pPr>
          </w:p>
        </w:tc>
        <w:tc>
          <w:tcPr>
            <w:tcW w:w="4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99"/>
              </w:rPr>
              <w:t>are</w:t>
            </w:r>
          </w:p>
        </w:tc>
        <w:tc>
          <w:tcPr>
            <w:tcW w:w="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not</w:t>
            </w:r>
          </w:p>
        </w:tc>
        <w:tc>
          <w:tcPr>
            <w:tcW w:w="100" w:type="dxa"/>
            <w:vAlign w:val="bottom"/>
            <w:vMerge w:val="continue"/>
          </w:tcPr>
          <w:p>
            <w:pPr>
              <w:spacing w:after="0"/>
              <w:rPr>
                <w:sz w:val="16"/>
                <w:szCs w:val="16"/>
                <w:color w:val="auto"/>
              </w:rPr>
            </w:pPr>
          </w:p>
        </w:tc>
        <w:tc>
          <w:tcPr>
            <w:tcW w:w="27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Neither  Delaware  Law  nor  the</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 in Shares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to</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disclose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interests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 shares of Bitfarms.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impose an obligation with respect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pursuant to applicable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disclosure by stockholders of their</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Stronghold</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w:t>
            </w:r>
          </w:p>
        </w:tc>
        <w:tc>
          <w:tcPr>
            <w:tcW w:w="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laws,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except   as   part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shareholder is required to</w:t>
            </w: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disclose their interest in 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or stockholder proposals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where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made at an annual meeting.</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holdings equal or exceed 10% of</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voting rights attached to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Stronghold’s by-laws, for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board of directors may fix a record</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 of determining 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date for the purpose of determining</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notice of or to vote at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entitled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to</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receive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of  stockholders,  or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payment of a dividend or entitled to</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adjournment thereof,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participate</w:t>
            </w:r>
          </w:p>
        </w:tc>
        <w:tc>
          <w:tcPr>
            <w:tcW w:w="2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liquidation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express consent to corporate 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distribution  or  for  any  other</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writing  without  a  meeting,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purpose, other than to establish 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receive payment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right to receive notice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or  other  distribution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or to vote at a meeting, which</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allotment of any rights,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must be not more than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any rights in respect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50 days before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 conversion or exchange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particular action is to be taken. If</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or for the purpose of any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  record  date  is  fixed  by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lawful action,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board  of  directors,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fix, in advance, a date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will be at the close of</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record</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date</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determination of stockholders, which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pass  the  resolution  in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shall not be more than 60 days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respect of the applicable action.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nor less than 10 days before the date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Under   Bitfarms’   by-laws,   the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of  such</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meeting,  nor</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60 days prior to any other action.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Bitfarms board of directors may fix</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34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for the purpose of If the board of directors does not fix determining shareholders entitled to a record date for any meeting of the receive notice of and vote at a stockholders, the record date for meeting of shareholders, which determining stockholders entitled to record date must be no fewer than notice of or to vote at such meeting 21 days and not more than 50 days shall be at the close of business on before the date of the meeting. the day next preceding the day on</w:t>
      </w:r>
    </w:p>
    <w:tbl>
      <w:tblPr>
        <w:tblLayout w:type="fixed"/>
        <w:tblInd w:w="3160" w:type="dxa"/>
        <w:tblCellMar>
          <w:top w:w="0" w:type="dxa"/>
          <w:left w:w="0" w:type="dxa"/>
          <w:bottom w:w="0" w:type="dxa"/>
          <w:right w:w="0" w:type="dxa"/>
        </w:tblCellMar>
      </w:tblPr>
      <w:tr>
        <w:trPr>
          <w:trHeight w:val="199"/>
        </w:trPr>
        <w:tc>
          <w:tcPr>
            <w:tcW w:w="1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However,</w:t>
            </w:r>
          </w:p>
        </w:tc>
        <w:tc>
          <w:tcPr>
            <w:tcW w:w="40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notwithstanding</w:t>
            </w:r>
          </w:p>
        </w:tc>
        <w:tc>
          <w:tcPr>
            <w:tcW w:w="2760" w:type="dxa"/>
            <w:vAlign w:val="bottom"/>
            <w:gridSpan w:val="5"/>
          </w:tcPr>
          <w:p>
            <w:pPr>
              <w:ind w:left="60"/>
              <w:spacing w:after="0" w:line="199" w:lineRule="exact"/>
              <w:rPr>
                <w:sz w:val="20"/>
                <w:szCs w:val="20"/>
                <w:color w:val="auto"/>
              </w:rPr>
            </w:pPr>
            <w:r>
              <w:rPr>
                <w:rFonts w:ascii="Times New Roman" w:cs="Times New Roman" w:eastAsia="Times New Roman" w:hAnsi="Times New Roman"/>
                <w:sz w:val="18"/>
                <w:szCs w:val="18"/>
                <w:color w:val="auto"/>
              </w:rPr>
              <w:t>which  notice  is  given,  or,  if  in</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by-laws, pursuant to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Stronghold’s  by-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OBCA  and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applicable  Canadian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laws, notice is waived, at the close of</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laws,  the  record  date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business on the day next preceding</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must be no fewer than 30 days and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the day on which the meeting is held.</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more than 60 days before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If, in accordance with Stronghold’s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the meeting. If no record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by-laws, corporate action without a</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is fixed by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is  to  be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directors, the record date for the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taken,</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determination</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of</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determining stockholders entitled to</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receive notice of or vote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express consent to such corporate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meeting of shareholders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in  writing,  when  no  prior</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the close of business on the day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by the board of directors is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immediately preceding the day 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necessary, shall be the day on which</w:t>
            </w:r>
          </w:p>
        </w:tc>
      </w:tr>
      <w:tr>
        <w:trPr>
          <w:trHeight w:val="23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the notice is given.</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42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written</w:t>
            </w: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right="479"/>
        <w:spacing w:after="0" w:line="242" w:lineRule="auto"/>
        <w:rPr>
          <w:sz w:val="20"/>
          <w:szCs w:val="20"/>
          <w:color w:val="auto"/>
        </w:rPr>
      </w:pPr>
      <w:r>
        <w:rPr>
          <w:rFonts w:ascii="Times New Roman" w:cs="Times New Roman" w:eastAsia="Times New Roman" w:hAnsi="Times New Roman"/>
          <w:sz w:val="18"/>
          <w:szCs w:val="18"/>
          <w:color w:val="auto"/>
        </w:rPr>
        <w:t>If a record date is fixed, unless consent is expressed. The record date notice of the record date is waived for determining stockholders for any in writing by every holder of a other purpose shall be at the close of share of the class or series affected, business on the day on which the notice thereof will be given, not board of directors adopts the less than seven days before the date resolution relating thereto. so fixed, (i) by advertisement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-923925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jc w:val="both"/>
        <w:ind w:left="3160" w:right="459"/>
        <w:spacing w:after="0" w:line="191" w:lineRule="auto"/>
        <w:rPr>
          <w:sz w:val="20"/>
          <w:szCs w:val="20"/>
          <w:color w:val="auto"/>
        </w:rPr>
      </w:pPr>
      <w:r>
        <w:rPr>
          <w:rFonts w:ascii="Times New Roman" w:cs="Times New Roman" w:eastAsia="Times New Roman" w:hAnsi="Times New Roman"/>
          <w:sz w:val="15"/>
          <w:szCs w:val="15"/>
          <w:color w:val="auto"/>
        </w:rPr>
        <w:t xml:space="preserve">newspaper published or distributed </w:t>
      </w:r>
      <w:r>
        <w:rPr>
          <w:rFonts w:ascii="Times New Roman" w:cs="Times New Roman" w:eastAsia="Times New Roman" w:hAnsi="Times New Roman"/>
          <w:sz w:val="28"/>
          <w:szCs w:val="28"/>
          <w:color w:val="auto"/>
          <w:vertAlign w:val="superscript"/>
        </w:rPr>
        <w:t>A determination of stockholders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in the place where Bitfarms has its</w:t>
      </w:r>
      <w:r>
        <w:rPr>
          <w:rFonts w:ascii="Times New Roman" w:cs="Times New Roman" w:eastAsia="Times New Roman" w:hAnsi="Times New Roman"/>
          <w:sz w:val="15"/>
          <w:szCs w:val="15"/>
          <w:color w:val="auto"/>
        </w:rPr>
        <w:t xml:space="preserve"> record entitled to notice of or to vote registered office and in each place </w:t>
      </w:r>
      <w:r>
        <w:rPr>
          <w:rFonts w:ascii="Times New Roman" w:cs="Times New Roman" w:eastAsia="Times New Roman" w:hAnsi="Times New Roman"/>
          <w:sz w:val="28"/>
          <w:szCs w:val="28"/>
          <w:color w:val="auto"/>
          <w:vertAlign w:val="superscript"/>
        </w:rPr>
        <w:t>at a meeting of stockholders shall</w:t>
      </w:r>
      <w:r>
        <w:rPr>
          <w:rFonts w:ascii="Times New Roman" w:cs="Times New Roman" w:eastAsia="Times New Roman" w:hAnsi="Times New Roman"/>
          <w:sz w:val="15"/>
          <w:szCs w:val="15"/>
          <w:color w:val="auto"/>
        </w:rPr>
        <w:t xml:space="preserve"> in Canada where it has a transfer </w:t>
      </w:r>
      <w:r>
        <w:rPr>
          <w:rFonts w:ascii="Times New Roman" w:cs="Times New Roman" w:eastAsia="Times New Roman" w:hAnsi="Times New Roman"/>
          <w:sz w:val="28"/>
          <w:szCs w:val="28"/>
          <w:color w:val="auto"/>
          <w:vertAlign w:val="superscript"/>
        </w:rPr>
        <w:t>apply to any adjournment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agent or where a transfer of its</w:t>
      </w:r>
      <w:r>
        <w:rPr>
          <w:rFonts w:ascii="Times New Roman" w:cs="Times New Roman" w:eastAsia="Times New Roman" w:hAnsi="Times New Roman"/>
          <w:sz w:val="15"/>
          <w:szCs w:val="15"/>
          <w:color w:val="auto"/>
        </w:rPr>
        <w:t xml:space="preserve"> meeting; provided, however, that the shares may be recorded; and (ii) by </w:t>
      </w:r>
      <w:r>
        <w:rPr>
          <w:rFonts w:ascii="Times New Roman" w:cs="Times New Roman" w:eastAsia="Times New Roman" w:hAnsi="Times New Roman"/>
          <w:sz w:val="28"/>
          <w:szCs w:val="28"/>
          <w:color w:val="auto"/>
          <w:vertAlign w:val="superscript"/>
        </w:rPr>
        <w:t>board of directors may fix a new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written notice to each stock</w:t>
      </w:r>
      <w:r>
        <w:rPr>
          <w:rFonts w:ascii="Times New Roman" w:cs="Times New Roman" w:eastAsia="Times New Roman" w:hAnsi="Times New Roman"/>
          <w:sz w:val="15"/>
          <w:szCs w:val="15"/>
          <w:color w:val="auto"/>
        </w:rPr>
        <w:t xml:space="preserve"> record date for the adjourned exchange in Canada on which the </w:t>
      </w:r>
      <w:r>
        <w:rPr>
          <w:rFonts w:ascii="Times New Roman" w:cs="Times New Roman" w:eastAsia="Times New Roman" w:hAnsi="Times New Roman"/>
          <w:sz w:val="28"/>
          <w:szCs w:val="28"/>
          <w:color w:val="auto"/>
          <w:vertAlign w:val="superscript"/>
        </w:rPr>
        <w:t>meeting.</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are listed for</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trading,  the  depositaries  and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Canadian securities regulators.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Annual Meetings of Shareholders  </w:t>
            </w:r>
            <w:r>
              <w:rPr>
                <w:rFonts w:ascii="Times New Roman" w:cs="Times New Roman" w:eastAsia="Times New Roman" w:hAnsi="Times New Roman"/>
                <w:sz w:val="18"/>
                <w:szCs w:val="18"/>
                <w:color w:val="auto"/>
              </w:rPr>
              <w:t>Under   Bitfarms’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by-laws,</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an  annual</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board of directors must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of stockholders is required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call   an   annual   meeting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and for</w:t>
            </w:r>
          </w:p>
        </w:tc>
        <w:tc>
          <w:tcPr>
            <w:tcW w:w="0" w:type="dxa"/>
            <w:vAlign w:val="bottom"/>
          </w:tcPr>
          <w:p>
            <w:pPr>
              <w:spacing w:after="0"/>
              <w:rPr>
                <w:sz w:val="1"/>
                <w:szCs w:val="1"/>
                <w:color w:val="auto"/>
              </w:rPr>
            </w:pPr>
          </w:p>
        </w:tc>
      </w:tr>
      <w:tr>
        <w:trPr>
          <w:trHeight w:val="216"/>
        </w:trPr>
        <w:tc>
          <w:tcPr>
            <w:tcW w:w="3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other proper business as may be</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15 months after holding the last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conducted  thereat.  The  Delaware</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preceding annual meeting.</w:t>
            </w:r>
          </w:p>
        </w:tc>
        <w:tc>
          <w:tcPr>
            <w:tcW w:w="42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Court  of  Chancery  may  order  a</w:t>
            </w:r>
          </w:p>
        </w:tc>
        <w:tc>
          <w:tcPr>
            <w:tcW w:w="0" w:type="dxa"/>
            <w:vAlign w:val="bottom"/>
          </w:tcPr>
          <w:p>
            <w:pPr>
              <w:spacing w:after="0"/>
              <w:rPr>
                <w:sz w:val="1"/>
                <w:szCs w:val="1"/>
                <w:color w:val="auto"/>
              </w:rPr>
            </w:pPr>
          </w:p>
        </w:tc>
      </w:tr>
      <w:tr>
        <w:trPr>
          <w:trHeight w:val="216"/>
        </w:trPr>
        <w:tc>
          <w:tcPr>
            <w:tcW w:w="5340" w:type="dxa"/>
            <w:vAlign w:val="bottom"/>
            <w:gridSpan w:val="4"/>
            <w:vMerge w:val="restart"/>
          </w:tcPr>
          <w:p>
            <w:pPr>
              <w:ind w:left="2700"/>
              <w:spacing w:after="0"/>
              <w:rPr>
                <w:sz w:val="20"/>
                <w:szCs w:val="20"/>
                <w:color w:val="auto"/>
              </w:rPr>
            </w:pPr>
            <w:r>
              <w:rPr>
                <w:rFonts w:ascii="Times New Roman" w:cs="Times New Roman" w:eastAsia="Times New Roman" w:hAnsi="Times New Roman"/>
                <w:sz w:val="18"/>
                <w:szCs w:val="18"/>
                <w:color w:val="auto"/>
              </w:rPr>
              <w:t>Pursuant   to   the   OBCA   and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to  hold  an  annual</w:t>
            </w:r>
          </w:p>
        </w:tc>
        <w:tc>
          <w:tcPr>
            <w:tcW w:w="0" w:type="dxa"/>
            <w:vAlign w:val="bottom"/>
          </w:tcPr>
          <w:p>
            <w:pPr>
              <w:spacing w:after="0"/>
              <w:rPr>
                <w:sz w:val="1"/>
                <w:szCs w:val="1"/>
                <w:color w:val="auto"/>
              </w:rPr>
            </w:pPr>
          </w:p>
        </w:tc>
      </w:tr>
      <w:tr>
        <w:trPr>
          <w:trHeight w:val="180"/>
        </w:trPr>
        <w:tc>
          <w:tcPr>
            <w:tcW w:w="5340" w:type="dxa"/>
            <w:vAlign w:val="bottom"/>
            <w:gridSpan w:val="4"/>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meeting if a corporation has failed to</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by-laws,  meetings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an annual meeting for a period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shareholders will be held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13 months after its last annual</w:t>
            </w:r>
          </w:p>
        </w:tc>
        <w:tc>
          <w:tcPr>
            <w:tcW w:w="0" w:type="dxa"/>
            <w:vAlign w:val="bottom"/>
          </w:tcPr>
          <w:p>
            <w:pPr>
              <w:spacing w:after="0"/>
              <w:rPr>
                <w:sz w:val="1"/>
                <w:szCs w:val="1"/>
                <w:color w:val="auto"/>
              </w:rPr>
            </w:pPr>
          </w:p>
        </w:tc>
      </w:tr>
      <w:tr>
        <w:trPr>
          <w:trHeight w:val="191"/>
        </w:trPr>
        <w:tc>
          <w:tcPr>
            <w:tcW w:w="5340" w:type="dxa"/>
            <w:vAlign w:val="bottom"/>
            <w:gridSpan w:val="4"/>
          </w:tcPr>
          <w:p>
            <w:pPr>
              <w:ind w:left="2700"/>
              <w:spacing w:after="0" w:line="191" w:lineRule="exact"/>
              <w:rPr>
                <w:sz w:val="20"/>
                <w:szCs w:val="20"/>
                <w:color w:val="auto"/>
              </w:rPr>
            </w:pPr>
            <w:r>
              <w:rPr>
                <w:rFonts w:ascii="Times New Roman" w:cs="Times New Roman" w:eastAsia="Times New Roman" w:hAnsi="Times New Roman"/>
                <w:sz w:val="18"/>
                <w:szCs w:val="18"/>
                <w:color w:val="auto"/>
              </w:rPr>
              <w:t>at such place in or outside Ontario</w:t>
            </w:r>
          </w:p>
        </w:tc>
        <w:tc>
          <w:tcPr>
            <w:tcW w:w="27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as the board determines or, in the</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absence of such a determination, 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registered office.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 an annual meeting, shareholders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will receive the financial statements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and the auditor’s report,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 directors of Bitfarms, appoint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auditor and transact such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other business as may be 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the  meeting.  For</w:t>
      </w:r>
    </w:p>
    <w:p>
      <w:pPr>
        <w:spacing w:after="0" w:line="9" w:lineRule="exact"/>
        <w:rPr>
          <w:sz w:val="20"/>
          <w:szCs w:val="20"/>
          <w:color w:val="auto"/>
        </w:rPr>
      </w:pPr>
    </w:p>
    <w:p>
      <w:pPr>
        <w:ind w:left="3160"/>
        <w:spacing w:after="0"/>
        <w:tabs>
          <w:tab w:leader="none" w:pos="3780" w:val="left"/>
          <w:tab w:leader="none" w:pos="4520" w:val="left"/>
          <w:tab w:leader="none" w:pos="4820" w:val="left"/>
          <w:tab w:leader="none" w:pos="5120" w:val="left"/>
        </w:tabs>
        <w:rPr>
          <w:sz w:val="20"/>
          <w:szCs w:val="20"/>
          <w:color w:val="auto"/>
        </w:rPr>
      </w:pPr>
      <w:r>
        <w:rPr>
          <w:rFonts w:ascii="Times New Roman" w:cs="Times New Roman" w:eastAsia="Times New Roman" w:hAnsi="Times New Roman"/>
          <w:sz w:val="18"/>
          <w:szCs w:val="18"/>
          <w:color w:val="auto"/>
        </w:rPr>
        <w:t>special</w:t>
        <w:tab/>
        <w:t>business</w:t>
        <w:tab/>
        <w:t>to</w:t>
        <w:tab/>
        <w:t>be</w:t>
        <w:tab/>
        <w:t>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a meeting, it must</w:t>
      </w:r>
    </w:p>
    <w:p>
      <w:pPr>
        <w:spacing w:after="0" w:line="9" w:lineRule="exact"/>
        <w:rPr>
          <w:sz w:val="20"/>
          <w:szCs w:val="20"/>
          <w:color w:val="auto"/>
        </w:rPr>
      </w:pPr>
    </w:p>
    <w:p>
      <w:pPr>
        <w:ind w:left="3160"/>
        <w:spacing w:after="0"/>
        <w:tabs>
          <w:tab w:leader="none" w:pos="3480" w:val="left"/>
          <w:tab w:leader="none" w:pos="4280" w:val="left"/>
          <w:tab w:leader="none" w:pos="4600" w:val="left"/>
          <w:tab w:leader="none" w:pos="4980" w:val="left"/>
          <w:tab w:leader="none" w:pos="5580" w:val="left"/>
        </w:tabs>
        <w:rPr>
          <w:sz w:val="20"/>
          <w:szCs w:val="20"/>
          <w:color w:val="auto"/>
        </w:rPr>
      </w:pPr>
      <w:r>
        <w:rPr>
          <w:rFonts w:ascii="Times New Roman" w:cs="Times New Roman" w:eastAsia="Times New Roman" w:hAnsi="Times New Roman"/>
          <w:sz w:val="18"/>
          <w:szCs w:val="18"/>
          <w:color w:val="auto"/>
        </w:rPr>
        <w:t>be</w:t>
        <w:tab/>
        <w:t>specified</w:t>
        <w:tab/>
        <w:t>in</w:t>
        <w:tab/>
        <w:t>the</w:t>
        <w:tab/>
        <w:t>notice</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meeting and include (i) the nature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that business in sufficient detail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permit the shareholder to form a</w:t>
      </w:r>
    </w:p>
    <w:p>
      <w:pPr>
        <w:spacing w:after="0" w:line="9" w:lineRule="exact"/>
        <w:rPr>
          <w:sz w:val="20"/>
          <w:szCs w:val="20"/>
          <w:color w:val="auto"/>
        </w:rPr>
      </w:pPr>
    </w:p>
    <w:p>
      <w:pPr>
        <w:ind w:left="3160"/>
        <w:spacing w:after="0"/>
        <w:tabs>
          <w:tab w:leader="none" w:pos="3920" w:val="left"/>
          <w:tab w:leader="none" w:pos="4740" w:val="left"/>
          <w:tab w:leader="none" w:pos="5480" w:val="left"/>
        </w:tabs>
        <w:rPr>
          <w:sz w:val="20"/>
          <w:szCs w:val="20"/>
          <w:color w:val="auto"/>
        </w:rPr>
      </w:pPr>
      <w:r>
        <w:rPr>
          <w:rFonts w:ascii="Times New Roman" w:cs="Times New Roman" w:eastAsia="Times New Roman" w:hAnsi="Times New Roman"/>
          <w:sz w:val="18"/>
          <w:szCs w:val="18"/>
          <w:color w:val="auto"/>
        </w:rPr>
        <w:t>reasoned</w:t>
        <w:tab/>
        <w:t>judgment</w:t>
        <w:tab/>
        <w:t>thereon;</w:t>
        <w:tab/>
        <w:t>and</w:t>
      </w:r>
    </w:p>
    <w:p>
      <w:pPr>
        <w:spacing w:after="0" w:line="9" w:lineRule="exact"/>
        <w:rPr>
          <w:sz w:val="20"/>
          <w:szCs w:val="20"/>
          <w:color w:val="auto"/>
        </w:rPr>
      </w:pPr>
    </w:p>
    <w:p>
      <w:pPr>
        <w:jc w:val="both"/>
        <w:ind w:left="3160" w:right="3259" w:hanging="6"/>
        <w:spacing w:after="0" w:line="255" w:lineRule="auto"/>
        <w:tabs>
          <w:tab w:leader="none" w:pos="357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6"/>
              </w:rPr>
              <w:t>Stronghold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7"/>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 Nominations and</w:t>
            </w:r>
          </w:p>
        </w:tc>
        <w:tc>
          <w:tcPr>
            <w:tcW w:w="100" w:type="dxa"/>
            <w:vAlign w:val="bottom"/>
            <w:vMerge w:val="continue"/>
          </w:tcPr>
          <w:p>
            <w:pPr>
              <w:spacing w:after="0"/>
              <w:rPr>
                <w:sz w:val="16"/>
                <w:szCs w:val="16"/>
                <w:color w:val="auto"/>
              </w:rPr>
            </w:pPr>
          </w:p>
        </w:tc>
        <w:tc>
          <w:tcPr>
            <w:tcW w:w="6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8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by-laws,</w:t>
            </w:r>
          </w:p>
        </w:tc>
        <w:tc>
          <w:tcPr>
            <w:tcW w:w="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an</w:t>
            </w:r>
          </w:p>
        </w:tc>
        <w:tc>
          <w:tcPr>
            <w:tcW w:w="100" w:type="dxa"/>
            <w:vAlign w:val="bottom"/>
            <w:vMerge w:val="continue"/>
          </w:tcPr>
          <w:p>
            <w:pPr>
              <w:spacing w:after="0"/>
              <w:rPr>
                <w:sz w:val="16"/>
                <w:szCs w:val="16"/>
                <w:color w:val="auto"/>
              </w:rPr>
            </w:pPr>
          </w:p>
        </w:tc>
        <w:tc>
          <w:tcPr>
            <w:tcW w:w="2700" w:type="dxa"/>
            <w:vAlign w:val="bottom"/>
            <w:gridSpan w:val="7"/>
          </w:tcPr>
          <w:p>
            <w:pPr>
              <w:jc w:val="right"/>
              <w:spacing w:after="0" w:line="188" w:lineRule="exact"/>
              <w:rPr>
                <w:sz w:val="20"/>
                <w:szCs w:val="20"/>
                <w:color w:val="auto"/>
              </w:rPr>
            </w:pPr>
            <w:r>
              <w:rPr>
                <w:rFonts w:ascii="Times New Roman" w:cs="Times New Roman" w:eastAsia="Times New Roman" w:hAnsi="Times New Roman"/>
                <w:sz w:val="18"/>
                <w:szCs w:val="18"/>
                <w:color w:val="auto"/>
              </w:rPr>
              <w:t>Under  the  Stronghold  by-laws,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Proposals/Proxy Access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Bitfarms</w:t>
            </w:r>
          </w:p>
        </w:tc>
        <w:tc>
          <w:tcPr>
            <w:tcW w:w="20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shareholder</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stockholder  wishing</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wishing to nominate a director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nominate a director for election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election to the Bitfarms board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is  required  to  provide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must  provide  written  notice,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notice to Bitfarms, in proper form,</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proper form, within the following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following time periods: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periods: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meeting (including an 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an annual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   special</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meeting)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1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earlier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Bitfarms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not</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less than 30 nor more than</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65 days prior to the date of</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meeting;</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provided,</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however, that in the event that</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preceding</w:t>
            </w:r>
          </w:p>
        </w:tc>
        <w:tc>
          <w:tcPr>
            <w:tcW w:w="28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annual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meeting is to be held on a</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meeting</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9"/>
              </w:rPr>
              <w:t>of</w:t>
            </w:r>
          </w:p>
        </w:tc>
        <w:tc>
          <w:tcPr>
            <w:tcW w:w="2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date that is less than 50 days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provided, however, that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after the date on which the</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to the following sentence,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first public announcement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event that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date of the meeting was</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annual</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is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scheduled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w:t>
            </w:r>
          </w:p>
        </w:tc>
        <w:tc>
          <w:tcPr>
            <w:tcW w:w="20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notice</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for a date that is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nomination will be made not</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30 days before or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later  than  the  close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60 days after such anniversary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date, notice by the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following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to  be  timely  must  be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received</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later</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meeting;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the</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case</w:t>
            </w: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  a</w:t>
            </w: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which public announcement of</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72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the date of such meeting is first</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0" w:type="dxa"/>
            <w:vAlign w:val="bottom"/>
            <w:gridSpan w:val="9"/>
            <w:vMerge w:val="restart"/>
          </w:tcPr>
          <w:p>
            <w:pPr>
              <w:ind w:left="120"/>
              <w:spacing w:after="0"/>
              <w:rPr>
                <w:sz w:val="20"/>
                <w:szCs w:val="20"/>
                <w:color w:val="auto"/>
              </w:rPr>
            </w:pPr>
            <w:r>
              <w:rPr>
                <w:rFonts w:ascii="Times New Roman" w:cs="Times New Roman" w:eastAsia="Times New Roman" w:hAnsi="Times New Roman"/>
                <w:sz w:val="18"/>
                <w:szCs w:val="18"/>
                <w:color w:val="auto"/>
              </w:rPr>
              <w:t>meeting (which is not also an</w:t>
            </w:r>
          </w:p>
        </w:tc>
        <w:tc>
          <w:tcPr>
            <w:tcW w:w="27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0" w:type="dxa"/>
            <w:vAlign w:val="bottom"/>
            <w:gridSpan w:val="9"/>
            <w:vMerge w:val="continue"/>
          </w:tcPr>
          <w:p>
            <w:pPr>
              <w:spacing w:after="0"/>
              <w:rPr>
                <w:sz w:val="11"/>
                <w:szCs w:val="11"/>
                <w:color w:val="auto"/>
              </w:rPr>
            </w:pPr>
          </w:p>
        </w:tc>
        <w:tc>
          <w:tcPr>
            <w:tcW w:w="24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made by Stronghold;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annual</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10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of Bitfarms</w:t>
            </w:r>
          </w:p>
        </w:tc>
        <w:tc>
          <w:tcPr>
            <w:tcW w:w="24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called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(ii)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purpose of electing directors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 special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(whether or not also called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stockholders for the election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other purposes), not later than</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directors,  not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which public announcement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first made of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the meeting was made.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special  meeting  and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order to be in proper form, the</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nominees</w:t>
            </w:r>
          </w:p>
        </w:tc>
        <w:tc>
          <w:tcPr>
            <w:tcW w:w="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proposed</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vMerge w:val="continue"/>
          </w:tcPr>
          <w:p>
            <w:pPr>
              <w:spacing w:after="0"/>
              <w:rPr>
                <w:sz w:val="12"/>
                <w:szCs w:val="12"/>
                <w:color w:val="auto"/>
              </w:rPr>
            </w:pPr>
          </w:p>
        </w:tc>
        <w:tc>
          <w:tcPr>
            <w:tcW w:w="17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Stronghold board</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79"/>
              </w:rPr>
              <w:t>of</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notice of nomination must include:</w:t>
            </w:r>
          </w:p>
        </w:tc>
        <w:tc>
          <w:tcPr>
            <w:tcW w:w="17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vMerge w:val="continue"/>
          </w:tcPr>
          <w:p>
            <w:pPr>
              <w:spacing w:after="0"/>
              <w:rPr>
                <w:sz w:val="14"/>
                <w:szCs w:val="14"/>
                <w:color w:val="auto"/>
              </w:rPr>
            </w:pPr>
          </w:p>
        </w:tc>
        <w:tc>
          <w:tcPr>
            <w:tcW w:w="272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to be elected at such meeting.</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580" w:right="3259" w:hanging="426"/>
        <w:spacing w:after="0" w:line="261" w:lineRule="auto"/>
        <w:tabs>
          <w:tab w:leader="none" w:pos="354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citizenship and residential address of the proposed nominee;</w:t>
      </w:r>
    </w:p>
    <w:p>
      <w:pPr>
        <w:spacing w:after="0" w:line="98"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54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business or employment of the proposed nominee;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(iii)  the number of securities of</w:t>
            </w:r>
          </w:p>
        </w:tc>
        <w:tc>
          <w:tcPr>
            <w:tcW w:w="100" w:type="dxa"/>
            <w:vAlign w:val="bottom"/>
            <w:vMerge w:val="continue"/>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 be in proper form, the notice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nomination   must   comply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Bitfarms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beneficially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Stronghold’s by-laws, including, but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owned,  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controlled  or</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limited to: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3580"/>
        <w:spacing w:after="0"/>
        <w:tabs>
          <w:tab w:leader="none" w:pos="4620" w:val="left"/>
          <w:tab w:leader="none" w:pos="5580" w:val="left"/>
        </w:tabs>
        <w:rPr>
          <w:sz w:val="20"/>
          <w:szCs w:val="20"/>
          <w:color w:val="auto"/>
        </w:rPr>
      </w:pPr>
      <w:r>
        <w:rPr>
          <w:rFonts w:ascii="Times New Roman" w:cs="Times New Roman" w:eastAsia="Times New Roman" w:hAnsi="Times New Roman"/>
          <w:sz w:val="18"/>
          <w:szCs w:val="18"/>
          <w:color w:val="auto"/>
        </w:rPr>
        <w:t>directed,</w:t>
      </w:r>
      <w:r>
        <w:rPr>
          <w:sz w:val="20"/>
          <w:szCs w:val="20"/>
          <w:color w:val="auto"/>
        </w:rPr>
        <w:tab/>
      </w:r>
      <w:r>
        <w:rPr>
          <w:rFonts w:ascii="Times New Roman" w:cs="Times New Roman" w:eastAsia="Times New Roman" w:hAnsi="Times New Roman"/>
          <w:sz w:val="18"/>
          <w:szCs w:val="18"/>
          <w:color w:val="auto"/>
        </w:rPr>
        <w:t>directly</w:t>
      </w:r>
      <w:r>
        <w:rPr>
          <w:sz w:val="20"/>
          <w:szCs w:val="20"/>
          <w:color w:val="auto"/>
        </w:rPr>
        <w:tab/>
      </w:r>
      <w:r>
        <w:rPr>
          <w:rFonts w:ascii="Times New Roman" w:cs="Times New Roman" w:eastAsia="Times New Roman" w:hAnsi="Times New Roman"/>
          <w:sz w:val="18"/>
          <w:szCs w:val="18"/>
          <w:color w:val="auto"/>
        </w:rPr>
        <w:t>or</w:t>
      </w:r>
    </w:p>
    <w:p>
      <w:pPr>
        <w:ind w:left="3580"/>
        <w:spacing w:after="0" w:line="181" w:lineRule="auto"/>
        <w:rPr>
          <w:sz w:val="20"/>
          <w:szCs w:val="20"/>
          <w:color w:val="auto"/>
        </w:rPr>
      </w:pPr>
      <w:r>
        <w:rPr>
          <w:rFonts w:ascii="Times New Roman" w:cs="Times New Roman" w:eastAsia="Times New Roman" w:hAnsi="Times New Roman"/>
          <w:sz w:val="15"/>
          <w:szCs w:val="15"/>
          <w:color w:val="auto"/>
        </w:rPr>
        <w:t xml:space="preserve">indirectly, or of record by the </w:t>
      </w:r>
      <w:r>
        <w:rPr>
          <w:rFonts w:ascii="Times New Roman" w:cs="Times New Roman" w:eastAsia="Times New Roman" w:hAnsi="Times New Roman"/>
          <w:sz w:val="26"/>
          <w:szCs w:val="26"/>
          <w:color w:val="auto"/>
          <w:vertAlign w:val="superscript"/>
        </w:rPr>
        <w:t>(i)</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proposed nominee, as of the</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record date for the meeting of</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shareholders (if such date is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459" w:hanging="32"/>
        <w:spacing w:after="0" w:line="261" w:lineRule="auto"/>
        <w:rPr>
          <w:sz w:val="20"/>
          <w:szCs w:val="20"/>
          <w:color w:val="auto"/>
        </w:rPr>
      </w:pPr>
      <w:r>
        <w:rPr>
          <w:rFonts w:ascii="Times New Roman" w:cs="Times New Roman" w:eastAsia="Times New Roman" w:hAnsi="Times New Roman"/>
          <w:sz w:val="18"/>
          <w:szCs w:val="18"/>
          <w:color w:val="auto"/>
        </w:rPr>
        <w:t>the name and address of the stockholder giving the notice and the person or persons nominated;</w:t>
      </w:r>
    </w:p>
    <w:p>
      <w:pPr>
        <w:spacing w:after="0" w:line="49" w:lineRule="exact"/>
        <w:rPr>
          <w:sz w:val="20"/>
          <w:szCs w:val="20"/>
          <w:color w:val="auto"/>
        </w:rPr>
      </w:pPr>
    </w:p>
    <w:p>
      <w:pPr>
        <w:sectPr>
          <w:pgSz w:w="11900" w:h="16838" w:orient="portrait"/>
          <w:cols w:equalWidth="0" w:num="2">
            <w:col w:w="6020" w:space="260"/>
            <w:col w:w="2739"/>
          </w:cols>
          <w:pgMar w:left="1440" w:top="270" w:right="1440" w:bottom="1440" w:gutter="0" w:footer="0" w:header="0"/>
          <w:type w:val="continuous"/>
        </w:sectPr>
      </w:pPr>
    </w:p>
    <w:tbl>
      <w:tblPr>
        <w:tblLayout w:type="fixed"/>
        <w:tblInd w:w="3160" w:type="dxa"/>
        <w:tblCellMar>
          <w:top w:w="0" w:type="dxa"/>
          <w:left w:w="0" w:type="dxa"/>
          <w:bottom w:w="0" w:type="dxa"/>
          <w:right w:w="0" w:type="dxa"/>
        </w:tblCellMar>
      </w:tblPr>
      <w:tr>
        <w:trPr>
          <w:trHeight w:val="229"/>
        </w:trPr>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at the time publicly available</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representation</w:t>
            </w:r>
          </w:p>
        </w:tc>
        <w:tc>
          <w:tcPr>
            <w:tcW w:w="1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84"/>
        </w:trPr>
        <w:tc>
          <w:tcPr>
            <w:tcW w:w="2640" w:type="dxa"/>
            <w:vAlign w:val="bottom"/>
            <w:gridSpan w:val="9"/>
          </w:tcPr>
          <w:p>
            <w:pPr>
              <w:ind w:left="420"/>
              <w:spacing w:after="0" w:line="184" w:lineRule="exact"/>
              <w:rPr>
                <w:sz w:val="20"/>
                <w:szCs w:val="20"/>
                <w:color w:val="auto"/>
              </w:rPr>
            </w:pPr>
            <w:r>
              <w:rPr>
                <w:rFonts w:ascii="Times New Roman" w:cs="Times New Roman" w:eastAsia="Times New Roman" w:hAnsi="Times New Roman"/>
                <w:sz w:val="18"/>
                <w:szCs w:val="18"/>
                <w:color w:val="auto"/>
              </w:rPr>
              <w:t>and has occurred) and as of</w:t>
            </w:r>
          </w:p>
        </w:tc>
        <w:tc>
          <w:tcPr>
            <w:tcW w:w="380" w:type="dxa"/>
            <w:vAlign w:val="bottom"/>
          </w:tcPr>
          <w:p>
            <w:pPr>
              <w:spacing w:after="0"/>
              <w:rPr>
                <w:sz w:val="16"/>
                <w:szCs w:val="16"/>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2"/>
              </w:rPr>
              <w:t>is</w:t>
            </w:r>
          </w:p>
        </w:tc>
        <w:tc>
          <w:tcPr>
            <w:tcW w:w="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68"/>
        </w:trPr>
        <w:tc>
          <w:tcPr>
            <w:tcW w:w="234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the date of such notice;</w:t>
            </w: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record  of  capital  stock  of</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rPr>
              <w:t>(iv)  any other information relating</w:t>
            </w:r>
          </w:p>
        </w:tc>
        <w:tc>
          <w:tcPr>
            <w:tcW w:w="380" w:type="dxa"/>
            <w:vAlign w:val="bottom"/>
          </w:tcPr>
          <w:p>
            <w:pPr>
              <w:spacing w:after="0"/>
              <w:rPr>
                <w:sz w:val="18"/>
                <w:szCs w:val="18"/>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Stronghold entitled to vote at</w:t>
            </w: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such meeting and intends to</w:t>
            </w:r>
          </w:p>
        </w:tc>
        <w:tc>
          <w:tcPr>
            <w:tcW w:w="0" w:type="dxa"/>
            <w:vAlign w:val="bottom"/>
          </w:tcPr>
          <w:p>
            <w:pPr>
              <w:spacing w:after="0"/>
              <w:rPr>
                <w:sz w:val="1"/>
                <w:szCs w:val="1"/>
                <w:color w:val="auto"/>
              </w:rPr>
            </w:pPr>
          </w:p>
        </w:tc>
      </w:tr>
      <w:tr>
        <w:trPr>
          <w:trHeight w:val="135"/>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to the proposed nominee that</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appear in person or by proxy at</w:t>
            </w:r>
          </w:p>
        </w:tc>
        <w:tc>
          <w:tcPr>
            <w:tcW w:w="0" w:type="dxa"/>
            <w:vAlign w:val="bottom"/>
          </w:tcPr>
          <w:p>
            <w:pPr>
              <w:spacing w:after="0"/>
              <w:rPr>
                <w:sz w:val="1"/>
                <w:szCs w:val="1"/>
                <w:color w:val="auto"/>
              </w:rPr>
            </w:pPr>
          </w:p>
        </w:tc>
      </w:tr>
      <w:tr>
        <w:trPr>
          <w:trHeight w:val="135"/>
        </w:trPr>
        <w:tc>
          <w:tcPr>
            <w:tcW w:w="13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would  be</w:t>
            </w: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required  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gridSpan w:val="4"/>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meeting to nominate the</w:t>
            </w:r>
          </w:p>
        </w:tc>
        <w:tc>
          <w:tcPr>
            <w:tcW w:w="0" w:type="dxa"/>
            <w:vAlign w:val="bottom"/>
          </w:tcPr>
          <w:p>
            <w:pPr>
              <w:spacing w:after="0"/>
              <w:rPr>
                <w:sz w:val="1"/>
                <w:szCs w:val="1"/>
                <w:color w:val="auto"/>
              </w:rPr>
            </w:pPr>
          </w:p>
        </w:tc>
      </w:tr>
      <w:tr>
        <w:trPr>
          <w:trHeight w:val="135"/>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w w:val="98"/>
              </w:rPr>
              <w:t>disclosed</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dissident’s</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10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person or persons nominated;</w:t>
            </w:r>
          </w:p>
        </w:tc>
        <w:tc>
          <w:tcPr>
            <w:tcW w:w="0" w:type="dxa"/>
            <w:vAlign w:val="bottom"/>
          </w:tcPr>
          <w:p>
            <w:pPr>
              <w:spacing w:after="0"/>
              <w:rPr>
                <w:sz w:val="1"/>
                <w:szCs w:val="1"/>
                <w:color w:val="auto"/>
              </w:rPr>
            </w:pPr>
          </w:p>
        </w:tc>
      </w:tr>
      <w:tr>
        <w:trPr>
          <w:trHeight w:val="153"/>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proxy circular or other filings</w:t>
            </w:r>
          </w:p>
        </w:tc>
        <w:tc>
          <w:tcPr>
            <w:tcW w:w="380" w:type="dxa"/>
            <w:vAlign w:val="bottom"/>
          </w:tcPr>
          <w:p>
            <w:pPr>
              <w:spacing w:after="0"/>
              <w:rPr>
                <w:sz w:val="13"/>
                <w:szCs w:val="13"/>
                <w:color w:val="auto"/>
              </w:rPr>
            </w:pPr>
          </w:p>
        </w:tc>
        <w:tc>
          <w:tcPr>
            <w:tcW w:w="2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required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to</w:t>
            </w:r>
          </w:p>
        </w:tc>
        <w:tc>
          <w:tcPr>
            <w:tcW w:w="1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be</w:t>
            </w:r>
          </w:p>
        </w:tc>
        <w:tc>
          <w:tcPr>
            <w:tcW w:w="1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complete</w:t>
            </w:r>
          </w:p>
        </w:tc>
        <w:tc>
          <w:tcPr>
            <w:tcW w:w="14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accurate</w:t>
            </w:r>
          </w:p>
        </w:tc>
        <w:tc>
          <w:tcPr>
            <w:tcW w:w="0" w:type="dxa"/>
            <w:vAlign w:val="bottom"/>
          </w:tcPr>
          <w:p>
            <w:pPr>
              <w:spacing w:after="0"/>
              <w:rPr>
                <w:sz w:val="1"/>
                <w:szCs w:val="1"/>
                <w:color w:val="auto"/>
              </w:rPr>
            </w:pPr>
          </w:p>
        </w:tc>
      </w:tr>
      <w:tr>
        <w:trPr>
          <w:trHeight w:val="184"/>
        </w:trPr>
        <w:tc>
          <w:tcPr>
            <w:tcW w:w="1700" w:type="dxa"/>
            <w:vAlign w:val="bottom"/>
            <w:gridSpan w:val="6"/>
          </w:tcPr>
          <w:p>
            <w:pPr>
              <w:ind w:left="420"/>
              <w:spacing w:after="0" w:line="184" w:lineRule="exact"/>
              <w:rPr>
                <w:sz w:val="20"/>
                <w:szCs w:val="20"/>
                <w:color w:val="auto"/>
              </w:rPr>
            </w:pPr>
            <w:r>
              <w:rPr>
                <w:rFonts w:ascii="Times New Roman" w:cs="Times New Roman" w:eastAsia="Times New Roman" w:hAnsi="Times New Roman"/>
                <w:sz w:val="18"/>
                <w:szCs w:val="18"/>
                <w:color w:val="auto"/>
              </w:rPr>
              <w:t>connection with</w:t>
            </w:r>
          </w:p>
        </w:tc>
        <w:tc>
          <w:tcPr>
            <w:tcW w:w="9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w w:val="98"/>
              </w:rPr>
              <w:t>solicitations</w:t>
            </w:r>
          </w:p>
        </w:tc>
        <w:tc>
          <w:tcPr>
            <w:tcW w:w="380" w:type="dxa"/>
            <w:vAlign w:val="bottom"/>
          </w:tcPr>
          <w:p>
            <w:pPr>
              <w:spacing w:after="0"/>
              <w:rPr>
                <w:sz w:val="16"/>
                <w:szCs w:val="16"/>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description of</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68"/>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arrangements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pursuant</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understandings</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OBCA</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any</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applicable</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 each nominee</w:t>
            </w:r>
          </w:p>
        </w:tc>
        <w:tc>
          <w:tcPr>
            <w:tcW w:w="0" w:type="dxa"/>
            <w:vAlign w:val="bottom"/>
          </w:tcPr>
          <w:p>
            <w:pPr>
              <w:spacing w:after="0"/>
              <w:rPr>
                <w:sz w:val="1"/>
                <w:szCs w:val="1"/>
                <w:color w:val="auto"/>
              </w:rPr>
            </w:pPr>
          </w:p>
        </w:tc>
      </w:tr>
      <w:tr>
        <w:trPr>
          <w:trHeight w:val="68"/>
        </w:trPr>
        <w:tc>
          <w:tcPr>
            <w:tcW w:w="15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securities laws;</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and  any  other  person  or</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  the</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securities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such person</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or persons) pursuant to which</w:t>
            </w:r>
          </w:p>
        </w:tc>
        <w:tc>
          <w:tcPr>
            <w:tcW w:w="0" w:type="dxa"/>
            <w:vAlign w:val="bottom"/>
          </w:tcPr>
          <w:p>
            <w:pPr>
              <w:spacing w:after="0"/>
              <w:rPr>
                <w:sz w:val="1"/>
                <w:szCs w:val="1"/>
                <w:color w:val="auto"/>
              </w:rPr>
            </w:pPr>
          </w:p>
        </w:tc>
      </w:tr>
      <w:tr>
        <w:trPr>
          <w:trHeight w:val="149"/>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nomination or nominations</w:t>
            </w:r>
          </w:p>
        </w:tc>
        <w:tc>
          <w:tcPr>
            <w:tcW w:w="0" w:type="dxa"/>
            <w:vAlign w:val="bottom"/>
          </w:tcPr>
          <w:p>
            <w:pPr>
              <w:spacing w:after="0"/>
              <w:rPr>
                <w:sz w:val="1"/>
                <w:szCs w:val="1"/>
                <w:color w:val="auto"/>
              </w:rPr>
            </w:pPr>
          </w:p>
        </w:tc>
      </w:tr>
      <w:tr>
        <w:trPr>
          <w:trHeight w:val="149"/>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Bitfarms</w:t>
            </w:r>
          </w:p>
        </w:tc>
        <w:tc>
          <w:tcPr>
            <w:tcW w:w="160" w:type="dxa"/>
            <w:vAlign w:val="bottom"/>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are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7"/>
              </w:rPr>
              <w:t>made</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4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owned,</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controlled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0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directed,</w:t>
            </w:r>
          </w:p>
        </w:tc>
        <w:tc>
          <w:tcPr>
            <w:tcW w:w="260" w:type="dxa"/>
            <w:vAlign w:val="bottom"/>
          </w:tcPr>
          <w:p>
            <w:pPr>
              <w:spacing w:after="0"/>
              <w:rPr>
                <w:sz w:val="14"/>
                <w:szCs w:val="14"/>
                <w:color w:val="auto"/>
              </w:rPr>
            </w:pPr>
          </w:p>
        </w:tc>
        <w:tc>
          <w:tcPr>
            <w:tcW w:w="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directly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3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indirectly,</w:t>
            </w:r>
          </w:p>
        </w:tc>
        <w:tc>
          <w:tcPr>
            <w:tcW w:w="180" w:type="dxa"/>
            <w:vAlign w:val="bottom"/>
          </w:tcPr>
          <w:p>
            <w:pPr>
              <w:spacing w:after="0"/>
              <w:rPr>
                <w:sz w:val="22"/>
                <w:szCs w:val="22"/>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171"/>
        </w:trPr>
        <w:tc>
          <w:tcPr>
            <w:tcW w:w="1360" w:type="dxa"/>
            <w:vAlign w:val="bottom"/>
            <w:gridSpan w:val="4"/>
          </w:tcPr>
          <w:p>
            <w:pPr>
              <w:ind w:left="420"/>
              <w:spacing w:after="0" w:line="170" w:lineRule="exact"/>
              <w:rPr>
                <w:sz w:val="20"/>
                <w:szCs w:val="20"/>
                <w:color w:val="auto"/>
              </w:rPr>
            </w:pPr>
            <w:r>
              <w:rPr>
                <w:rFonts w:ascii="Times New Roman" w:cs="Times New Roman" w:eastAsia="Times New Roman" w:hAnsi="Times New Roman"/>
                <w:sz w:val="18"/>
                <w:szCs w:val="18"/>
                <w:color w:val="auto"/>
              </w:rPr>
              <w:t>nominating</w:t>
            </w:r>
          </w:p>
        </w:tc>
        <w:tc>
          <w:tcPr>
            <w:tcW w:w="980" w:type="dxa"/>
            <w:vAlign w:val="bottom"/>
            <w:gridSpan w:val="4"/>
          </w:tcPr>
          <w:p>
            <w:pPr>
              <w:ind w:left="60"/>
              <w:spacing w:after="0" w:line="170" w:lineRule="exact"/>
              <w:rPr>
                <w:sz w:val="20"/>
                <w:szCs w:val="20"/>
                <w:color w:val="auto"/>
              </w:rPr>
            </w:pPr>
            <w:r>
              <w:rPr>
                <w:rFonts w:ascii="Times New Roman" w:cs="Times New Roman" w:eastAsia="Times New Roman" w:hAnsi="Times New Roman"/>
                <w:sz w:val="18"/>
                <w:szCs w:val="18"/>
                <w:color w:val="auto"/>
              </w:rPr>
              <w:t>shareholder</w:t>
            </w: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regarding</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other person with whom</w:t>
            </w: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proposed by such stockholder</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nominating</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would  be</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required  to</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is acting jointly or in concert</w:t>
            </w:r>
          </w:p>
        </w:tc>
        <w:tc>
          <w:tcPr>
            <w:tcW w:w="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included in a proxy statement</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4"/>
              </w:rPr>
              <w:t>respect</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Bitfarms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filed  pursuant  to  the  proxy</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of its securities, as of the</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rules  of  the  SEC  had  each</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record date for the meeting (if</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nominee</w:t>
            </w: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been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nominated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  time</w:t>
            </w:r>
          </w:p>
        </w:tc>
        <w:tc>
          <w:tcPr>
            <w:tcW w:w="3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publicly</w:t>
            </w: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available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has</w:t>
            </w:r>
          </w:p>
        </w:tc>
        <w:tc>
          <w:tcPr>
            <w:tcW w:w="380" w:type="dxa"/>
            <w:vAlign w:val="bottom"/>
          </w:tcPr>
          <w:p>
            <w:pPr>
              <w:spacing w:after="0"/>
              <w:rPr>
                <w:sz w:val="8"/>
                <w:szCs w:val="8"/>
                <w:color w:val="auto"/>
              </w:rPr>
            </w:pPr>
          </w:p>
        </w:tc>
        <w:tc>
          <w:tcPr>
            <w:tcW w:w="21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gridSpan w:val="3"/>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580"/>
        <w:spacing w:after="0"/>
        <w:rPr>
          <w:sz w:val="20"/>
          <w:szCs w:val="20"/>
          <w:color w:val="auto"/>
        </w:rPr>
      </w:pPr>
      <w:r>
        <w:rPr>
          <w:rFonts w:ascii="Times New Roman" w:cs="Times New Roman" w:eastAsia="Times New Roman" w:hAnsi="Times New Roman"/>
          <w:sz w:val="18"/>
          <w:szCs w:val="18"/>
          <w:color w:val="auto"/>
        </w:rPr>
        <w:t>occurred) and as of the date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such notice;</w:t>
      </w:r>
    </w:p>
    <w:p>
      <w:pPr>
        <w:spacing w:after="0" w:line="139" w:lineRule="exact"/>
        <w:rPr>
          <w:sz w:val="20"/>
          <w:szCs w:val="20"/>
          <w:color w:val="auto"/>
        </w:rPr>
      </w:pPr>
    </w:p>
    <w:p>
      <w:pPr>
        <w:jc w:val="both"/>
        <w:ind w:left="3580" w:right="3259" w:hanging="426"/>
        <w:spacing w:after="0" w:line="255" w:lineRule="auto"/>
        <w:tabs>
          <w:tab w:leader="none" w:pos="354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regarding any proxy, contract, arrangement, agreement, understanding or relationship pursuant to which such nominating shareholder has a right to vote any shares of Bitfarms;</w:t>
      </w:r>
    </w:p>
    <w:p>
      <w:pPr>
        <w:spacing w:after="0" w:line="121" w:lineRule="exact"/>
        <w:rPr>
          <w:rFonts w:ascii="Times New Roman" w:cs="Times New Roman" w:eastAsia="Times New Roman" w:hAnsi="Times New Roman"/>
          <w:sz w:val="18"/>
          <w:szCs w:val="18"/>
          <w:color w:val="auto"/>
        </w:rPr>
      </w:pPr>
    </w:p>
    <w:p>
      <w:pPr>
        <w:jc w:val="both"/>
        <w:ind w:left="3580" w:right="3259" w:hanging="426"/>
        <w:spacing w:after="0" w:line="254" w:lineRule="auto"/>
        <w:tabs>
          <w:tab w:leader="none" w:pos="380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derivatives, hedges or other economic or voting interests (including short positions) relating to the nominating shareholder’s interest in shares in the capital of Bitfarms;</w:t>
      </w:r>
    </w:p>
    <w:p>
      <w:pPr>
        <w:sectPr>
          <w:pgSz w:w="11900" w:h="16838" w:orient="portrait"/>
          <w:cols w:equalWidth="0" w:num="1">
            <w:col w:w="9019"/>
          </w:cols>
          <w:pgMar w:left="1440" w:top="270" w:right="1440"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560" w:hanging="406"/>
        <w:spacing w:after="0"/>
        <w:tabs>
          <w:tab w:leader="none" w:pos="35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w:t>
      </w:r>
    </w:p>
    <w:p>
      <w:pPr>
        <w:spacing w:after="0" w:line="27"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nominating shareholder that would be required to be disclosed in a dissident’s proxy circular or other filings required to be made in connection with solicitations of proxies for election of directors pursuant to the OBCA or any applicable securities laws; and</w:t>
      </w:r>
    </w:p>
    <w:p>
      <w:pPr>
        <w:spacing w:after="0" w:line="124" w:lineRule="exact"/>
        <w:rPr>
          <w:rFonts w:ascii="Times New Roman" w:cs="Times New Roman" w:eastAsia="Times New Roman" w:hAnsi="Times New Roman"/>
          <w:sz w:val="18"/>
          <w:szCs w:val="18"/>
          <w:color w:val="auto"/>
        </w:rPr>
      </w:pPr>
    </w:p>
    <w:p>
      <w:pPr>
        <w:ind w:left="3540" w:hanging="386"/>
        <w:spacing w:after="0"/>
        <w:tabs>
          <w:tab w:leader="none" w:pos="3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may  require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580"/>
        <w:spacing w:after="0"/>
        <w:tabs>
          <w:tab w:leader="none" w:pos="4600" w:val="left"/>
          <w:tab w:leader="none" w:pos="5600" w:val="left"/>
        </w:tabs>
        <w:rPr>
          <w:sz w:val="20"/>
          <w:szCs w:val="20"/>
          <w:color w:val="auto"/>
        </w:rPr>
      </w:pPr>
      <w:r>
        <w:rPr>
          <w:rFonts w:ascii="Times New Roman" w:cs="Times New Roman" w:eastAsia="Times New Roman" w:hAnsi="Times New Roman"/>
          <w:sz w:val="18"/>
          <w:szCs w:val="18"/>
          <w:color w:val="auto"/>
        </w:rPr>
        <w:t>proposed</w:t>
      </w:r>
      <w:r>
        <w:rPr>
          <w:sz w:val="20"/>
          <w:szCs w:val="20"/>
          <w:color w:val="auto"/>
        </w:rPr>
        <w:tab/>
      </w: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jc w:val="both"/>
        <w:ind w:left="3580" w:right="3259" w:firstLine="6"/>
        <w:spacing w:after="0" w:line="250" w:lineRule="auto"/>
        <w:tabs>
          <w:tab w:leader="none" w:pos="401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other such information as may be reasonably required by Bitfarms to determine the eligibility of such proposed nominee to serve as a director or that could be material to a</w:t>
      </w:r>
    </w:p>
    <w:p>
      <w:pPr>
        <w:spacing w:after="0" w:line="2" w:lineRule="exact"/>
        <w:rPr>
          <w:rFonts w:ascii="Times New Roman" w:cs="Times New Roman" w:eastAsia="Times New Roman" w:hAnsi="Times New Roman"/>
          <w:sz w:val="18"/>
          <w:szCs w:val="18"/>
          <w:color w:val="auto"/>
        </w:rPr>
      </w:pPr>
    </w:p>
    <w:p>
      <w:pPr>
        <w:ind w:left="3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w:t>
      </w:r>
      <w:r>
        <w:rPr>
          <w:rFonts w:ascii="Times New Roman" w:cs="Times New Roman" w:eastAsia="Times New Roman" w:hAnsi="Times New Roman"/>
          <w:sz w:val="17"/>
          <w:szCs w:val="17"/>
          <w:color w:val="auto"/>
        </w:rPr>
        <w:t>shareholder’s</w:t>
      </w:r>
    </w:p>
    <w:p>
      <w:pPr>
        <w:spacing w:after="0" w:line="9"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the independence, or lack thereof and (ii) a written consent duly signed by each proposed nominee to being named as a nominee for election to the board of directors and to serve as a director of Bitfarms, if elected.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Pursuant to the OBCA, Bitfarms</w:t>
      </w:r>
    </w:p>
    <w:p>
      <w:pPr>
        <w:spacing w:after="0" w:line="27" w:lineRule="exact"/>
        <w:rPr>
          <w:sz w:val="20"/>
          <w:szCs w:val="20"/>
          <w:color w:val="auto"/>
        </w:rPr>
      </w:pPr>
    </w:p>
    <w:p>
      <w:pPr>
        <w:ind w:left="316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8"/>
          <w:szCs w:val="18"/>
          <w:color w:val="auto"/>
        </w:rPr>
        <w:t>nominate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candidates for election to the board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directors through the 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mechanism provided 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(provided such</w:t>
      </w:r>
    </w:p>
    <w:p>
      <w:pPr>
        <w:spacing w:after="0" w:line="9" w:lineRule="exact"/>
        <w:rPr>
          <w:sz w:val="20"/>
          <w:szCs w:val="20"/>
          <w:color w:val="auto"/>
        </w:rPr>
      </w:pPr>
    </w:p>
    <w:p>
      <w:pPr>
        <w:ind w:left="3160"/>
        <w:spacing w:after="0"/>
        <w:tabs>
          <w:tab w:leader="none" w:pos="422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shareholder</w:t>
        <w:tab/>
        <w:t>either</w:t>
        <w:tab/>
        <w:t>owns,</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registered or beneficial holder one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more shares carrying the right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such  meeting),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shareholder complies with the</w:t>
      </w:r>
    </w:p>
    <w:p>
      <w:pPr>
        <w:spacing w:after="0" w:line="9" w:lineRule="exact"/>
        <w:rPr>
          <w:sz w:val="20"/>
          <w:szCs w:val="20"/>
          <w:color w:val="auto"/>
        </w:rPr>
      </w:pPr>
    </w:p>
    <w:p>
      <w:pPr>
        <w:ind w:left="3160"/>
        <w:spacing w:after="0"/>
        <w:tabs>
          <w:tab w:leader="none" w:pos="3940" w:val="left"/>
          <w:tab w:leader="none" w:pos="4580" w:val="left"/>
          <w:tab w:leader="none" w:pos="5580" w:val="left"/>
        </w:tabs>
        <w:rPr>
          <w:sz w:val="20"/>
          <w:szCs w:val="20"/>
          <w:color w:val="auto"/>
        </w:rPr>
      </w:pPr>
      <w:r>
        <w:rPr>
          <w:rFonts w:ascii="Times New Roman" w:cs="Times New Roman" w:eastAsia="Times New Roman" w:hAnsi="Times New Roman"/>
          <w:sz w:val="18"/>
          <w:szCs w:val="18"/>
          <w:color w:val="auto"/>
        </w:rPr>
        <w:t>advance</w:t>
        <w:tab/>
        <w:t>notice</w:t>
        <w:tab/>
        <w:t>procedures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by-laws and the proposal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is signed by one or more holders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representing in the aggregate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less than 5% of the shares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 of the shares of a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of Bitfarms entitled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the meeting to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is to be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Bitfarms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9"/>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Under Bitfarms’ by-laws, in order</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be  an  eligible  shareholder  to</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nominate  a  director,  a  Bitfarms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must (i) at the close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date of the giving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notice of nomination and on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for  notice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relevant meeting, be a registered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beneficial holder of one or more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shares carrying the right to vote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such meeting, and (ii) comply with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advance notice procedures 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Bitfarms’ by-laws.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Calling Special Meetings of</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5"/>
              </w:rPr>
              <w:t>Bitfarms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of</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may</w:t>
            </w:r>
          </w:p>
        </w:tc>
        <w:tc>
          <w:tcPr>
            <w:tcW w:w="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call</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 stockholders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special meeting of shareholders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may be called only by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time.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the chairman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holders of five percent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 the Stronghold board of directors</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or 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or more of the outstanding shares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a resolution adopted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that carry the right to vote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total  number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at a meeting sought to be held may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directors that Stronghold would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 a</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meeting</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if  there  were  no  vacancies.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under the applicable provisions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Delaware,  stockholders  may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OBCA. The requisition must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force the corporation to call a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 the business to be transacted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w w:val="99"/>
              </w:rPr>
              <w:t>meeting unless the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meeting. The Bitfarms board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provide otherwise, and 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must call a meeting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charter and by-laws do not provide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transact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spacing w:after="0" w:line="170" w:lineRule="exact"/>
              <w:rPr>
                <w:sz w:val="20"/>
                <w:szCs w:val="20"/>
                <w:color w:val="auto"/>
              </w:rPr>
            </w:pPr>
            <w:r>
              <w:rPr>
                <w:rFonts w:ascii="Times New Roman" w:cs="Times New Roman" w:eastAsia="Times New Roman" w:hAnsi="Times New Roman"/>
                <w:sz w:val="18"/>
                <w:szCs w:val="18"/>
                <w:color w:val="auto"/>
              </w:rPr>
              <w:t>business stated in the requisition</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21  days  of  receiving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otherwise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may call the meeting.</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Bitfarms board of directors is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required to call a meeting upon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receiving  a  requisition  by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if (i) the business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includes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certain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matters enumerated in the OBCA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whereby  the  directors  are  not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required to call a meeting, (ii)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has already been fixed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notice provided in respect of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or (iii) the Bitfarms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directors has already called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and given notice of such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that 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resolution in writing signed by all</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stockholders may not act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shareholders entitled to vote 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resolution  at  a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is as valid as if it had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been passed at a meeting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unless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written</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tabs>
          <w:tab w:leader="none" w:pos="4000" w:val="left"/>
          <w:tab w:leader="none" w:pos="45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statement</w:t>
        <w:tab/>
        <w:t>with</w:t>
        <w:tab/>
        <w:t>respect</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subject matter of the resolution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submitted by a director or auditor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OBCA.</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Adjournment of Shareholder</w:t>
            </w:r>
          </w:p>
        </w:tc>
        <w:tc>
          <w:tcPr>
            <w:tcW w:w="100" w:type="dxa"/>
            <w:vAlign w:val="bottom"/>
            <w:vMerge w:val="continue"/>
          </w:tcPr>
          <w:p>
            <w:pPr>
              <w:spacing w:after="0"/>
              <w:rPr>
                <w:sz w:val="16"/>
                <w:szCs w:val="16"/>
                <w:color w:val="auto"/>
              </w:rPr>
            </w:pPr>
          </w:p>
        </w:tc>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chair  of  any  meeting  of</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The chairman of the meeting or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may, with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shares of stock with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the meeting, and subject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voting power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such conditions as the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person or represented by proxy 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decide, adjourn the meeting</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and from place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whether or not a quorum is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 If a meeting of the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may, with the consent of the meeting,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is adjourned for less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subject to such conditions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  30  days  it  will  not  be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may  decide,  adjourn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from time to time and from</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place to place. If a meeting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less than 30 days it will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is adjourned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of  30  days  or  more,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the  adjourned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be given as for an original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of 30 days or more, or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after the adjournment a new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is  fixed  for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notice  of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will  be  given  as  for  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original meeting.</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Articles 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OBCA, an amendment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an amendment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articles requires approval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corporation’s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being 66⅔%</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incorporation requires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votes cast, in person or by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 a board of directors resolution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in respect of the resolution at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stating  the  advisability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meeting of Bitfarms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(ii)  approval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if applicable, a separate 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the  holders  of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outstanding  capital  stock  of  each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separately affected class of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entitled to vote thereon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accordance with the provisions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(iii) approval of the holders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OBCA.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outstanding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class entitled to vote thereon 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class,  if  any.  Amendments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Stronghold’s charter may be effected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manner  prescribed  by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By-laws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DGCL,  the  power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by resolution, make, amend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adopt, amend or repeal by-laws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repeal any by-law that regulates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conferred upon the stockholders.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or  affairs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may,  however,  in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the directors make, amend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incorporation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repeal  a  by-law,  subject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 upon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 a change to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power to adopt, amend or repeal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articles, such as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by-laws. The Stronghold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 of the restrictions, if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amended by (i) a majority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business able to be carried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directors present at any special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by the corporation, a change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regular  meeting  of  the  board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name of the corporation or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directors  at  which  a  quorum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the authorized capital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 if, in the case of such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corporation, requires approval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only,   notice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passed by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alteration or repeal is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the notice or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OBCA  also  requires  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waiver of notice of such meeting; or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creation, amendment or repeal 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the  stockholders  only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by-laws  by  the  directors  of  a</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affirmative vote of holders of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to  be  approved  by</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than 66⅔% in voting power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resolution</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then-outstanding shares of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shareholders of the corporation at</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vote  thereon,  voting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next shareholder meeting.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together as a single class.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of Inspection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Bitfarms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and   creditors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 whether in-person or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and</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their</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personal</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attorney or other agent, may, upon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examine: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demand under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oath</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stating</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4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articles and by-laws, the purpose thereof and the person’s and all amendments thereto, and a status as stockholder supported by copy of any unanimous shareholder documentary evidence, subject to agreement; (ii) minutes of meetings certain restrictions, have the right to and resolutions of Bitfarms inspect and to make copies and shareholders; (iii) a register of extracts from the books and records directors in which are set out the of Stronghold for any proper purpose names and residence addresses, during usual business hours. If while directors, including the street Stronghold refuses to permit an and number, if any, and an e-mail inspection or does not reply within address if one is provided, of all five business days after demand has persons who are or have been been made, the stockholder may directors of the corporation with the apply to the Delaware Court of</w:t>
      </w: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3320" w:type="dxa"/>
            <w:vAlign w:val="bottom"/>
            <w:gridSpan w:val="4"/>
          </w:tcPr>
          <w:p>
            <w:pPr>
              <w:ind w:left="680"/>
              <w:spacing w:after="0" w:line="203" w:lineRule="exact"/>
              <w:rPr>
                <w:sz w:val="20"/>
                <w:szCs w:val="20"/>
                <w:color w:val="auto"/>
              </w:rPr>
            </w:pPr>
            <w:r>
              <w:rPr>
                <w:rFonts w:ascii="Times New Roman" w:cs="Times New Roman" w:eastAsia="Times New Roman" w:hAnsi="Times New Roman"/>
                <w:sz w:val="18"/>
                <w:szCs w:val="18"/>
                <w:color w:val="auto"/>
              </w:rPr>
              <w:t>several dates on which each became</w:t>
            </w:r>
          </w:p>
        </w:tc>
        <w:tc>
          <w:tcPr>
            <w:tcW w:w="2760" w:type="dxa"/>
            <w:vAlign w:val="bottom"/>
            <w:gridSpan w:val="5"/>
          </w:tcPr>
          <w:p>
            <w:pPr>
              <w:ind w:left="60"/>
              <w:spacing w:after="0" w:line="203" w:lineRule="exact"/>
              <w:rPr>
                <w:sz w:val="20"/>
                <w:szCs w:val="20"/>
                <w:color w:val="auto"/>
              </w:rPr>
            </w:pPr>
            <w:r>
              <w:rPr>
                <w:rFonts w:ascii="Times New Roman" w:cs="Times New Roman" w:eastAsia="Times New Roman" w:hAnsi="Times New Roman"/>
                <w:sz w:val="18"/>
                <w:szCs w:val="18"/>
                <w:color w:val="auto"/>
              </w:rPr>
              <w:t>Chancery  for  an  order  to  compel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or ceased to be a director; (iv) a</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Bitfarms’  ownership</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interests in land; and (v) Bitfarms’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securities  register,  other  than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significant control, during the usual</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business  hours  of  Bitfarms,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take extracts from the records,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free of charge, and any other person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do  so  on  payment  of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reasonable fee.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Suits</w:t>
            </w: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i w:val="1"/>
                <w:iCs w:val="1"/>
                <w:color w:val="auto"/>
              </w:rPr>
              <w:t>Derivative Action</w:t>
            </w:r>
          </w:p>
        </w:tc>
        <w:tc>
          <w:tcPr>
            <w:tcW w:w="40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DGCL,</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8"/>
                <w:szCs w:val="18"/>
                <w:color w:val="auto"/>
              </w:rPr>
              <w:t>Under the OBCA, a complainant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Stronghold’s stockholders may bring</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gridSpan w:val="4"/>
            <w:vMerge w:val="continue"/>
          </w:tcPr>
          <w:p>
            <w:pPr>
              <w:spacing w:after="0"/>
              <w:rPr>
                <w:sz w:val="15"/>
                <w:szCs w:val="15"/>
                <w:color w:val="auto"/>
              </w:rPr>
            </w:pPr>
          </w:p>
        </w:tc>
        <w:tc>
          <w:tcPr>
            <w:tcW w:w="276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8"/>
                <w:szCs w:val="18"/>
                <w:color w:val="auto"/>
              </w:rPr>
              <w:t>an action in Stronghold’s name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(as set out above) may, with judicial</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procure a judgment in Stronghold’s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leave, bring an action in the name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favor, also known as a derivative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and on behalf of a corporation 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provided that the stockholder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any of its subsidiaries, or intervene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bringing the action is a holder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 an action to which any such body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shares at the time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corporate is a party, for the purpose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transaction  to  which  the  action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prosecuting,   defending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relates or such stockholder’s stock</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discontinuing the action on behalf</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thereafter</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devolved by</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the body corporate.</w:t>
            </w:r>
          </w:p>
        </w:tc>
        <w:tc>
          <w:tcPr>
            <w:tcW w:w="40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2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grant leave if the complainant has</w:t>
      </w:r>
    </w:p>
    <w:p>
      <w:pPr>
        <w:spacing w:after="0" w:line="9" w:lineRule="exact"/>
        <w:rPr>
          <w:sz w:val="20"/>
          <w:szCs w:val="20"/>
          <w:color w:val="auto"/>
        </w:rPr>
      </w:pPr>
    </w:p>
    <w:p>
      <w:pPr>
        <w:ind w:left="3160"/>
        <w:spacing w:after="0"/>
        <w:tabs>
          <w:tab w:leader="none" w:pos="3700" w:val="left"/>
          <w:tab w:leader="none" w:pos="4040" w:val="left"/>
          <w:tab w:leader="none" w:pos="46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given</w:t>
        <w:tab/>
        <w:t>14</w:t>
        <w:tab/>
        <w:t>days’</w:t>
        <w:tab/>
        <w:t>notice</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tabs>
          <w:tab w:leader="none" w:pos="4040" w:val="left"/>
          <w:tab w:leader="none" w:pos="4340" w:val="left"/>
          <w:tab w:leader="none" w:pos="4720" w:val="left"/>
        </w:tabs>
        <w:rPr>
          <w:sz w:val="20"/>
          <w:szCs w:val="20"/>
          <w:color w:val="auto"/>
        </w:rPr>
      </w:pPr>
      <w:r>
        <w:rPr>
          <w:rFonts w:ascii="Times New Roman" w:cs="Times New Roman" w:eastAsia="Times New Roman" w:hAnsi="Times New Roman"/>
          <w:sz w:val="18"/>
          <w:szCs w:val="18"/>
          <w:color w:val="auto"/>
        </w:rPr>
        <w:t>subsidiary</w:t>
        <w:tab/>
        <w:t>of</w:t>
        <w:tab/>
        <w:t>the</w:t>
        <w:tab/>
        <w:t>complainant’s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intention to apply to the court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court is satisfied that: (i)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subsidiary will not bring, diligently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prosecute or defend or discontinue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action; (ii) the complainant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acting in good faith; and (iii) it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appears to be in the interests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that the</w:t>
      </w:r>
    </w:p>
    <w:p>
      <w:pPr>
        <w:spacing w:after="0" w:line="9" w:lineRule="exact"/>
        <w:rPr>
          <w:sz w:val="20"/>
          <w:szCs w:val="20"/>
          <w:color w:val="auto"/>
        </w:rPr>
      </w:pPr>
    </w:p>
    <w:p>
      <w:pPr>
        <w:ind w:left="3160"/>
        <w:spacing w:after="0"/>
        <w:tabs>
          <w:tab w:leader="none" w:pos="3760" w:val="left"/>
          <w:tab w:leader="none" w:pos="4120" w:val="left"/>
          <w:tab w:leader="none" w:pos="4920" w:val="left"/>
        </w:tabs>
        <w:rPr>
          <w:sz w:val="20"/>
          <w:szCs w:val="20"/>
          <w:color w:val="auto"/>
        </w:rPr>
      </w:pPr>
      <w:r>
        <w:rPr>
          <w:rFonts w:ascii="Times New Roman" w:cs="Times New Roman" w:eastAsia="Times New Roman" w:hAnsi="Times New Roman"/>
          <w:sz w:val="18"/>
          <w:szCs w:val="18"/>
          <w:color w:val="auto"/>
        </w:rPr>
        <w:t>action</w:t>
        <w:tab/>
        <w:t>be</w:t>
        <w:tab/>
        <w:t>brought,</w:t>
      </w:r>
      <w:r>
        <w:rPr>
          <w:sz w:val="20"/>
          <w:szCs w:val="20"/>
          <w:color w:val="auto"/>
        </w:rPr>
        <w:tab/>
      </w:r>
      <w:r>
        <w:rPr>
          <w:rFonts w:ascii="Times New Roman" w:cs="Times New Roman" w:eastAsia="Times New Roman" w:hAnsi="Times New Roman"/>
          <w:sz w:val="17"/>
          <w:szCs w:val="17"/>
          <w:color w:val="auto"/>
        </w:rPr>
        <w:t>prosecuted,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defended or discontinued.</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in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derivative  action  may  make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order it thinks fit. In addition,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 court may order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to pay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reasonable legal fees and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costs  reasonably  incurred  by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in connection with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action.</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Oppression Remedy</w:t>
      </w:r>
    </w:p>
    <w:p>
      <w:pPr>
        <w:spacing w:after="0" w:line="1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provides an oppression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remedy that enables a court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interim or final order it thinks</w:t>
      </w:r>
    </w:p>
    <w:p>
      <w:pPr>
        <w:spacing w:after="0" w:line="9" w:lineRule="exact"/>
        <w:rPr>
          <w:sz w:val="20"/>
          <w:szCs w:val="20"/>
          <w:color w:val="auto"/>
        </w:rPr>
      </w:pPr>
    </w:p>
    <w:p>
      <w:pPr>
        <w:ind w:left="3160"/>
        <w:spacing w:after="0"/>
        <w:tabs>
          <w:tab w:leader="none" w:pos="3460" w:val="left"/>
          <w:tab w:leader="none" w:pos="3800" w:val="left"/>
          <w:tab w:leader="none" w:pos="4320" w:val="left"/>
          <w:tab w:leader="none" w:pos="5300" w:val="left"/>
          <w:tab w:leader="none" w:pos="5640" w:val="left"/>
        </w:tabs>
        <w:rPr>
          <w:sz w:val="20"/>
          <w:szCs w:val="20"/>
          <w:color w:val="auto"/>
        </w:rPr>
      </w:pPr>
      <w:r>
        <w:rPr>
          <w:rFonts w:ascii="Times New Roman" w:cs="Times New Roman" w:eastAsia="Times New Roman" w:hAnsi="Times New Roman"/>
          <w:sz w:val="18"/>
          <w:szCs w:val="18"/>
          <w:color w:val="auto"/>
        </w:rPr>
        <w:t>fit</w:t>
        <w:tab/>
        <w:t>if,</w:t>
        <w:tab/>
        <w:t>upon</w:t>
        <w:tab/>
        <w:t>application</w:t>
        <w:tab/>
        <w:t>by</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the court is satisfied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in respect of a corporation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of its affiliates, (i) any 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omission of the corporation or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its affiliates effects or threatens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effect a result; (ii) the business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affairs of the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are, have been or are</w:t>
      </w:r>
    </w:p>
    <w:p>
      <w:pPr>
        <w:spacing w:after="0" w:line="9" w:lineRule="exact"/>
        <w:rPr>
          <w:sz w:val="20"/>
          <w:szCs w:val="20"/>
          <w:color w:val="auto"/>
        </w:rPr>
      </w:pPr>
    </w:p>
    <w:p>
      <w:pPr>
        <w:ind w:left="3160"/>
        <w:spacing w:after="0"/>
        <w:tabs>
          <w:tab w:leader="none" w:pos="4020" w:val="left"/>
          <w:tab w:leader="none" w:pos="4300" w:val="left"/>
          <w:tab w:leader="none" w:pos="4620" w:val="left"/>
          <w:tab w:leader="none" w:pos="5260" w:val="left"/>
          <w:tab w:leader="none" w:pos="5580" w:val="left"/>
        </w:tabs>
        <w:rPr>
          <w:sz w:val="20"/>
          <w:szCs w:val="20"/>
          <w:color w:val="auto"/>
        </w:rPr>
      </w:pPr>
      <w:r>
        <w:rPr>
          <w:rFonts w:ascii="Times New Roman" w:cs="Times New Roman" w:eastAsia="Times New Roman" w:hAnsi="Times New Roman"/>
          <w:sz w:val="18"/>
          <w:szCs w:val="18"/>
          <w:color w:val="auto"/>
        </w:rPr>
        <w:t>threatened</w:t>
        <w:tab/>
        <w:t>to</w:t>
        <w:tab/>
        <w:t>be</w:t>
        <w:tab/>
        <w:t>carried</w:t>
        <w:tab/>
        <w:t>on</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conducted in a manner; or (iii) the</w:t>
      </w:r>
    </w:p>
    <w:p>
      <w:pPr>
        <w:spacing w:after="0" w:line="9" w:lineRule="exact"/>
        <w:rPr>
          <w:sz w:val="20"/>
          <w:szCs w:val="20"/>
          <w:color w:val="auto"/>
        </w:rPr>
      </w:pPr>
    </w:p>
    <w:p>
      <w:pPr>
        <w:ind w:left="3160"/>
        <w:spacing w:after="0"/>
        <w:tabs>
          <w:tab w:leader="none" w:pos="3800" w:val="left"/>
          <w:tab w:leader="none" w:pos="4080" w:val="left"/>
          <w:tab w:leader="none" w:pos="4460" w:val="left"/>
          <w:tab w:leader="none" w:pos="5220" w:val="left"/>
          <w:tab w:leader="none" w:pos="5520" w:val="left"/>
        </w:tabs>
        <w:rPr>
          <w:sz w:val="20"/>
          <w:szCs w:val="20"/>
          <w:color w:val="auto"/>
        </w:rPr>
      </w:pPr>
      <w:r>
        <w:rPr>
          <w:rFonts w:ascii="Times New Roman" w:cs="Times New Roman" w:eastAsia="Times New Roman" w:hAnsi="Times New Roman"/>
          <w:sz w:val="18"/>
          <w:szCs w:val="18"/>
          <w:color w:val="auto"/>
        </w:rPr>
        <w:t>powers</w:t>
        <w:tab/>
        <w:t>of</w:t>
        <w:tab/>
        <w:t>the</w:t>
        <w:tab/>
        <w:t>directors</w:t>
        <w:tab/>
        <w:t>of</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any of its affiliates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have been or are threatened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exercised in a manner that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oppressive or unfairly prejudicial to</w:t>
      </w:r>
    </w:p>
    <w:p>
      <w:pPr>
        <w:spacing w:after="0" w:line="9" w:lineRule="exact"/>
        <w:rPr>
          <w:sz w:val="20"/>
          <w:szCs w:val="20"/>
          <w:color w:val="auto"/>
        </w:rPr>
      </w:pPr>
    </w:p>
    <w:p>
      <w:pPr>
        <w:ind w:left="3160"/>
        <w:spacing w:after="0"/>
        <w:tabs>
          <w:tab w:leader="none" w:pos="3440" w:val="left"/>
          <w:tab w:leader="none" w:pos="3880" w:val="left"/>
          <w:tab w:leader="none" w:pos="4620" w:val="left"/>
          <w:tab w:leader="none" w:pos="5520" w:val="left"/>
        </w:tabs>
        <w:rPr>
          <w:sz w:val="20"/>
          <w:szCs w:val="20"/>
          <w:color w:val="auto"/>
        </w:rPr>
      </w:pPr>
      <w:r>
        <w:rPr>
          <w:rFonts w:ascii="Times New Roman" w:cs="Times New Roman" w:eastAsia="Times New Roman" w:hAnsi="Times New Roman"/>
          <w:sz w:val="18"/>
          <w:szCs w:val="18"/>
          <w:color w:val="auto"/>
        </w:rPr>
        <w:t>or</w:t>
        <w:tab/>
        <w:t>that</w:t>
        <w:tab/>
        <w:t>unfairly</w:t>
        <w:tab/>
        <w:t>disregards</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interests  of  any  security  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creditor, director or officer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to rectify the matters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complained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tabs>
          <w:tab w:leader="none" w:pos="3400" w:val="left"/>
          <w:tab w:leader="none" w:pos="4600" w:val="left"/>
          <w:tab w:leader="none" w:pos="5340" w:val="left"/>
          <w:tab w:leader="none" w:pos="5660" w:val="left"/>
        </w:tabs>
        <w:rPr>
          <w:sz w:val="20"/>
          <w:szCs w:val="20"/>
          <w:color w:val="auto"/>
        </w:rPr>
      </w:pPr>
      <w:r>
        <w:rPr>
          <w:rFonts w:ascii="Times New Roman" w:cs="Times New Roman" w:eastAsia="Times New Roman" w:hAnsi="Times New Roman"/>
          <w:sz w:val="18"/>
          <w:szCs w:val="18"/>
          <w:color w:val="auto"/>
        </w:rPr>
        <w:t>A</w:t>
        <w:tab/>
        <w:t>“complainant”</w:t>
        <w:tab/>
        <w:t>includes</w:t>
        <w:tab/>
        <w:t>(i)</w:t>
        <w:tab/>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040" w:val="left"/>
          <w:tab w:leader="none" w:pos="4680" w:val="left"/>
          <w:tab w:leader="none" w:pos="5020" w:val="left"/>
        </w:tabs>
        <w:rPr>
          <w:sz w:val="20"/>
          <w:szCs w:val="20"/>
          <w:color w:val="auto"/>
        </w:rPr>
      </w:pPr>
      <w:r>
        <w:rPr>
          <w:rFonts w:ascii="Times New Roman" w:cs="Times New Roman" w:eastAsia="Times New Roman" w:hAnsi="Times New Roman"/>
          <w:sz w:val="18"/>
          <w:szCs w:val="18"/>
          <w:color w:val="auto"/>
        </w:rPr>
        <w:t>registered</w:t>
        <w:tab/>
        <w:t>holder</w:t>
        <w:tab/>
        <w:t>or</w:t>
      </w:r>
      <w:r>
        <w:rPr>
          <w:sz w:val="20"/>
          <w:szCs w:val="20"/>
          <w:color w:val="auto"/>
        </w:rPr>
        <w:tab/>
      </w:r>
      <w:r>
        <w:rPr>
          <w:rFonts w:ascii="Times New Roman" w:cs="Times New Roman" w:eastAsia="Times New Roman" w:hAnsi="Times New Roman"/>
          <w:sz w:val="17"/>
          <w:szCs w:val="17"/>
          <w:color w:val="auto"/>
        </w:rPr>
        <w:t>beneficial</w:t>
      </w:r>
    </w:p>
    <w:p>
      <w:pPr>
        <w:spacing w:after="0" w:line="9" w:lineRule="exact"/>
        <w:rPr>
          <w:sz w:val="20"/>
          <w:szCs w:val="20"/>
          <w:color w:val="auto"/>
        </w:rPr>
      </w:pPr>
    </w:p>
    <w:p>
      <w:pPr>
        <w:ind w:left="3160"/>
        <w:spacing w:after="0"/>
        <w:tabs>
          <w:tab w:leader="none" w:pos="3760" w:val="left"/>
          <w:tab w:leader="none" w:pos="4160" w:val="left"/>
          <w:tab w:leader="none" w:pos="4380" w:val="left"/>
          <w:tab w:leader="none" w:pos="5020" w:val="left"/>
        </w:tabs>
        <w:rPr>
          <w:sz w:val="20"/>
          <w:szCs w:val="20"/>
          <w:color w:val="auto"/>
        </w:rPr>
      </w:pPr>
      <w:r>
        <w:rPr>
          <w:rFonts w:ascii="Times New Roman" w:cs="Times New Roman" w:eastAsia="Times New Roman" w:hAnsi="Times New Roman"/>
          <w:sz w:val="18"/>
          <w:szCs w:val="18"/>
          <w:color w:val="auto"/>
        </w:rPr>
        <w:t>owner,</w:t>
        <w:tab/>
        <w:t>and</w:t>
        <w:tab/>
        <w:t>a</w:t>
        <w:tab/>
        <w:t>former</w:t>
        <w:tab/>
        <w:t>registered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or beneficial owner,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security of a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(i) a director or an</w:t>
      </w:r>
    </w:p>
    <w:p>
      <w:pPr>
        <w:spacing w:after="0" w:line="9" w:lineRule="exact"/>
        <w:rPr>
          <w:sz w:val="20"/>
          <w:szCs w:val="20"/>
          <w:color w:val="auto"/>
        </w:rPr>
      </w:pPr>
    </w:p>
    <w:p>
      <w:pPr>
        <w:ind w:left="3160"/>
        <w:spacing w:after="0"/>
        <w:tabs>
          <w:tab w:leader="none" w:pos="3740" w:val="left"/>
          <w:tab w:leader="none" w:pos="4040" w:val="left"/>
          <w:tab w:leader="none" w:pos="4260" w:val="left"/>
          <w:tab w:leader="none" w:pos="4880" w:val="left"/>
          <w:tab w:leader="none" w:pos="5580" w:val="left"/>
        </w:tabs>
        <w:rPr>
          <w:sz w:val="20"/>
          <w:szCs w:val="20"/>
          <w:color w:val="auto"/>
        </w:rPr>
      </w:pPr>
      <w:r>
        <w:rPr>
          <w:rFonts w:ascii="Times New Roman" w:cs="Times New Roman" w:eastAsia="Times New Roman" w:hAnsi="Times New Roman"/>
          <w:sz w:val="18"/>
          <w:szCs w:val="18"/>
          <w:color w:val="auto"/>
        </w:rPr>
        <w:t>officer</w:t>
        <w:tab/>
        <w:t>or</w:t>
        <w:tab/>
        <w:t>a</w:t>
        <w:tab/>
        <w:t>former</w:t>
        <w:tab/>
        <w:t>director</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of a corporation or of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and  (iii)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person who, in the discretion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court, is a proper person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an application.</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oppression  remedy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court  with  very  broad  and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flexible  powers  to  intervene  in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affairs</w:t>
            </w:r>
          </w:p>
        </w:tc>
        <w:tc>
          <w:tcPr>
            <w:tcW w:w="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protect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complainants. While conduct that is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  breach  of  fiduciary  duties  of</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directors or that is contrary to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legal right of a complainant will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normally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trigger</w:t>
            </w: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court’s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oppression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remedy,  the  exercise  of  that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jurisdiction does not depend on 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finding of a breach of those legal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and equitable rights.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3"/>
        </w:trPr>
        <w:tc>
          <w:tcPr>
            <w:tcW w:w="256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Furthermore, the court may order 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corporation or its affiliate to pay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interim  costs  of  a  complainant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seeking an oppression remedy, but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complainant  may  be  held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accountable  for  interim  costs  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final disposition of the complaint.</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 Personal Liability</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no provision in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DGCL  permits  limiting  or</w:t>
            </w: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Directors and Officers</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contract, Bitfarms’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articles or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eliminating the monetary liability of</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of Bitfarms or a resolution of</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 director to a corporation or its</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board  of  directors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stockholders, except with regard to</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shareholders relieves a director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breaches  of  the  duty  of  loyalty,</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officer of Bitfarms from the duty to</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intentional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misconduct,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unlawful</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act in accordance with OBCA 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repurchases</w:t>
            </w:r>
          </w:p>
        </w:tc>
        <w:tc>
          <w:tcPr>
            <w:tcW w:w="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or</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regulations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thereunder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improper</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personal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relieves them from liability for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addition, the DGCL was amended to</w:t>
            </w: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breach thereof.</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permit  limiting  or  eliminating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monetary liability of an officer to a</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except with regard to breaches of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loyalty,</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intentional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misconduct,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improper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benefit or an action by or in the right</w:t>
            </w:r>
          </w:p>
        </w:tc>
      </w:tr>
      <w:tr>
        <w:trPr>
          <w:trHeight w:val="234"/>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of the corporation.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Indemnification of Directors and</w:t>
            </w:r>
          </w:p>
        </w:tc>
        <w:tc>
          <w:tcPr>
            <w:tcW w:w="100" w:type="dxa"/>
            <w:vAlign w:val="bottom"/>
            <w:vMerge w:val="continue"/>
          </w:tcPr>
          <w:p>
            <w:pPr>
              <w:spacing w:after="0"/>
              <w:rPr>
                <w:sz w:val="16"/>
                <w:szCs w:val="16"/>
                <w:color w:val="auto"/>
              </w:rPr>
            </w:pPr>
          </w:p>
        </w:tc>
        <w:tc>
          <w:tcPr>
            <w:tcW w:w="4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 w:type="dxa"/>
            <w:vAlign w:val="bottom"/>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OBCA,</w:t>
            </w:r>
          </w:p>
        </w:tc>
        <w:tc>
          <w:tcPr>
            <w:tcW w:w="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6"/>
                <w:szCs w:val="16"/>
                <w:color w:val="auto"/>
              </w:rPr>
            </w:pPr>
          </w:p>
        </w:tc>
        <w:tc>
          <w:tcPr>
            <w:tcW w:w="8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corporation</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5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Law</w:t>
            </w:r>
          </w:p>
        </w:tc>
        <w:tc>
          <w:tcPr>
            <w:tcW w:w="138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rPr>
              <w:t>and  Stronghold’s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may indemnify a director or officer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charter  and  by-laws  provide  that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corporation, a former director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indemnify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or  officer  of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who was or is a party or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another  individual  who  acts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threatened to be made a party to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acted at the corporation’s request as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threatened,</w:t>
            </w:r>
          </w:p>
        </w:tc>
        <w:tc>
          <w:tcPr>
            <w:tcW w:w="8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pending</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director  or  officer,  or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action or proceeding, whether civil,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acting  in  a  similar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criminal,</w:t>
            </w:r>
          </w:p>
        </w:tc>
        <w:tc>
          <w:tcPr>
            <w:tcW w:w="8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capacity,  of  another  entity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investigative (other than an action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against all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in the right of the corporation),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charges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expenses,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reason of the fact that he or she is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an amount paid to settle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was a legal representative,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or satisfy a judgment,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has agreed to become a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reasonably</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incurred</w:t>
            </w:r>
          </w:p>
        </w:tc>
        <w:tc>
          <w:tcPr>
            <w:tcW w:w="6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of the corporation or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any civil,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serving or has agreed to serve at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criminal,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request  of  the  corporation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officer, employee or agent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involved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another  corporation  or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of that association with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partnership, joint venture, trust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corporation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if:</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enterprise,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including</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 the individual acted honestly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respect  to  employee  benefit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 good faith with a view to the best</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corporation or, as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(including attorney’s fees),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case  may  be,  to  the  best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judgments, fines and amounts paid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other  entity  for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actually</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reasonably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acted  as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incurred by him or her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or officer or in a similar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the action or proceeding if he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capacity</w:t>
            </w:r>
          </w:p>
        </w:tc>
        <w:tc>
          <w:tcPr>
            <w:tcW w:w="40" w:type="dxa"/>
            <w:vAlign w:val="bottom"/>
          </w:tcPr>
          <w:p>
            <w:pPr>
              <w:spacing w:after="0"/>
              <w:rPr>
                <w:sz w:val="18"/>
                <w:szCs w:val="18"/>
                <w:color w:val="auto"/>
              </w:rPr>
            </w:pPr>
          </w:p>
        </w:tc>
        <w:tc>
          <w:tcPr>
            <w:tcW w:w="3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at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corporation’s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she acted in good faith and in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request; and (ii) if the matter is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manner he reasonably believed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criminal or administrative action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or  not  opposed  to,  the  best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proceeding that is enforced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interests of the corporation, and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monetary</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penalty,</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individual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respect to any criminal proceeding,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had</w:t>
            </w:r>
          </w:p>
        </w:tc>
        <w:tc>
          <w:tcPr>
            <w:tcW w:w="10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8"/>
              </w:rPr>
              <w:t>reasonable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grounds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had no reasonable cause to believe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believing</w:t>
            </w: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his or her conduct was unlawful.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conduct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was</w:t>
            </w:r>
          </w:p>
        </w:tc>
        <w:tc>
          <w:tcPr>
            <w:tcW w:w="30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lawful.</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right</w:t>
            </w:r>
          </w:p>
        </w:tc>
        <w:tc>
          <w:tcPr>
            <w:tcW w:w="42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Pr>
          <w:p>
            <w:pPr>
              <w:spacing w:after="0"/>
              <w:rPr>
                <w:sz w:val="18"/>
                <w:szCs w:val="18"/>
                <w:color w:val="auto"/>
              </w:rPr>
            </w:pPr>
          </w:p>
        </w:tc>
        <w:tc>
          <w:tcPr>
            <w:tcW w:w="12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9"/>
              </w:rPr>
              <w:t>indemnification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indemnifiable person</w:t>
            </w:r>
          </w:p>
        </w:tc>
        <w:tc>
          <w:tcPr>
            <w:tcW w:w="1020" w:type="dxa"/>
            <w:vAlign w:val="bottom"/>
            <w:gridSpan w:val="4"/>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may require</w:t>
            </w:r>
          </w:p>
        </w:tc>
        <w:tc>
          <w:tcPr>
            <w:tcW w:w="4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to indemnify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conferred shall be a contract right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all costs,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shall include the right to be paid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charges</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and  expenses</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reasonably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Stronghold the expenses incurred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incurred  by  the  individual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defending any such proceeding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connection with the defense of any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  of  its  final  disposition;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civil,</w:t>
            </w:r>
          </w:p>
        </w:tc>
        <w:tc>
          <w:tcPr>
            <w:tcW w:w="8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criminal,</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provided,  however,  that,  if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to</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DGCL requires, the payment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subject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incurred  by  a  current,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because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3"/>
              </w:rPr>
              <w:t>of</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the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former  or  proposed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association with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in his or her capacity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entity, as the case may be) if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or  proposed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was not judged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(and not in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court or other competent authority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capacity in which service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have  committed  any  fault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is  or  has  been  agreed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omitted  to  do  anything  that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rendered  by  such  person  while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ought to have done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including, without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fulfills the conditions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limitation, service to an employee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set out in (i) and (ii) above.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benefit plan) in advance of the final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may, with the approval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disposition of a proceeding, shall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  court,  also  indemnify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made  only  upon  delivery  to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in respect of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Stronghold of an undertaking, by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by or on behalf of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behalf  of  such  indemnified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or other entity to obtain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to  repay  all  amounts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judgment in its favor, to which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advanced if it shall ultimately be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is made a party because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determined</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individual’s association with</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or  other  entity,</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against  all  costs,  charges  and</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reasonably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the individual in connection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action, if the individual fulfils</w:t>
      </w:r>
    </w:p>
    <w:p>
      <w:pPr>
        <w:spacing w:after="0" w:line="9" w:lineRule="exact"/>
        <w:rPr>
          <w:sz w:val="20"/>
          <w:szCs w:val="20"/>
          <w:color w:val="auto"/>
        </w:rPr>
      </w:pPr>
    </w:p>
    <w:p>
      <w:pPr>
        <w:ind w:left="3160"/>
        <w:spacing w:after="0"/>
        <w:tabs>
          <w:tab w:leader="none" w:pos="3500" w:val="left"/>
          <w:tab w:leader="none" w:pos="4400" w:val="left"/>
          <w:tab w:leader="none" w:pos="4740" w:val="left"/>
          <w:tab w:leader="none" w:pos="5240" w:val="left"/>
          <w:tab w:leader="none" w:pos="5520" w:val="left"/>
        </w:tabs>
        <w:rPr>
          <w:sz w:val="20"/>
          <w:szCs w:val="20"/>
          <w:color w:val="auto"/>
        </w:rPr>
      </w:pPr>
      <w:r>
        <w:rPr>
          <w:rFonts w:ascii="Times New Roman" w:cs="Times New Roman" w:eastAsia="Times New Roman" w:hAnsi="Times New Roman"/>
          <w:sz w:val="18"/>
          <w:szCs w:val="18"/>
          <w:color w:val="auto"/>
        </w:rPr>
        <w:t>the</w:t>
        <w:tab/>
        <w:t>conditions</w:t>
        <w:tab/>
        <w:t>set</w:t>
        <w:tab/>
        <w:t>forth</w:t>
        <w:tab/>
        <w:t>in</w:t>
        <w:tab/>
        <w:t>(i),</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w:t>
      </w:r>
    </w:p>
    <w:p>
      <w:pPr>
        <w:sectPr>
          <w:pgSz w:w="11900" w:h="16838" w:orient="portrait"/>
          <w:cols w:equalWidth="0" w:num="1">
            <w:col w:w="9019"/>
          </w:cols>
          <w:pgMar w:left="1440" w:top="270" w:right="144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6"/>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As permitted by the OBCA, the</w:t>
            </w:r>
          </w:p>
        </w:tc>
        <w:tc>
          <w:tcPr>
            <w:tcW w:w="100" w:type="dxa"/>
            <w:vAlign w:val="bottom"/>
            <w:vMerge w:val="continue"/>
          </w:tcPr>
          <w:p>
            <w:pPr>
              <w:spacing w:after="0"/>
              <w:rPr>
                <w:sz w:val="16"/>
                <w:szCs w:val="16"/>
                <w:color w:val="auto"/>
              </w:rPr>
            </w:pPr>
          </w:p>
        </w:tc>
        <w:tc>
          <w:tcPr>
            <w:tcW w:w="27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that such indemnified person is not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by-laws permit Bitfarms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be  indemnified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indemnify a director or officer of</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 or otherwise.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  former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of  Bitfarms,  or  another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  who  acts  or  acted  at</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request as a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or an individual acting in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similar capacity of another entity.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is authorized to execute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agreements in favor of any of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foregoing</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evidencing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terms of the indemnity.</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purchase</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maintain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insurance  for  the  benefit  of  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indemnifiable  person</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liability incurred by the individual,</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in the individual’s capacity as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officer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or   (ii)   in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individual’s capacity as a director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officer, or a similar capacity, of</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another entity, if the individual acts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acted  in  that  capacity  at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corporation’s request. The Bitfarms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by-laws allow such insurance to be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purchased and maintained.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Appraisal/Dissent Rights</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holders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Delaware Law, a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of any class or series of a</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dissent  from,  and  receive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are entitled to 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payments in cash for, the fair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dissent rights in respect of certain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his or her shares as appraised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matters and to be paid the fair value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Delaware Court of Chancery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their  shares  in  connection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event  of  certain  mergers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The  dissent  right  is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consolidations.</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applicable,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among</w:t>
            </w: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certain  other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do not have appraisal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things, in respect of resolutions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rights if the shares of stock they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to  (i)  amend  its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  at  the  record  date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articles to add, remove or change</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restrictions on the issue, transfer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vote at the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shares of a class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to act upon the merger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series; (ii) amend its articles to add,</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consolidation, or on the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remove or change any restriction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with respect to action by written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business or businesses that</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are either (i) listed on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may carry on or</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securities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exchange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powers   that   the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held of record by more than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may</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holders. Further, no appraisal</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62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(with certain rights are available to stockholders exceptions); (iv) be continued of the surviving corporation if the</w:t>
      </w:r>
    </w:p>
    <w:p>
      <w:pPr>
        <w:spacing w:after="0" w:line="1" w:lineRule="exact"/>
        <w:rPr>
          <w:sz w:val="20"/>
          <w:szCs w:val="20"/>
          <w:color w:val="auto"/>
        </w:rPr>
      </w:pPr>
    </w:p>
    <w:p>
      <w:pPr>
        <w:ind w:left="3160"/>
        <w:spacing w:after="0"/>
        <w:tabs>
          <w:tab w:leader="none" w:pos="3780" w:val="left"/>
          <w:tab w:leader="none" w:pos="4240" w:val="left"/>
          <w:tab w:leader="none" w:pos="4800" w:val="left"/>
          <w:tab w:leader="none" w:pos="5200" w:val="left"/>
        </w:tabs>
        <w:rPr>
          <w:sz w:val="20"/>
          <w:szCs w:val="20"/>
          <w:color w:val="auto"/>
        </w:rPr>
      </w:pPr>
      <w:r>
        <w:rPr>
          <w:rFonts w:ascii="Times New Roman" w:cs="Times New Roman" w:eastAsia="Times New Roman" w:hAnsi="Times New Roman"/>
          <w:sz w:val="18"/>
          <w:szCs w:val="18"/>
          <w:color w:val="auto"/>
        </w:rPr>
        <w:t>under</w:t>
        <w:tab/>
        <w:t>the</w:t>
        <w:tab/>
        <w:t>laws</w:t>
        <w:tab/>
        <w:t>of</w:t>
        <w:tab/>
        <w:t>another merger did not require the vote of the</w:t>
      </w:r>
    </w:p>
    <w:p>
      <w:pPr>
        <w:spacing w:after="0" w:line="9" w:lineRule="exact"/>
        <w:rPr>
          <w:sz w:val="20"/>
          <w:szCs w:val="20"/>
          <w:color w:val="auto"/>
        </w:rPr>
      </w:pPr>
    </w:p>
    <w:p>
      <w:pPr>
        <w:ind w:left="3160"/>
        <w:spacing w:after="0"/>
        <w:tabs>
          <w:tab w:leader="none" w:pos="6980" w:val="left"/>
          <w:tab w:leader="none" w:pos="7380" w:val="left"/>
          <w:tab w:leader="none" w:pos="7840" w:val="left"/>
        </w:tabs>
        <w:rPr>
          <w:sz w:val="20"/>
          <w:szCs w:val="20"/>
          <w:color w:val="auto"/>
        </w:rPr>
      </w:pPr>
      <w:r>
        <w:rPr>
          <w:rFonts w:ascii="Times New Roman" w:cs="Times New Roman" w:eastAsia="Times New Roman" w:hAnsi="Times New Roman"/>
          <w:sz w:val="18"/>
          <w:szCs w:val="18"/>
          <w:color w:val="auto"/>
        </w:rPr>
        <w:t>jurisdiction or certain other Ontario stockholders</w:t>
        <w:tab/>
        <w:t>of</w:t>
        <w:tab/>
        <w:t>the</w:t>
      </w:r>
      <w:r>
        <w:rPr>
          <w:sz w:val="20"/>
          <w:szCs w:val="20"/>
          <w:color w:val="auto"/>
        </w:rPr>
        <w:tab/>
      </w:r>
      <w:r>
        <w:rPr>
          <w:rFonts w:ascii="Times New Roman" w:cs="Times New Roman" w:eastAsia="Times New Roman" w:hAnsi="Times New Roman"/>
          <w:sz w:val="17"/>
          <w:szCs w:val="17"/>
          <w:color w:val="auto"/>
        </w:rPr>
        <w:t>surviving</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statutes; (v) sell, lease or exchange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all or substantially all its property;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(vi) certain amendments to the</w:t>
      </w:r>
    </w:p>
    <w:p>
      <w:pPr>
        <w:spacing w:after="0" w:line="9" w:lineRule="exact"/>
        <w:rPr>
          <w:sz w:val="20"/>
          <w:szCs w:val="20"/>
          <w:color w:val="auto"/>
        </w:rPr>
      </w:pPr>
    </w:p>
    <w:p>
      <w:pPr>
        <w:ind w:left="3160"/>
        <w:spacing w:after="0"/>
        <w:tabs>
          <w:tab w:leader="none" w:pos="3800" w:val="left"/>
          <w:tab w:leader="none" w:pos="4100" w:val="left"/>
          <w:tab w:leader="none" w:pos="4320" w:val="left"/>
          <w:tab w:leader="none" w:pos="5300" w:val="left"/>
        </w:tabs>
        <w:rPr>
          <w:sz w:val="20"/>
          <w:szCs w:val="20"/>
          <w:color w:val="auto"/>
        </w:rPr>
      </w:pPr>
      <w:r>
        <w:rPr>
          <w:rFonts w:ascii="Times New Roman" w:cs="Times New Roman" w:eastAsia="Times New Roman" w:hAnsi="Times New Roman"/>
          <w:sz w:val="18"/>
          <w:szCs w:val="18"/>
          <w:color w:val="auto"/>
        </w:rPr>
        <w:t>articles</w:t>
        <w:tab/>
        <w:t>of</w:t>
        <w:tab/>
        <w:t>a</w:t>
        <w:tab/>
        <w:t>corporation</w:t>
        <w:tab/>
        <w:t>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a separate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w w:val="99"/>
              </w:rPr>
              <w:t>by a holder of shares of any class or</w:t>
            </w:r>
          </w:p>
        </w:tc>
        <w:tc>
          <w:tcPr>
            <w:tcW w:w="100" w:type="dxa"/>
            <w:vAlign w:val="bottom"/>
            <w:vMerge w:val="continue"/>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Notwithstanding</w:t>
            </w:r>
          </w:p>
        </w:tc>
        <w:tc>
          <w:tcPr>
            <w:tcW w:w="5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8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foregoing,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entitled  to  vote  on  such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appraisal  rights  are  available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matters, including in certain cases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are  required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the merger agreement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otherwise</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carrying  voting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rights;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accept for their shares anything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provided that a shareholder is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than  (i)  shares  of  stock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entitled</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dissent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surviving corporation, (ii)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the  articles  is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of another corporation that will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effected by a court order approving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either  be  listed  on  a  national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reorganization.</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exchange or held of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by more than 2,000 holders, (iii) 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instead  of  fractional</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any combination of clauses (i) –</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available under the DGCL in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circumstances,  including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certain parent-subsidiary corporation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mergers and in certain circumstances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where the certificate of incorporation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 provides.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Rights Plans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has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shareholder</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rights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2540" w:type="dxa"/>
            <w:vAlign w:val="bottom"/>
          </w:tcPr>
          <w:p>
            <w:pPr>
              <w:spacing w:after="0"/>
              <w:rPr>
                <w:sz w:val="17"/>
                <w:szCs w:val="17"/>
                <w:color w:val="auto"/>
              </w:rPr>
            </w:pPr>
          </w:p>
        </w:tc>
        <w:tc>
          <w:tcPr>
            <w:tcW w:w="2800" w:type="dxa"/>
            <w:vAlign w:val="bottom"/>
            <w:gridSpan w:val="8"/>
          </w:tcPr>
          <w:p>
            <w:pPr>
              <w:ind w:left="160"/>
              <w:spacing w:after="0" w:line="198" w:lineRule="exact"/>
              <w:rPr>
                <w:sz w:val="20"/>
                <w:szCs w:val="20"/>
                <w:color w:val="auto"/>
              </w:rPr>
            </w:pPr>
            <w:r>
              <w:rPr>
                <w:rFonts w:ascii="Times New Roman" w:cs="Times New Roman" w:eastAsia="Times New Roman" w:hAnsi="Times New Roman"/>
                <w:sz w:val="18"/>
                <w:szCs w:val="18"/>
                <w:color w:val="auto"/>
              </w:rPr>
              <w:t>plan, the Revised Rights Plan, that</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is designed to encourage the fair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treatment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connection with any takeover bid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for Bitfarms. Rights issued under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Revised Rights Plan become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exercisable 10 trading days after a</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person acquires or announces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intention to acquire 20% or more of</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Bitfarms common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without</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complying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certain  provisions  set  out  in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Revised Rights Plan. Should such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acquisition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announcement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occur, each rights holder, other than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acquiring  person  or  related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parties,  will  have  the  right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purchase Bitfarms common shares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at  a  significant  discount  to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market price.</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Approval of Extraordinary</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5"/>
              </w:rPr>
              <w:t>OBCA,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Section 203 of the DGCL,</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 Anti-Takeover</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7"/>
              </w:rPr>
              <w:t>fundamental</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changes</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such</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may  not  engage  in</w:t>
            </w:r>
          </w:p>
        </w:tc>
      </w:tr>
      <w:tr>
        <w:trPr>
          <w:trHeight w:val="22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articles</w:t>
            </w:r>
          </w:p>
        </w:tc>
        <w:tc>
          <w:tcPr>
            <w:tcW w:w="12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combinations,</w:t>
            </w:r>
          </w:p>
        </w:tc>
      </w:tr>
      <w:tr>
        <w:trPr>
          <w:trHeight w:val="216"/>
        </w:trPr>
        <w:tc>
          <w:tcPr>
            <w:tcW w:w="254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amalgamations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with</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including mergers, sales and leases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affiliated</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corporations),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assets, issuances of securities and</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continuances to another jurisdiction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similar transactions, with any</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and sales, leases or exchanges of all</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 that owns 15% or more</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 substantially all of the property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the outstanding voting stock of</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of a corporation (other than in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(for  purposes  of  this</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ordinary course of business) and</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paragraph,</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extraordinary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stockholder”)</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three   years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such</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liquidations,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following the date such stockholder</w:t>
            </w: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dissolutions</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and</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arrangements (if</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became</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interested  stockholder</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ordered by a court) are required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be approved by special resolution.</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11"/>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8"/>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11"/>
          </w:tcPr>
          <w:p>
            <w:pPr>
              <w:spacing w:after="0" w:line="191" w:lineRule="exact"/>
              <w:rPr>
                <w:sz w:val="20"/>
                <w:szCs w:val="20"/>
                <w:color w:val="auto"/>
              </w:rPr>
            </w:pPr>
            <w:r>
              <w:rPr>
                <w:rFonts w:ascii="Times New Roman" w:cs="Times New Roman" w:eastAsia="Times New Roman" w:hAnsi="Times New Roman"/>
                <w:sz w:val="18"/>
                <w:szCs w:val="18"/>
                <w:color w:val="auto"/>
              </w:rPr>
              <w:t>In  addition,  the  OBCA  provides</w:t>
            </w:r>
          </w:p>
        </w:tc>
        <w:tc>
          <w:tcPr>
            <w:tcW w:w="100" w:type="dxa"/>
            <w:vAlign w:val="bottom"/>
            <w:vMerge w:val="continue"/>
          </w:tcPr>
          <w:p>
            <w:pPr>
              <w:spacing w:after="0"/>
              <w:rPr>
                <w:sz w:val="16"/>
                <w:szCs w:val="16"/>
                <w:color w:val="auto"/>
              </w:rPr>
            </w:pPr>
          </w:p>
        </w:tc>
        <w:tc>
          <w:tcPr>
            <w:tcW w:w="27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auto"/>
              </w:rPr>
              <w:t>unless   one   of   the   following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that  the  corporation  may  effect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exceptions applies: (i) the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fundamental</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changes by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applying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approved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 court for an order approving an</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8"/>
              </w:rPr>
              <w:t>business</w:t>
            </w: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8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In general, a plan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is  approved  by  a</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becoming</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82"/>
              </w:rPr>
              <w:t>an</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corporation’s board of directors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prior to the time that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then is submitted to a court for</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became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8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It is not unusual for a</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  upon  consummation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circumstances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apply to a court initially for an</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becoming an interested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order</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governing</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various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such person owned at least 85%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procedural matters prior to calling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outstanding  voting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security  holder  meeting  to</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Stronghold, excluding, for purposes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consider the proposed arrangement.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determining  the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court  determines  to  whom</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outstanding (but not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notice shall be given and whether,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voting stock owned by the 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and in what manner, approval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stockholder), those shares owned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person is to be obtained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who are also officers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also</w:t>
            </w: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determines</w:t>
            </w:r>
          </w:p>
        </w:tc>
        <w:tc>
          <w:tcPr>
            <w:tcW w:w="7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whether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certain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shareholders may dissent from the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(iii) the transaction is approved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proposed arrangement and receive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Stronghold board of directors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payment of the fair value of their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the affirmative vote of at least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shares. Following compliance with</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66⅔%  of  the  outstanding  voting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procedural</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steps</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contemplated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 which is not owned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any such interim order (including</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w:t>
            </w:r>
          </w:p>
        </w:tc>
        <w:tc>
          <w:tcPr>
            <w:tcW w:w="16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as  to  obtaining  security  holder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“interested</w:t>
            </w:r>
          </w:p>
        </w:tc>
        <w:tc>
          <w:tcPr>
            <w:tcW w:w="160" w:type="dxa"/>
            <w:vAlign w:val="bottom"/>
          </w:tcPr>
          <w:p>
            <w:pPr>
              <w:spacing w:after="0"/>
              <w:rPr>
                <w:sz w:val="18"/>
                <w:szCs w:val="18"/>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the court would conduct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includes the affiliates and associates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final  hearing  and  approve  or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a 15% or more owner and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reject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proposed</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arrangement. affiliate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or</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associate of</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i w:val="1"/>
                <w:iCs w:val="1"/>
                <w:color w:val="auto"/>
              </w:rPr>
              <w:t>Multilateral Instrument 61-101  –</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was the owner of 15% or more</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2"/>
            <w:vMerge w:val="continue"/>
          </w:tcPr>
          <w:p>
            <w:pPr>
              <w:spacing w:after="0"/>
              <w:rPr>
                <w:sz w:val="15"/>
                <w:szCs w:val="15"/>
                <w:color w:val="auto"/>
              </w:rPr>
            </w:pPr>
          </w:p>
        </w:tc>
        <w:tc>
          <w:tcPr>
            <w:tcW w:w="270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of  the  outstanding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Protection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8"/>
                <w:szCs w:val="18"/>
                <w:i w:val="1"/>
                <w:iCs w:val="1"/>
                <w:color w:val="auto"/>
              </w:rPr>
              <w:t>Minority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Security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preceding three (3) year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Holders</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85"/>
              </w:rPr>
              <w:t>in</w:t>
            </w:r>
          </w:p>
        </w:tc>
        <w:tc>
          <w:tcPr>
            <w:tcW w:w="1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Special</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Transactions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(“MI  61-101”)  contains  detailed</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exceptions).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requirements</w:t>
            </w:r>
          </w:p>
        </w:tc>
        <w:tc>
          <w:tcPr>
            <w:tcW w:w="1240" w:type="dxa"/>
            <w:vAlign w:val="bottom"/>
            <w:gridSpan w:val="6"/>
          </w:tcPr>
          <w:p>
            <w:pPr>
              <w:ind w:left="80"/>
              <w:spacing w:after="0" w:line="184" w:lineRule="exact"/>
              <w:rPr>
                <w:sz w:val="20"/>
                <w:szCs w:val="20"/>
                <w:color w:val="auto"/>
              </w:rPr>
            </w:pPr>
            <w:r>
              <w:rPr>
                <w:rFonts w:ascii="Times New Roman" w:cs="Times New Roman" w:eastAsia="Times New Roman" w:hAnsi="Times New Roman"/>
                <w:sz w:val="18"/>
                <w:szCs w:val="18"/>
                <w:color w:val="auto"/>
              </w:rPr>
              <w:t>in  connection</w:t>
            </w:r>
          </w:p>
        </w:tc>
        <w:tc>
          <w:tcPr>
            <w:tcW w:w="48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with</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3"/>
              </w:rPr>
              <w:t>related</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parties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Stronghold’s charter does not contain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party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provision  electing  not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“business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governed  by  Section  203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combinations”,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“insider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bids”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DGCL, so Stronghold is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“issuer  bids”).  A  related  party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such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provision.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means,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transaction  by  which  an  issuer,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directly or indirectly, consummates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one or more specified transactions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  a  related  party,  including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purchasing or disposing of an asset,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3"/>
              </w:rPr>
              <w:t>issuing</w:t>
            </w:r>
          </w:p>
        </w:tc>
        <w:tc>
          <w:tcPr>
            <w:tcW w:w="12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assuming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8"/>
              </w:rPr>
              <w:t>“Related</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party”</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defined  in  MI  61-101  includes,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among  others,  (i)  directors  and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senior</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issuer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160" w:right="3259" w:hanging="6"/>
        <w:spacing w:after="0" w:line="250" w:lineRule="auto"/>
        <w:tabs>
          <w:tab w:leader="none" w:pos="351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securities of the issuer carrying more than 10% of the voting rights attached to all the</w:t>
      </w:r>
    </w:p>
    <w:p>
      <w:pPr>
        <w:spacing w:after="0" w:line="1" w:lineRule="exact"/>
        <w:rPr>
          <w:rFonts w:ascii="Times New Roman" w:cs="Times New Roman" w:eastAsia="Times New Roman" w:hAnsi="Times New Roman"/>
          <w:sz w:val="18"/>
          <w:szCs w:val="18"/>
          <w:color w:val="auto"/>
        </w:rPr>
      </w:pPr>
    </w:p>
    <w:p>
      <w:pPr>
        <w:ind w:left="3160" w:right="3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outstanding voting securities.</w:t>
      </w:r>
    </w:p>
    <w:p>
      <w:pPr>
        <w:sectPr>
          <w:pgSz w:w="11900" w:h="16838" w:orient="portrait"/>
          <w:cols w:equalWidth="0" w:num="1">
            <w:col w:w="9019"/>
          </w:cols>
          <w:pgMar w:left="1440" w:top="270"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6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MI  61-101  requires,  subject  to</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certain exceptions, specific detailed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circular sent to security holders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connection  with  a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where  a  meeting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required  and,  subject  to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the  preparation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formal  valuation  of  the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   of   the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and   any   non-cash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consideration offered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and the inclusion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of the valuation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proxy  circular.  MI  61-101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requires,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subject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that  an  issuer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engage in a related party transaction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unless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360" w:type="dxa"/>
            <w:vAlign w:val="bottom"/>
          </w:tcPr>
          <w:p>
            <w:pPr>
              <w:spacing w:after="0"/>
              <w:rPr>
                <w:sz w:val="18"/>
                <w:szCs w:val="18"/>
                <w:color w:val="auto"/>
              </w:rPr>
            </w:pP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of  the  issuer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approved</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by a simple majority of</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votes cast.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Compulsory Acquisitions</w:t>
            </w: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if a take- Not applicable.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bid or an issuer bid is made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of</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distributing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defined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in  the</w:t>
            </w:r>
          </w:p>
        </w:tc>
        <w:tc>
          <w:tcPr>
            <w:tcW w:w="0" w:type="dxa"/>
            <w:vAlign w:val="bottom"/>
          </w:tcPr>
          <w:p>
            <w:pPr>
              <w:spacing w:after="0"/>
              <w:rPr>
                <w:sz w:val="1"/>
                <w:szCs w:val="1"/>
                <w:color w:val="auto"/>
              </w:rPr>
            </w:pPr>
          </w:p>
        </w:tc>
      </w:tr>
    </w:tbl>
    <w:p>
      <w:pPr>
        <w:ind w:left="3160"/>
        <w:spacing w:after="0"/>
        <w:tabs>
          <w:tab w:leader="none" w:pos="3920" w:val="left"/>
          <w:tab w:leader="none" w:pos="4420" w:val="left"/>
          <w:tab w:leader="none" w:pos="4740" w:val="left"/>
          <w:tab w:leader="none" w:pos="5600" w:val="left"/>
        </w:tabs>
        <w:rPr>
          <w:sz w:val="20"/>
          <w:szCs w:val="20"/>
          <w:color w:val="auto"/>
        </w:rPr>
      </w:pPr>
      <w:r>
        <w:rPr>
          <w:rFonts w:ascii="Times New Roman" w:cs="Times New Roman" w:eastAsia="Times New Roman" w:hAnsi="Times New Roman"/>
          <w:sz w:val="18"/>
          <w:szCs w:val="18"/>
          <w:color w:val="auto"/>
        </w:rPr>
        <w:t>OBCA),</w:t>
        <w:tab/>
        <w:t>such</w:t>
        <w:tab/>
        <w:t>as</w:t>
        <w:tab/>
        <w:t>Bitfarms,</w:t>
      </w:r>
      <w:r>
        <w:rPr>
          <w:sz w:val="20"/>
          <w:szCs w:val="20"/>
          <w:color w:val="auto"/>
        </w:rPr>
        <w:tab/>
      </w:r>
      <w:r>
        <w:rPr>
          <w:rFonts w:ascii="Times New Roman" w:cs="Times New Roman" w:eastAsia="Times New Roman" w:hAnsi="Times New Roman"/>
          <w:sz w:val="16"/>
          <w:szCs w:val="16"/>
          <w:color w:val="auto"/>
        </w:rPr>
        <w:t>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approximately  the  same  time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 all of the shares of a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issued shares, including an offer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made by a distributing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repurchase all of the shares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 of its shares (a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such offer is accepted within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120 days of the takeover bid by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not less than 90%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(other than the shares held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 the offeror or an affiliate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 of the offeror) of any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to which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relates, then the offeror is entitled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acquire the shares held by those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securities of that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who did not accept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either on the same terms on 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offeror acquired shares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takeover bid or for payment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fair  value  of  such  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as determined in accordance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the dissent right procedures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Where 90% or more of a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160" w:val="left"/>
          <w:tab w:leader="none" w:pos="4640" w:val="left"/>
          <w:tab w:leader="none" w:pos="5160" w:val="left"/>
        </w:tabs>
        <w:rPr>
          <w:sz w:val="20"/>
          <w:szCs w:val="20"/>
          <w:color w:val="auto"/>
        </w:rPr>
      </w:pPr>
      <w:r>
        <w:rPr>
          <w:rFonts w:ascii="Times New Roman" w:cs="Times New Roman" w:eastAsia="Times New Roman" w:hAnsi="Times New Roman"/>
          <w:sz w:val="18"/>
          <w:szCs w:val="18"/>
          <w:color w:val="auto"/>
        </w:rPr>
        <w:t>securities</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color w:val="auto"/>
        </w:rPr>
        <w:t>offering</w:t>
      </w:r>
    </w:p>
    <w:p>
      <w:pPr>
        <w:spacing w:after="0" w:line="9" w:lineRule="exact"/>
        <w:rPr>
          <w:sz w:val="20"/>
          <w:szCs w:val="20"/>
          <w:color w:val="auto"/>
        </w:rPr>
      </w:pPr>
    </w:p>
    <w:p>
      <w:pPr>
        <w:ind w:left="3160"/>
        <w:spacing w:after="0"/>
        <w:tabs>
          <w:tab w:leader="none" w:pos="4260" w:val="left"/>
          <w:tab w:leader="none" w:pos="4860" w:val="left"/>
          <w:tab w:leader="none" w:pos="5420" w:val="left"/>
        </w:tabs>
        <w:rPr>
          <w:sz w:val="20"/>
          <w:szCs w:val="20"/>
          <w:color w:val="auto"/>
        </w:rPr>
      </w:pPr>
      <w:r>
        <w:rPr>
          <w:rFonts w:ascii="Times New Roman" w:cs="Times New Roman" w:eastAsia="Times New Roman" w:hAnsi="Times New Roman"/>
          <w:sz w:val="18"/>
          <w:szCs w:val="18"/>
          <w:color w:val="auto"/>
        </w:rPr>
        <w:t>corporation,</w:t>
        <w:tab/>
        <w:t>other</w:t>
        <w:tab/>
        <w:t>than</w:t>
      </w:r>
      <w:r>
        <w:rPr>
          <w:sz w:val="20"/>
          <w:szCs w:val="20"/>
          <w:color w:val="auto"/>
        </w:rPr>
        <w:tab/>
      </w:r>
      <w:r>
        <w:rPr>
          <w:rFonts w:ascii="Times New Roman" w:cs="Times New Roman" w:eastAsia="Times New Roman" w:hAnsi="Times New Roman"/>
          <w:sz w:val="17"/>
          <w:szCs w:val="17"/>
          <w:color w:val="auto"/>
        </w:rPr>
        <w:t>debt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obligations, are acquired by or 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behalf  of  a  person,  the  person’s</w:t>
      </w:r>
    </w:p>
    <w:p>
      <w:pPr>
        <w:spacing w:after="0" w:line="9" w:lineRule="exact"/>
        <w:rPr>
          <w:sz w:val="20"/>
          <w:szCs w:val="20"/>
          <w:color w:val="auto"/>
        </w:rPr>
      </w:pPr>
    </w:p>
    <w:p>
      <w:pPr>
        <w:ind w:left="3160"/>
        <w:spacing w:after="0"/>
        <w:tabs>
          <w:tab w:leader="none" w:pos="4060" w:val="left"/>
          <w:tab w:leader="none" w:pos="4620" w:val="left"/>
          <w:tab w:leader="none" w:pos="5140" w:val="left"/>
        </w:tabs>
        <w:rPr>
          <w:sz w:val="20"/>
          <w:szCs w:val="20"/>
          <w:color w:val="auto"/>
        </w:rPr>
      </w:pPr>
      <w:r>
        <w:rPr>
          <w:rFonts w:ascii="Times New Roman" w:cs="Times New Roman" w:eastAsia="Times New Roman" w:hAnsi="Times New Roman"/>
          <w:sz w:val="18"/>
          <w:szCs w:val="18"/>
          <w:color w:val="auto"/>
        </w:rPr>
        <w:t>affiliates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7"/>
          <w:szCs w:val="17"/>
          <w:color w:val="auto"/>
        </w:rPr>
        <w:t>person’s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associates, then the holder of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securities of that class not counted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purposes of calculating such</w:t>
      </w:r>
    </w:p>
    <w:p>
      <w:pPr>
        <w:spacing w:after="0" w:line="9" w:lineRule="exact"/>
        <w:rPr>
          <w:sz w:val="20"/>
          <w:szCs w:val="20"/>
          <w:color w:val="auto"/>
        </w:rPr>
      </w:pPr>
    </w:p>
    <w:p>
      <w:pPr>
        <w:ind w:left="3160"/>
        <w:spacing w:after="0"/>
        <w:tabs>
          <w:tab w:leader="none" w:pos="4060" w:val="left"/>
          <w:tab w:leader="none" w:pos="456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percentage</w:t>
        <w:tab/>
        <w:t>shall</w:t>
        <w:tab/>
        <w:t>be</w:t>
        <w:tab/>
        <w:t>entitled</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the corporation to acquire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holder’s securities of that class.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an offering corporation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proposes to carry out a “going</w:t>
      </w:r>
    </w:p>
    <w:p>
      <w:pPr>
        <w:spacing w:after="0" w:line="9" w:lineRule="exact"/>
        <w:rPr>
          <w:sz w:val="20"/>
          <w:szCs w:val="20"/>
          <w:color w:val="auto"/>
        </w:rPr>
      </w:pPr>
    </w:p>
    <w:p>
      <w:pPr>
        <w:ind w:left="3160"/>
        <w:spacing w:after="0"/>
        <w:tabs>
          <w:tab w:leader="none" w:pos="3840" w:val="left"/>
          <w:tab w:leader="none" w:pos="4960" w:val="left"/>
          <w:tab w:leader="none" w:pos="5600" w:val="left"/>
        </w:tabs>
        <w:rPr>
          <w:sz w:val="20"/>
          <w:szCs w:val="20"/>
          <w:color w:val="auto"/>
        </w:rPr>
      </w:pPr>
      <w:r>
        <w:rPr>
          <w:rFonts w:ascii="Times New Roman" w:cs="Times New Roman" w:eastAsia="Times New Roman" w:hAnsi="Times New Roman"/>
          <w:sz w:val="18"/>
          <w:szCs w:val="18"/>
          <w:color w:val="auto"/>
        </w:rPr>
        <w:t>private</w:t>
        <w:tab/>
        <w:t>transaction”,</w:t>
        <w:tab/>
        <w:t>which</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3160"/>
        <w:spacing w:after="0"/>
        <w:tabs>
          <w:tab w:leader="none" w:pos="4160" w:val="left"/>
          <w:tab w:leader="none" w:pos="5060" w:val="left"/>
          <w:tab w:leader="none" w:pos="5560" w:val="left"/>
        </w:tabs>
        <w:rPr>
          <w:sz w:val="20"/>
          <w:szCs w:val="20"/>
          <w:color w:val="auto"/>
        </w:rPr>
      </w:pPr>
      <w:r>
        <w:rPr>
          <w:rFonts w:ascii="Times New Roman" w:cs="Times New Roman" w:eastAsia="Times New Roman" w:hAnsi="Times New Roman"/>
          <w:sz w:val="18"/>
          <w:szCs w:val="18"/>
          <w:color w:val="auto"/>
        </w:rPr>
        <w:t>generally</w:t>
      </w:r>
      <w:r>
        <w:rPr>
          <w:sz w:val="20"/>
          <w:szCs w:val="20"/>
          <w:color w:val="auto"/>
        </w:rPr>
        <w:tab/>
      </w:r>
      <w:r>
        <w:rPr>
          <w:rFonts w:ascii="Times New Roman" w:cs="Times New Roman" w:eastAsia="Times New Roman" w:hAnsi="Times New Roman"/>
          <w:sz w:val="18"/>
          <w:szCs w:val="18"/>
          <w:color w:val="auto"/>
        </w:rPr>
        <w:t>defined</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6"/>
          <w:szCs w:val="16"/>
          <w:color w:val="auto"/>
        </w:rPr>
        <w:t>an</w:t>
      </w:r>
    </w:p>
    <w:p>
      <w:pPr>
        <w:spacing w:after="0" w:line="9" w:lineRule="exact"/>
        <w:rPr>
          <w:sz w:val="20"/>
          <w:szCs w:val="20"/>
          <w:color w:val="auto"/>
        </w:rPr>
      </w:pPr>
    </w:p>
    <w:p>
      <w:pPr>
        <w:ind w:left="3160"/>
        <w:spacing w:after="0"/>
        <w:tabs>
          <w:tab w:leader="none" w:pos="4780" w:val="left"/>
        </w:tabs>
        <w:rPr>
          <w:sz w:val="20"/>
          <w:szCs w:val="20"/>
          <w:color w:val="auto"/>
        </w:rPr>
      </w:pPr>
      <w:r>
        <w:rPr>
          <w:rFonts w:ascii="Times New Roman" w:cs="Times New Roman" w:eastAsia="Times New Roman" w:hAnsi="Times New Roman"/>
          <w:sz w:val="18"/>
          <w:szCs w:val="18"/>
          <w:color w:val="auto"/>
        </w:rPr>
        <w:t>amalgamation,</w:t>
      </w:r>
      <w:r>
        <w:rPr>
          <w:sz w:val="20"/>
          <w:szCs w:val="20"/>
          <w:color w:val="auto"/>
        </w:rPr>
        <w:tab/>
      </w: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consolidation or other 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would cause the interest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of a participating security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corporation  to  be  terminated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without the consent of the holder</w:t>
      </w:r>
    </w:p>
    <w:p>
      <w:pPr>
        <w:spacing w:after="0" w:line="9" w:lineRule="exact"/>
        <w:rPr>
          <w:sz w:val="20"/>
          <w:szCs w:val="20"/>
          <w:color w:val="auto"/>
        </w:rPr>
      </w:pPr>
    </w:p>
    <w:p>
      <w:pPr>
        <w:ind w:left="3160"/>
        <w:spacing w:after="0"/>
        <w:tabs>
          <w:tab w:leader="none" w:pos="3640" w:val="left"/>
          <w:tab w:leader="none" w:pos="4420" w:val="left"/>
          <w:tab w:leader="none" w:pos="4900" w:val="left"/>
        </w:tabs>
        <w:rPr>
          <w:sz w:val="20"/>
          <w:szCs w:val="20"/>
          <w:color w:val="auto"/>
        </w:rPr>
      </w:pPr>
      <w:r>
        <w:rPr>
          <w:rFonts w:ascii="Times New Roman" w:cs="Times New Roman" w:eastAsia="Times New Roman" w:hAnsi="Times New Roman"/>
          <w:sz w:val="18"/>
          <w:szCs w:val="18"/>
          <w:color w:val="auto"/>
        </w:rPr>
        <w:t>and</w:t>
        <w:tab/>
        <w:t>without</w:t>
        <w:tab/>
        <w:t>the</w:t>
      </w:r>
      <w:r>
        <w:rPr>
          <w:sz w:val="20"/>
          <w:szCs w:val="20"/>
          <w:color w:val="auto"/>
        </w:rPr>
        <w:tab/>
      </w:r>
      <w:r>
        <w:rPr>
          <w:rFonts w:ascii="Times New Roman" w:cs="Times New Roman" w:eastAsia="Times New Roman" w:hAnsi="Times New Roman"/>
          <w:sz w:val="17"/>
          <w:szCs w:val="17"/>
          <w:color w:val="auto"/>
        </w:rPr>
        <w:t>substitution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therefor of an equivalent interest,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required  to,  among  other  things,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have prepared a valuation for each</w:t>
      </w:r>
    </w:p>
    <w:p>
      <w:pPr>
        <w:spacing w:after="0" w:line="9" w:lineRule="exact"/>
        <w:rPr>
          <w:sz w:val="20"/>
          <w:szCs w:val="20"/>
          <w:color w:val="auto"/>
        </w:rPr>
      </w:pPr>
    </w:p>
    <w:p>
      <w:pPr>
        <w:ind w:left="3160"/>
        <w:spacing w:after="0"/>
        <w:tabs>
          <w:tab w:leader="none" w:pos="3640" w:val="left"/>
          <w:tab w:leader="none" w:pos="3920" w:val="left"/>
          <w:tab w:leader="none" w:pos="4640" w:val="left"/>
          <w:tab w:leader="none" w:pos="5480" w:val="left"/>
        </w:tabs>
        <w:rPr>
          <w:sz w:val="20"/>
          <w:szCs w:val="20"/>
          <w:color w:val="auto"/>
        </w:rPr>
      </w:pPr>
      <w:r>
        <w:rPr>
          <w:rFonts w:ascii="Times New Roman" w:cs="Times New Roman" w:eastAsia="Times New Roman" w:hAnsi="Times New Roman"/>
          <w:sz w:val="18"/>
          <w:szCs w:val="18"/>
          <w:color w:val="auto"/>
        </w:rPr>
        <w:t>class</w:t>
        <w:tab/>
        <w:t>of</w:t>
        <w:tab/>
        <w:t>affected</w:t>
        <w:tab/>
        <w:t>securities</w:t>
        <w:tab/>
        <w:t>and</w:t>
      </w:r>
    </w:p>
    <w:p>
      <w:pPr>
        <w:spacing w:after="0" w:line="9" w:lineRule="exact"/>
        <w:rPr>
          <w:sz w:val="20"/>
          <w:szCs w:val="20"/>
          <w:color w:val="auto"/>
        </w:rPr>
      </w:pPr>
    </w:p>
    <w:p>
      <w:pPr>
        <w:ind w:left="3160"/>
        <w:spacing w:after="0"/>
        <w:tabs>
          <w:tab w:leader="none" w:pos="3960" w:val="left"/>
          <w:tab w:leader="none" w:pos="5000" w:val="left"/>
        </w:tabs>
        <w:rPr>
          <w:sz w:val="20"/>
          <w:szCs w:val="20"/>
          <w:color w:val="auto"/>
        </w:rPr>
      </w:pPr>
      <w:r>
        <w:rPr>
          <w:rFonts w:ascii="Times New Roman" w:cs="Times New Roman" w:eastAsia="Times New Roman" w:hAnsi="Times New Roman"/>
          <w:sz w:val="18"/>
          <w:szCs w:val="18"/>
          <w:color w:val="auto"/>
        </w:rPr>
        <w:t>include</w:t>
      </w:r>
      <w:r>
        <w:rPr>
          <w:sz w:val="20"/>
          <w:szCs w:val="20"/>
          <w:color w:val="auto"/>
        </w:rPr>
        <w:tab/>
      </w:r>
      <w:r>
        <w:rPr>
          <w:rFonts w:ascii="Times New Roman" w:cs="Times New Roman" w:eastAsia="Times New Roman" w:hAnsi="Times New Roman"/>
          <w:sz w:val="18"/>
          <w:szCs w:val="18"/>
          <w:color w:val="auto"/>
        </w:rPr>
        <w:t>prescribed</w:t>
      </w:r>
      <w:r>
        <w:rPr>
          <w:sz w:val="20"/>
          <w:szCs w:val="20"/>
          <w:color w:val="auto"/>
        </w:rPr>
        <w:tab/>
      </w:r>
      <w:r>
        <w:rPr>
          <w:rFonts w:ascii="Times New Roman" w:cs="Times New Roman" w:eastAsia="Times New Roman" w:hAnsi="Times New Roman"/>
          <w:sz w:val="18"/>
          <w:szCs w:val="18"/>
          <w:color w:val="auto"/>
        </w:rPr>
        <w:t>disclosure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such valuation in the</w:t>
      </w:r>
    </w:p>
    <w:p>
      <w:pPr>
        <w:spacing w:after="0" w:line="9" w:lineRule="exact"/>
        <w:rPr>
          <w:sz w:val="20"/>
          <w:szCs w:val="20"/>
          <w:color w:val="auto"/>
        </w:rPr>
      </w:pPr>
    </w:p>
    <w:p>
      <w:pPr>
        <w:ind w:left="3160"/>
        <w:spacing w:after="0"/>
        <w:tabs>
          <w:tab w:leader="none" w:pos="4200" w:val="left"/>
          <w:tab w:leader="none" w:pos="5180" w:val="left"/>
        </w:tabs>
        <w:rPr>
          <w:sz w:val="20"/>
          <w:szCs w:val="20"/>
          <w:color w:val="auto"/>
        </w:rPr>
      </w:pPr>
      <w:r>
        <w:rPr>
          <w:rFonts w:ascii="Times New Roman" w:cs="Times New Roman" w:eastAsia="Times New Roman" w:hAnsi="Times New Roman"/>
          <w:sz w:val="18"/>
          <w:szCs w:val="18"/>
          <w:color w:val="auto"/>
        </w:rPr>
        <w:t>management</w:t>
        <w:tab/>
        <w:t>information</w:t>
        <w:tab/>
        <w:t>circular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the meeting called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consider that transaction.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 Upon Liquidation</w:t>
            </w: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 the</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OBCA,</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Bitfarms may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Under Stronghold’s charter, in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liquidate and dissolve by special</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event of its liquidation, dissolution 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resolution of the holders of each</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winding up, holders of its common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class of Bitfarms shares, whether or</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would  be  entitled  to  their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not such Bitfarms shareholders are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proportionate share of any assets in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otherwise entitled to vote.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Each  Bitfarms  share  entitles  the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holdings remaining after payment of</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3040" w:type="dxa"/>
            <w:vAlign w:val="bottom"/>
            <w:gridSpan w:val="3"/>
            <w:vMerge w:val="continue"/>
          </w:tcPr>
          <w:p>
            <w:pPr>
              <w:spacing w:after="0"/>
              <w:rPr>
                <w:sz w:val="15"/>
                <w:szCs w:val="15"/>
                <w:color w:val="auto"/>
              </w:rPr>
            </w:pPr>
          </w:p>
        </w:tc>
        <w:tc>
          <w:tcPr>
            <w:tcW w:w="27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liabilities and any amounts due to</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holder  to  one  vote  per  Bitfarms</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claimants,</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 and to receive equally any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holders of any outstanding shares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dividends declared by Bitfarms and</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040" w:type="dxa"/>
            <w:vAlign w:val="bottom"/>
            <w:gridSpan w:val="3"/>
          </w:tcPr>
          <w:p>
            <w:pPr>
              <w:ind w:left="400"/>
              <w:spacing w:after="0" w:line="170" w:lineRule="exact"/>
              <w:rPr>
                <w:sz w:val="20"/>
                <w:szCs w:val="20"/>
                <w:color w:val="auto"/>
              </w:rPr>
            </w:pPr>
            <w:r>
              <w:rPr>
                <w:rFonts w:ascii="Times New Roman" w:cs="Times New Roman" w:eastAsia="Times New Roman" w:hAnsi="Times New Roman"/>
                <w:sz w:val="18"/>
                <w:szCs w:val="18"/>
                <w:color w:val="auto"/>
              </w:rPr>
              <w:t>the remaining property and assets</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 Bitfarms in the event Bitfarms</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undergoes</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liquidation,</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dissolution, or winding up.</w:t>
            </w: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Peterson McVicar LLP, Canadian counsel to Bitfarms, has opined upon the validity of the Bitfarms common shares offered by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7"/>
          <w:szCs w:val="17"/>
          <w:color w:val="auto"/>
        </w:rPr>
        <w:t>The audited consolidated financial statements of Stronghold contained in the Annual Report on Form 10-K for the year ended December 31, 2023 incorporated by reference in this proxy statement/prospectus and elsewhere in the registration statement, have been so incorporated by reference in reliance upon the report of UPC, independent registered public accounting firm, upon the authority of UPC as experts in accounting and auditing.</w:t>
      </w:r>
    </w:p>
    <w:p>
      <w:pPr>
        <w:spacing w:after="0" w:line="9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Bitfarms incorporated in this proxy statement/prospectus by reference to Amendment No. 1 to Bitfarms’ Annual Report on Form 40-F for the year ended December 31, 2023, have been so incorporated in reliance on the report (which contains an explanatory paragraph relating to the Bitfarms’ restatement of its consolidated financial statements as described in Note 3(e) to the consolidated financial statements) of PricewaterhouseCoopers LLP, an independent registered public accounting firm, given on the authority of said firm as experts in auditing and accounting.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is organized under the laws of Ontario. A substantial portion of Bitfarms’ assets are located outside the United States, and many of Bitfarms’ directors and officers and some of the experts named in this proxy statement/prospectus are residents of jurisdictions outside of the United States. As a result, it may be difficult for investors to effect service within the United States upon Bitfarms and those directors, officers and experts, or to realize in the United States upon judgments of courts of the United States predicated upon civil liability of Bitfarms and such directors, officers or experts under U.S. federal securities laws. There is uncertainty as to the enforceability in Ontario by a court in original actions, or in actions to enforce judgments of United States courts, of the civil liabilities predicated upon U.S. federal securities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matters that will be presented for consideration at the special meeting other than as described in this proxy statement/prospectus. If any other matters properly come before Stronghold stockholders at the special meeting, or any adjournment or postponement thereof, and are voted upon, the enclosed proxy will be deemed to confer discretionary authority on the individuals that it names as proxies to vote the shares of Stronghold common stock represented by the proxy as to any of these matters. The individuals named as proxies intend to vote in accordance with the recommendation of the Stronghold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the merger is completed, Stronghold will not have public stockholders and there will be no public participation in any future meeting of Stronghold stockholders. However, if the merger is not completed or if Stronghold is otherwise required to do so under applicable law, Stronghold will hold an annual meeting of Stronghold stockholders with respect to fiscal year 2025. Any stockholder nominations or proposals for other business intended to be presented at Stronghold’s next annual meeting must be submitted to Stronghold as set forth below.</w:t>
      </w:r>
    </w:p>
    <w:p>
      <w:pPr>
        <w:spacing w:after="0" w:line="120"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Stockholder proposals pursuant to SEC Rule 14a-8 for inclusion in Stronghold’s proxy statement and form of proxy for the 2025 annual meeting must have been received by Stronghold at its principal executive offices at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10022 no later than the close of business on December 30, 2024. Stockholders wishing to make a director nomination or bring a proposal before the 2025 annual meeting (but not include it in Stronghold’s proxy materials) must provide written notice of such proposal to the Secretary at Stronghold’s principal executive offices no later than the close of business on March 20, 2025 and not earlier than the close of business on February 18, 2025, assuming Stronghold does not change the date of the 2025 annual meeting by more than 30 days before or after the anniversary of the 2024 annual meeting. If so, Stronghold will release an updated time frame for stockholder proposals. Any stockholder proposal or director nomination must comply with the other provisions of Stronghold’s by-laws and be submitted in writing to the Secretary at Stronghold’s principal executive offices.</w:t>
      </w:r>
    </w:p>
    <w:p>
      <w:pPr>
        <w:spacing w:after="0" w:line="12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addition to satisfying the requirements under Stronghold’s by-laws, to comply with the SEC’s universal proxy rules, stockholders who intend to solicit proxies in support of director nominees other than Stronghold’s nominees must provide notice that sets forth the information required by Rule 14a-19 under the U.S. Exchange Act, which notice must be postmarked or transmitted electronically to Stronghold at its principal executive offices no later than 60 calendar days prior to the anniversary date of the annual meeting (i.e., for the 2025 annual meeting, no later than April 19, 2025). However, if the date of the 2025 annual meeting is changed by more than 30 calendar days from such anniversary date, then notice must be provided by the later of 60 calendar days prior to the date of the 2025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2025 annual meeting is first made.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files annual, quarterly and current reports, proxy statements and other information with the SEC. Bitfarms files or furnishes annual reports, current reports and other information with the SEC under the U.S. Exchange Act. As Bitfarms is an FPI, under the rules adopted under the U.S. Exchange Act it is exempt from certain of the requirements of the U.S. Exchange Act, including the proxy and information provisions of Section 14 of the U.S. Exchange Act and the reporting and liability provisions applicable to officers, directors and significant stockholders under Section 16 of the U.S. Exchange Act.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You may obtain copies of these reports, statements and other information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not incorporated by reference into this proxy statement/prospectus.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You may also access the SEC filings and obtain other information about Stronghold and Bitfarms through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 The information contained in those websites is not incorporated by reference in, or in any way part of, this proxy statement/prospectus. You should not rely on such information in deciding whether to approve the merger proposal unless such information is in this proxy statement/prospectus or has been incorporated by reference into this proxy statement/prospectus.</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Bitfarms has filed with the SEC a registration statement on Form F-4, of which this proxy statement/prospectus is a part, under the U.S. Securities Act, to register the issuance of Bitfarms common shares in the merger. The registration statement, including attached exhibits, contains additional relevant information about Bitfarms, the Bitfarms common shares and Stronghold. As allowed by SEC rules, this proxy statement/prospectus does not contain all the information you can find in the registration statement or exhibits to the registration statement.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Bitfarms files reports, statements and other information with the applicable Canadian securities regulatory authorities. Bitfarms’ filings are electronically available to the public from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The information contained on SEDAR+ is not incorporated by reference into this proxy statement/prospectus.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SEC allows Stronghold and Bitfarms to “incorporate by reference” information into this proxy statement/prospectus. This means that Stronghold and Bitfarms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Stronghold and Bitfarms have previously filed with the SEC. They contain important information about the companies and their financial condition. The following documents, which were filed by the companies with the SEC, are incorporated by reference into this proxy statement/prospectus: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4280" w:type="dxa"/>
            <w:vAlign w:val="bottom"/>
            <w:gridSpan w:val="5"/>
          </w:tcPr>
          <w:p>
            <w:pPr>
              <w:ind w:left="126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40-F</w:t>
            </w:r>
          </w:p>
        </w:tc>
        <w:tc>
          <w:tcPr>
            <w:tcW w:w="80" w:type="dxa"/>
            <w:vAlign w:val="bottom"/>
            <w:vMerge w:val="continue"/>
          </w:tcPr>
          <w:p>
            <w:pPr>
              <w:spacing w:after="0"/>
              <w:rPr>
                <w:sz w:val="14"/>
                <w:szCs w:val="14"/>
                <w:color w:val="auto"/>
              </w:rPr>
            </w:pPr>
          </w:p>
        </w:tc>
        <w:tc>
          <w:tcPr>
            <w:tcW w:w="4280" w:type="dxa"/>
            <w:vAlign w:val="bottom"/>
            <w:gridSpan w:val="5"/>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2023, as filed </w:t>
            </w:r>
            <w:hyperlink r:id="rId254">
              <w:r>
                <w:rPr>
                  <w:rFonts w:ascii="Times New Roman" w:cs="Times New Roman" w:eastAsia="Times New Roman" w:hAnsi="Times New Roman"/>
                  <w:sz w:val="18"/>
                  <w:szCs w:val="18"/>
                  <w:color w:val="0000EE"/>
                </w:rPr>
                <w:t>March 7, 2024</w:t>
              </w:r>
            </w:hyperlink>
            <w:r>
              <w:rPr>
                <w:rFonts w:ascii="Times New Roman" w:cs="Times New Roman" w:eastAsia="Times New Roman" w:hAnsi="Times New Roman"/>
                <w:sz w:val="18"/>
                <w:szCs w:val="18"/>
                <w:color w:val="auto"/>
              </w:rPr>
              <w:t>, as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by Amendment No. 1 to the Annual Report on</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gridSpan w:val="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40-F, as filed </w:t>
            </w:r>
            <w:hyperlink r:id="rId255">
              <w:r>
                <w:rPr>
                  <w:rFonts w:ascii="Times New Roman" w:cs="Times New Roman" w:eastAsia="Times New Roman" w:hAnsi="Times New Roman"/>
                  <w:sz w:val="18"/>
                  <w:szCs w:val="18"/>
                  <w:color w:val="0000EE"/>
                </w:rPr>
                <w:t>December 9, 2024</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right="3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Information Circular included in Filed </w:t>
      </w:r>
      <w:hyperlink r:id="rId256">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Report of Foreign Private Issuer on Form 6-K*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Discussion and Analysis included as Three and nine months ended September 30, 2024, as filed</w:t>
      </w:r>
    </w:p>
    <w:p>
      <w:pPr>
        <w:spacing w:after="0" w:line="27"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unaudited interim condensed</w:t>
      </w:r>
      <w:r>
        <w:rPr>
          <w:rFonts w:ascii="Times New Roman" w:cs="Times New Roman" w:eastAsia="Times New Roman" w:hAnsi="Times New Roman"/>
          <w:sz w:val="18"/>
          <w:szCs w:val="18"/>
          <w:color w:val="0000EE"/>
        </w:rPr>
        <w:t xml:space="preserve"> </w:t>
      </w:r>
      <w:hyperlink r:id="rId258">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Report of Foreign</w:t>
      </w:r>
    </w:p>
    <w:p>
      <w:pPr>
        <w:spacing w:after="0" w:line="9" w:lineRule="exact"/>
        <w:rPr>
          <w:sz w:val="20"/>
          <w:szCs w:val="20"/>
          <w:color w:val="auto"/>
        </w:rPr>
      </w:pPr>
    </w:p>
    <w:p>
      <w:pPr>
        <w:ind w:left="460"/>
        <w:spacing w:after="0"/>
        <w:tabs>
          <w:tab w:leader="none" w:pos="1520" w:val="left"/>
          <w:tab w:leader="none" w:pos="2320" w:val="left"/>
          <w:tab w:leader="none" w:pos="3240" w:val="left"/>
          <w:tab w:leader="none" w:pos="40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w:t>
        <w:tab/>
        <w:t>financial</w:t>
        <w:tab/>
        <w:t>statements</w:t>
        <w:tab/>
        <w:t>included</w:t>
        <w:tab/>
        <w:t xml:space="preserve">in Private Issuer on Form 6-K/A, as filed </w:t>
      </w:r>
      <w:hyperlink r:id="rId259">
        <w:r>
          <w:rPr>
            <w:rFonts w:ascii="Times New Roman" w:cs="Times New Roman" w:eastAsia="Times New Roman" w:hAnsi="Times New Roman"/>
            <w:sz w:val="18"/>
            <w:szCs w:val="18"/>
            <w:u w:val="single" w:color="auto"/>
            <w:color w:val="0000EE"/>
          </w:rPr>
          <w:t>December 9, 2024</w:t>
        </w:r>
      </w:hyperlink>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of Foreign Private Issuer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6-K*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33"/>
          </w:tcPr>
          <w:p>
            <w:pPr>
              <w:ind w:left="2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Reports of Foreign Private Issuer on Form 6-K</w:t>
            </w:r>
          </w:p>
        </w:tc>
        <w:tc>
          <w:tcPr>
            <w:tcW w:w="80" w:type="dxa"/>
            <w:vAlign w:val="bottom"/>
            <w:vMerge w:val="continue"/>
          </w:tcPr>
          <w:p>
            <w:pPr>
              <w:spacing w:after="0"/>
              <w:rPr>
                <w:sz w:val="14"/>
                <w:szCs w:val="14"/>
                <w:color w:val="auto"/>
              </w:rPr>
            </w:pPr>
          </w:p>
        </w:tc>
        <w:tc>
          <w:tcPr>
            <w:tcW w:w="4280" w:type="dxa"/>
            <w:vAlign w:val="bottom"/>
            <w:gridSpan w:val="44"/>
          </w:tcPr>
          <w:p>
            <w:pPr>
              <w:spacing w:after="0" w:line="169" w:lineRule="exact"/>
              <w:rPr>
                <w:rFonts w:ascii="Times New Roman" w:cs="Times New Roman" w:eastAsia="Times New Roman" w:hAnsi="Times New Roman"/>
                <w:sz w:val="18"/>
                <w:szCs w:val="18"/>
                <w:color w:val="auto"/>
              </w:rPr>
            </w:pPr>
            <w:hyperlink r:id="rId262">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January 24,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February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3">
              <w:r>
                <w:rPr>
                  <w:rFonts w:ascii="Times New Roman" w:cs="Times New Roman" w:eastAsia="Times New Roman" w:hAnsi="Times New Roman"/>
                  <w:sz w:val="18"/>
                  <w:szCs w:val="18"/>
                  <w:color w:val="0000EE"/>
                </w:rPr>
                <w:t>March 1, 2024</w:t>
              </w:r>
            </w:hyperlink>
            <w:hyperlink r:id="rId2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4">
              <w:r>
                <w:rPr>
                  <w:rFonts w:ascii="Times New Roman" w:cs="Times New Roman" w:eastAsia="Times New Roman" w:hAnsi="Times New Roman"/>
                  <w:sz w:val="18"/>
                  <w:szCs w:val="18"/>
                  <w:color w:val="0000EE"/>
                </w:rPr>
                <w:t>March 7, 2024</w:t>
              </w:r>
            </w:hyperlink>
            <w:hyperlink r:id="rId2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5">
              <w:r>
                <w:rPr>
                  <w:rFonts w:ascii="Times New Roman" w:cs="Times New Roman" w:eastAsia="Times New Roman" w:hAnsi="Times New Roman"/>
                  <w:sz w:val="18"/>
                  <w:szCs w:val="18"/>
                  <w:color w:val="0000EE"/>
                </w:rPr>
                <w:t>March 8, 2024</w:t>
              </w:r>
            </w:hyperlink>
            <w:hyperlink r:id="rId262">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12,</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15,</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31,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3, 2024 (2)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9">
              <w:r>
                <w:rPr>
                  <w:rFonts w:ascii="Times New Roman" w:cs="Times New Roman" w:eastAsia="Times New Roman" w:hAnsi="Times New Roman"/>
                  <w:sz w:val="18"/>
                  <w:szCs w:val="18"/>
                  <w:color w:val="0000EE"/>
                </w:rPr>
                <w:t>June 11, 2024</w:t>
              </w:r>
            </w:hyperlink>
            <w:hyperlink r:id="rId2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0">
              <w:r>
                <w:rPr>
                  <w:rFonts w:ascii="Times New Roman" w:cs="Times New Roman" w:eastAsia="Times New Roman" w:hAnsi="Times New Roman"/>
                  <w:sz w:val="18"/>
                  <w:szCs w:val="18"/>
                  <w:color w:val="0000EE"/>
                </w:rPr>
                <w:t>June 13, 2024</w:t>
              </w:r>
            </w:hyperlink>
            <w:hyperlink r:id="rId2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1">
              <w:r>
                <w:rPr>
                  <w:rFonts w:ascii="Times New Roman" w:cs="Times New Roman" w:eastAsia="Times New Roman" w:hAnsi="Times New Roman"/>
                  <w:sz w:val="18"/>
                  <w:szCs w:val="18"/>
                  <w:color w:val="0000EE"/>
                </w:rPr>
                <w:t>June 25, 2024</w:t>
              </w:r>
            </w:hyperlink>
            <w:hyperlink r:id="rId268">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June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3">
              <w:r>
                <w:rPr>
                  <w:rFonts w:ascii="Times New Roman" w:cs="Times New Roman" w:eastAsia="Times New Roman" w:hAnsi="Times New Roman"/>
                  <w:sz w:val="18"/>
                  <w:szCs w:val="18"/>
                  <w:color w:val="0000EE"/>
                </w:rPr>
                <w:t>July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4">
              <w:r>
                <w:rPr>
                  <w:rFonts w:ascii="Times New Roman" w:cs="Times New Roman" w:eastAsia="Times New Roman" w:hAnsi="Times New Roman"/>
                  <w:sz w:val="18"/>
                  <w:szCs w:val="18"/>
                  <w:color w:val="0000EE"/>
                </w:rPr>
                <w:t>July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5">
              <w:r>
                <w:rPr>
                  <w:rFonts w:ascii="Times New Roman" w:cs="Times New Roman" w:eastAsia="Times New Roman" w:hAnsi="Times New Roman"/>
                  <w:sz w:val="18"/>
                  <w:szCs w:val="18"/>
                  <w:color w:val="0000EE"/>
                </w:rPr>
                <w:t>July 12, 2024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July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26,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8,</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3,</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December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4"/>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 xml:space="preserve">10, 2024 </w:t>
              </w:r>
            </w:hyperlink>
            <w:hyperlink r:id="rId282">
              <w:r>
                <w:rPr>
                  <w:rFonts w:ascii="Times New Roman" w:cs="Times New Roman" w:eastAsia="Times New Roman" w:hAnsi="Times New Roman"/>
                  <w:sz w:val="18"/>
                  <w:szCs w:val="18"/>
                  <w:color w:val="0000EE"/>
                </w:rPr>
                <w:t>(2)</w:t>
              </w:r>
            </w:hyperlink>
            <w:hyperlink r:id="rId28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3">
              <w:r>
                <w:rPr>
                  <w:rFonts w:ascii="Times New Roman" w:cs="Times New Roman" w:eastAsia="Times New Roman" w:hAnsi="Times New Roman"/>
                  <w:sz w:val="18"/>
                  <w:szCs w:val="18"/>
                  <w:color w:val="0000EE"/>
                </w:rPr>
                <w:t xml:space="preserve">December 17, 2024 </w:t>
              </w:r>
            </w:hyperlink>
            <w:hyperlink r:id="rId28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4">
              <w:r>
                <w:rPr>
                  <w:rFonts w:ascii="Times New Roman" w:cs="Times New Roman" w:eastAsia="Times New Roman" w:hAnsi="Times New Roman"/>
                  <w:sz w:val="18"/>
                  <w:szCs w:val="18"/>
                  <w:color w:val="0000EE"/>
                </w:rPr>
                <w:t>January 2, 2025</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0000EE"/>
            </w:tcBorders>
            <w:gridSpan w:val="18"/>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(other than the portions of those documents not deemed to</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be filed)</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0000EE"/>
        </w:rPr>
      </w:pPr>
    </w:p>
    <w:p>
      <w:pPr>
        <w:sectPr>
          <w:pgSz w:w="11900" w:h="16838" w:orient="portrait"/>
          <w:cols w:equalWidth="0" w:num="1">
            <w:col w:w="9019"/>
          </w:cols>
          <w:pgMar w:left="1440" w:top="270" w:right="1440" w:bottom="1440" w:gutter="0" w:footer="0" w:header="0"/>
        </w:sectPr>
      </w:pPr>
    </w:p>
    <w:p>
      <w:pPr>
        <w:jc w:val="center"/>
        <w:ind w:left="1000"/>
        <w:spacing w:after="0"/>
        <w:rPr>
          <w:sz w:val="20"/>
          <w:szCs w:val="20"/>
          <w:color w:val="auto"/>
        </w:rPr>
      </w:pPr>
      <w:r>
        <w:rPr>
          <w:rFonts w:ascii="Times New Roman" w:cs="Times New Roman" w:eastAsia="Times New Roman" w:hAnsi="Times New Roman"/>
          <w:sz w:val="16"/>
          <w:szCs w:val="16"/>
          <w:b w:val="1"/>
          <w:bCs w:val="1"/>
          <w:color w:val="auto"/>
        </w:rPr>
        <w:t>Stronghold Filings with the SEC</w:t>
      </w:r>
    </w:p>
    <w:p>
      <w:pPr>
        <w:spacing w:after="0" w:line="28" w:lineRule="exact"/>
        <w:rPr>
          <w:rFonts w:ascii="Times New Roman" w:cs="Times New Roman" w:eastAsia="Times New Roman" w:hAnsi="Times New Roman"/>
          <w:sz w:val="18"/>
          <w:szCs w:val="18"/>
          <w:color w:val="0000EE"/>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(File No. 001-40931)</w:t>
      </w:r>
    </w:p>
    <w:p>
      <w:pPr>
        <w:spacing w:after="0" w:line="60"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3742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4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46"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78"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8/A</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7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183" w:lineRule="exact"/>
        <w:rPr>
          <w:rFonts w:ascii="Times New Roman" w:cs="Times New Roman" w:eastAsia="Times New Roman" w:hAnsi="Times New Roman"/>
          <w:sz w:val="18"/>
          <w:szCs w:val="18"/>
          <w:color w:val="0000EE"/>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Period and/or Filing Date</w:t>
      </w:r>
    </w:p>
    <w:p>
      <w:pPr>
        <w:spacing w:after="0" w:line="7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Year ended December 31, 2023, as filed </w:t>
      </w:r>
      <w:hyperlink r:id="rId286">
        <w:r>
          <w:rPr>
            <w:rFonts w:ascii="Times New Roman" w:cs="Times New Roman" w:eastAsia="Times New Roman" w:hAnsi="Times New Roman"/>
            <w:sz w:val="18"/>
            <w:szCs w:val="18"/>
            <w:u w:val="single" w:color="auto"/>
            <w:color w:val="0000EE"/>
          </w:rPr>
          <w:t>March 8, 2024</w:t>
        </w:r>
      </w:hyperlink>
      <w:r>
        <w:rPr>
          <w:rFonts w:ascii="Times New Roman" w:cs="Times New Roman" w:eastAsia="Times New Roman" w:hAnsi="Times New Roman"/>
          <w:sz w:val="18"/>
          <w:szCs w:val="18"/>
          <w:color w:val="auto"/>
        </w:rPr>
        <w:t xml:space="preserve"> (including the portions of Stronghold’s Definitive Proxy </w:t>
      </w:r>
      <w:hyperlink r:id="rId287">
        <w:r>
          <w:rPr>
            <w:rFonts w:ascii="Times New Roman" w:cs="Times New Roman" w:eastAsia="Times New Roman" w:hAnsi="Times New Roman"/>
            <w:sz w:val="18"/>
            <w:szCs w:val="18"/>
            <w:color w:val="auto"/>
          </w:rPr>
          <w:t xml:space="preserve">Statement on Schedule 14, filed with the SEC on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28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supplemented on</w:t>
        </w:r>
        <w:r>
          <w:rPr>
            <w:rFonts w:ascii="Times New Roman" w:cs="Times New Roman" w:eastAsia="Times New Roman" w:hAnsi="Times New Roman"/>
            <w:sz w:val="18"/>
            <w:szCs w:val="18"/>
            <w:color w:val="0000EE"/>
          </w:rPr>
          <w:t xml:space="preserve"> </w:t>
        </w:r>
      </w:hyperlink>
      <w:hyperlink r:id="rId288">
        <w:r>
          <w:rPr>
            <w:rFonts w:ascii="Times New Roman" w:cs="Times New Roman" w:eastAsia="Times New Roman" w:hAnsi="Times New Roman"/>
            <w:sz w:val="18"/>
            <w:szCs w:val="18"/>
            <w:u w:val="single" w:color="auto"/>
            <w:color w:val="0000EE"/>
          </w:rPr>
          <w:t>June 7, 2024</w:t>
        </w:r>
      </w:hyperlink>
      <w:hyperlink r:id="rId287">
        <w:r>
          <w:rPr>
            <w:rFonts w:ascii="Times New Roman" w:cs="Times New Roman" w:eastAsia="Times New Roman" w:hAnsi="Times New Roman"/>
            <w:sz w:val="18"/>
            <w:szCs w:val="18"/>
            <w:color w:val="000000"/>
          </w:rPr>
          <w:t>,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therein)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7089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36" w:lineRule="exact"/>
        <w:rPr>
          <w:rFonts w:ascii="Times New Roman" w:cs="Times New Roman" w:eastAsia="Times New Roman" w:hAnsi="Times New Roman"/>
          <w:sz w:val="18"/>
          <w:szCs w:val="18"/>
          <w:color w:val="0000EE"/>
        </w:rPr>
      </w:pPr>
    </w:p>
    <w:p>
      <w:pPr>
        <w:ind w:right="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March 31, 2024, as filed </w:t>
      </w:r>
      <w:hyperlink r:id="rId290">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Quarter ended June 30, 2024, as filed </w:t>
      </w:r>
      <w:hyperlink r:id="rId291">
        <w:r>
          <w:rPr>
            <w:rFonts w:ascii="Times New Roman" w:cs="Times New Roman" w:eastAsia="Times New Roman" w:hAnsi="Times New Roman"/>
            <w:sz w:val="18"/>
            <w:szCs w:val="18"/>
            <w:u w:val="single" w:color="auto"/>
            <w:color w:val="0000EE"/>
          </w:rPr>
          <w:t>August 14, 2024</w:t>
        </w:r>
      </w:hyperlink>
    </w:p>
    <w:p>
      <w:pPr>
        <w:spacing w:after="0" w:line="1" w:lineRule="exact"/>
        <w:rPr>
          <w:sz w:val="20"/>
          <w:szCs w:val="20"/>
          <w:color w:val="auto"/>
        </w:rPr>
      </w:pPr>
    </w:p>
    <w:p>
      <w:pPr>
        <w:jc w:val="both"/>
        <w:ind w:right="479"/>
        <w:spacing w:after="0" w:line="266" w:lineRule="auto"/>
        <w:rPr>
          <w:rFonts w:ascii="Times New Roman" w:cs="Times New Roman" w:eastAsia="Times New Roman" w:hAnsi="Times New Roman"/>
          <w:sz w:val="18"/>
          <w:szCs w:val="18"/>
          <w:color w:val="000000"/>
        </w:rPr>
      </w:pPr>
      <w:hyperlink r:id="rId292">
        <w:r>
          <w:rPr>
            <w:rFonts w:ascii="Times New Roman" w:cs="Times New Roman" w:eastAsia="Times New Roman" w:hAnsi="Times New Roman"/>
            <w:sz w:val="18"/>
            <w:szCs w:val="18"/>
            <w:color w:val="auto"/>
          </w:rPr>
          <w:t xml:space="preserve">Quarter ended September 30, 2024, as filed </w:t>
        </w:r>
        <w:r>
          <w:rPr>
            <w:rFonts w:ascii="Times New Roman" w:cs="Times New Roman" w:eastAsia="Times New Roman" w:hAnsi="Times New Roman"/>
            <w:sz w:val="18"/>
            <w:szCs w:val="18"/>
            <w:u w:val="single" w:color="auto"/>
            <w:color w:val="0000EE"/>
          </w:rPr>
          <w:t>November 13,</w:t>
        </w:r>
      </w:hyperlink>
      <w:r>
        <w:rPr>
          <w:rFonts w:ascii="Times New Roman" w:cs="Times New Roman" w:eastAsia="Times New Roman" w:hAnsi="Times New Roman"/>
          <w:sz w:val="18"/>
          <w:szCs w:val="18"/>
          <w:color w:val="auto"/>
        </w:rPr>
        <w:t xml:space="preserve"> </w:t>
      </w:r>
      <w:hyperlink r:id="rId29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as amended by the Quarterly Report on Form 10-</w:t>
        </w:r>
      </w:hyperlink>
      <w:r>
        <w:rPr>
          <w:rFonts w:ascii="Times New Roman" w:cs="Times New Roman" w:eastAsia="Times New Roman" w:hAnsi="Times New Roman"/>
          <w:sz w:val="18"/>
          <w:szCs w:val="18"/>
          <w:color w:val="000000"/>
        </w:rPr>
        <w:t xml:space="preserve">Q/A, as filed </w:t>
      </w:r>
      <w:hyperlink r:id="rId293">
        <w:r>
          <w:rPr>
            <w:rFonts w:ascii="Times New Roman" w:cs="Times New Roman" w:eastAsia="Times New Roman" w:hAnsi="Times New Roman"/>
            <w:sz w:val="18"/>
            <w:szCs w:val="18"/>
            <w:u w:val="single" w:color="auto"/>
            <w:color w:val="0000EE"/>
          </w:rPr>
          <w:t>December 13, 2024</w:t>
        </w:r>
      </w:hyperlink>
    </w:p>
    <w:p>
      <w:pPr>
        <w:spacing w:after="0" w:line="149" w:lineRule="exact"/>
        <w:rPr>
          <w:rFonts w:ascii="Times New Roman" w:cs="Times New Roman" w:eastAsia="Times New Roman" w:hAnsi="Times New Roman"/>
          <w:sz w:val="18"/>
          <w:szCs w:val="18"/>
          <w:color w:val="auto"/>
        </w:rPr>
      </w:pPr>
    </w:p>
    <w:p>
      <w:pPr>
        <w:jc w:val="both"/>
        <w:ind w:right="459"/>
        <w:spacing w:after="0" w:line="256" w:lineRule="auto"/>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w:t>
        </w:r>
      </w:hyperlink>
      <w:r>
        <w:rPr>
          <w:rFonts w:ascii="Times New Roman" w:cs="Times New Roman" w:eastAsia="Times New Roman" w:hAnsi="Times New Roman"/>
          <w:sz w:val="18"/>
          <w:szCs w:val="18"/>
          <w:color w:val="auto"/>
        </w:rPr>
        <w:t xml:space="preserve"> </w:t>
      </w:r>
      <w:hyperlink r:id="rId29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296">
        <w:r>
          <w:rPr>
            <w:rFonts w:ascii="Times New Roman" w:cs="Times New Roman" w:eastAsia="Times New Roman" w:hAnsi="Times New Roman"/>
            <w:sz w:val="18"/>
            <w:szCs w:val="18"/>
            <w:u w:val="single" w:color="auto"/>
            <w:color w:val="0000EE"/>
          </w:rPr>
          <w:t>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w:t>
        </w:r>
      </w:hyperlink>
      <w:r>
        <w:rPr>
          <w:rFonts w:ascii="Times New Roman" w:cs="Times New Roman" w:eastAsia="Times New Roman" w:hAnsi="Times New Roman"/>
          <w:sz w:val="18"/>
          <w:szCs w:val="18"/>
          <w:color w:val="0000EE"/>
        </w:rPr>
        <w:t xml:space="preserve"> </w:t>
      </w:r>
      <w:hyperlink r:id="rId296">
        <w:r>
          <w:rPr>
            <w:rFonts w:ascii="Times New Roman" w:cs="Times New Roman" w:eastAsia="Times New Roman" w:hAnsi="Times New Roman"/>
            <w:sz w:val="18"/>
            <w:szCs w:val="18"/>
            <w:u w:val="single" w:color="auto"/>
            <w:color w:val="0000EE"/>
          </w:rPr>
          <w:t>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7">
        <w:r>
          <w:rPr>
            <w:rFonts w:ascii="Times New Roman" w:cs="Times New Roman" w:eastAsia="Times New Roman" w:hAnsi="Times New Roman"/>
            <w:sz w:val="18"/>
            <w:szCs w:val="18"/>
            <w:u w:val="single" w:color="auto"/>
            <w:color w:val="0000EE"/>
          </w:rPr>
          <w:t>October 31, 2024</w:t>
        </w:r>
      </w:hyperlink>
      <w:hyperlink r:id="rId296">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98">
        <w:r>
          <w:rPr>
            <w:rFonts w:ascii="Times New Roman" w:cs="Times New Roman" w:eastAsia="Times New Roman" w:hAnsi="Times New Roman"/>
            <w:sz w:val="18"/>
            <w:szCs w:val="18"/>
            <w:u w:val="single" w:color="auto"/>
            <w:color w:val="0000EE"/>
          </w:rPr>
          <w:t xml:space="preserve">December 13, 2024 </w:t>
        </w:r>
      </w:hyperlink>
      <w:hyperlink r:id="rId296">
        <w:r>
          <w:rPr>
            <w:rFonts w:ascii="Times New Roman" w:cs="Times New Roman" w:eastAsia="Times New Roman" w:hAnsi="Times New Roman"/>
            <w:sz w:val="18"/>
            <w:szCs w:val="18"/>
            <w:color w:val="000000"/>
          </w:rPr>
          <w:t>(other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not deemed to be filed)</w:t>
      </w:r>
    </w:p>
    <w:p>
      <w:pPr>
        <w:spacing w:after="0" w:line="16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299">
        <w:r>
          <w:rPr>
            <w:rFonts w:ascii="Times New Roman" w:cs="Times New Roman" w:eastAsia="Times New Roman" w:hAnsi="Times New Roman"/>
            <w:sz w:val="18"/>
            <w:szCs w:val="18"/>
            <w:u w:val="single" w:color="auto"/>
            <w:color w:val="0000EE"/>
          </w:rPr>
          <w:t>October 19, 2021</w:t>
        </w:r>
      </w:hyperlink>
      <w:r>
        <w:rPr>
          <w:rFonts w:ascii="Times New Roman" w:cs="Times New Roman" w:eastAsia="Times New Roman" w:hAnsi="Times New Roman"/>
          <w:sz w:val="18"/>
          <w:szCs w:val="18"/>
          <w:color w:val="auto"/>
        </w:rPr>
        <w:t xml:space="preserve">, and any amendment or report filed with the SEC for purposes of updating the description of Stronghold’s capital stock, including </w:t>
      </w:r>
      <w:hyperlink r:id="rId30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Stronghold’s Annual Report on Form 10-K for the year ended December 31, 2023, as filed </w:t>
      </w:r>
      <w:hyperlink r:id="rId286">
        <w:r>
          <w:rPr>
            <w:rFonts w:ascii="Times New Roman" w:cs="Times New Roman" w:eastAsia="Times New Roman" w:hAnsi="Times New Roman"/>
            <w:sz w:val="18"/>
            <w:szCs w:val="18"/>
            <w:u w:val="single" w:color="auto"/>
            <w:color w:val="0000EE"/>
          </w:rPr>
          <w:t>March 8, 2024</w:t>
        </w:r>
      </w:hyperlink>
    </w:p>
    <w:p>
      <w:pPr>
        <w:spacing w:after="0" w:line="363" w:lineRule="exact"/>
        <w:rPr>
          <w:rFonts w:ascii="Times New Roman" w:cs="Times New Roman" w:eastAsia="Times New Roman" w:hAnsi="Times New Roman"/>
          <w:sz w:val="18"/>
          <w:szCs w:val="18"/>
          <w:color w:val="auto"/>
        </w:rPr>
      </w:pPr>
    </w:p>
    <w:p>
      <w:pPr>
        <w:sectPr>
          <w:pgSz w:w="11900" w:h="16838" w:orient="portrait"/>
          <w:cols w:equalWidth="0" w:num="2">
            <w:col w:w="3560" w:space="720"/>
            <w:col w:w="4739"/>
          </w:cols>
          <w:pgMar w:left="1440" w:top="270" w:right="1440" w:bottom="1440" w:gutter="0" w:footer="0" w:header="0"/>
          <w:type w:val="continuous"/>
        </w:sectPr>
      </w:pPr>
    </w:p>
    <w:p>
      <w:pPr>
        <w:jc w:val="both"/>
        <w:ind w:left="880" w:right="459" w:hanging="426"/>
        <w:spacing w:after="0" w:line="274" w:lineRule="auto"/>
        <w:tabs>
          <w:tab w:leader="none" w:pos="853"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Management Information Circular and Management’s Discussion and Analysis and the unaudited interim condensed consolidated financial statements as at September 30, 2024 for the three and nine months ended September 30, 2024, which are included in Bitfarms’ Reports of Foreign Issuer on Form 6-K or Form 6-K/A, as applicable, are deemed filed under the U.S. Exchange Act and are incorporated by reference into this proxy statement/prospectus.</w:t>
      </w:r>
    </w:p>
    <w:p>
      <w:pPr>
        <w:spacing w:after="0" w:line="316" w:lineRule="exact"/>
        <w:rPr>
          <w:rFonts w:ascii="Times New Roman" w:cs="Times New Roman" w:eastAsia="Times New Roman" w:hAnsi="Times New Roman"/>
          <w:sz w:val="18"/>
          <w:szCs w:val="18"/>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documents filed by Stronghold and Bitfarms under Section 13(a), 13(c), 14 or 15(d) of the U.S. Exchange Act from the date of this proxy statement/prospectus to the completion of the merger will also be deemed to be incorporated into this proxy statement/prospectus by reference other than the portions of those documents not deemed to be filed. These documents include periodic reports, such as Annual Reports on Form 10-K and 40-F, Quarterly Reports on Form 10-Q, Current Reports on Form 8-K (excluding any information furnished pursuant to Item 2.02 or Item 7.01 of any current report on Form 8-K under the U.S. Exchange Act), proxy statements and, to the extent, if any, Bitfarms designates therein that they are so incorporated, Reports of Foreign Private Issuer on Form 6-K that Bitfarms furnishes to the SEC.</w:t>
      </w:r>
    </w:p>
    <w:p>
      <w:pPr>
        <w:sectPr>
          <w:pgSz w:w="11900" w:h="16838" w:orient="portrait"/>
          <w:cols w:equalWidth="0" w:num="1">
            <w:col w:w="9019"/>
          </w:cols>
          <w:pgMar w:left="1440" w:top="270" w:right="1440" w:bottom="1440" w:gutter="0" w:footer="0" w:header="0"/>
          <w:type w:val="continuous"/>
        </w:sectPr>
      </w:pPr>
    </w:p>
    <w:p>
      <w:pPr>
        <w:spacing w:after="0" w:line="15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the description of Bitfarms common shares contained in Bitfarms’ registration statement under Section 12 of the U.S. Exchange Act is incorporated by reference.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and Bitfarms also incorporate by reference the merger agreement attached to this proxy statement/prospectus as Annex A-1 (the initial merger agreement) and Annex A-2 (amendment no. 1).</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has supplied all information contained in this proxy statement/prospectus relating to Bitfarms, and Stronghold has supplied all information contained in or incorporated by reference into this proxy statement/prospectus relating to Stronghold.</w:t>
      </w:r>
    </w:p>
    <w:p>
      <w:pPr>
        <w:spacing w:after="0" w:line="9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copies of any document incorporated in this proxy statement/prospectus, without charge, by requesting them in writing or by telephone from the appropriate company at the addresses below,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Bitfarms shareholders and Stronghold stockholders may request a copy of such documents by contacting:</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2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 addition, you may obtain copies of any document incorporated in this proxy statement/prospectus, without charge, by visiting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9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would like to request documents, please do so by February 20, 2025 to receive them before the special meeting. </w:t>
      </w:r>
      <w:r>
        <w:rPr>
          <w:rFonts w:ascii="Times New Roman" w:cs="Times New Roman" w:eastAsia="Times New Roman" w:hAnsi="Times New Roman"/>
          <w:sz w:val="18"/>
          <w:szCs w:val="18"/>
          <w:color w:val="auto"/>
        </w:rPr>
        <w:t>If you request any incorporated documents from us, we will mail them to you by first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or another equally prompt means, within one business day after we receive your request.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not authorized anyone to give any information or make any representation about the merger, the special meeting or Stronghold and Bitfarms that is different from, or in addition to, that contained in this proxy statement/prospectus or in any of the materials that Stronghold and Bitfarms have incorporated into this proxy statement/prospectus by reference. Therefore, if anyone does give you information of this sort, you should not rely on it. The information contained in this proxy statement/prospectus is accurate only as of the date of this proxy statement/prospectus unless the information specifically indicates that another date applies, and neither the mailing of this proxy statement/prospectus to stockholders nor the issuance of Bitfarms common shares in the merger should create any implication to the contrary.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2094230</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0"/>
                <w:szCs w:val="20"/>
                <w:color w:val="auto"/>
              </w:rPr>
            </w:pPr>
          </w:p>
        </w:tc>
      </w:tr>
      <w:tr>
        <w:trPr>
          <w:trHeight w:val="376"/>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Defined Elsewhere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THE MERGER; THE EXCHANGES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Exchanges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20" w:type="dxa"/>
            <w:vAlign w:val="bottom"/>
          </w:tcPr>
          <w:p>
            <w:pPr>
              <w:spacing w:after="0"/>
              <w:rPr>
                <w:sz w:val="21"/>
                <w:szCs w:val="21"/>
                <w:color w:val="auto"/>
              </w:rPr>
            </w:pPr>
          </w:p>
        </w:tc>
      </w:tr>
      <w:tr>
        <w:trPr>
          <w:trHeight w:val="207"/>
        </w:trPr>
        <w:tc>
          <w:tcPr>
            <w:tcW w:w="480" w:type="dxa"/>
            <w:vAlign w:val="bottom"/>
            <w:shd w:val="clear" w:color="auto" w:fill="CCEEFF"/>
          </w:tcPr>
          <w:p>
            <w:pPr>
              <w:spacing w:after="0"/>
              <w:rPr>
                <w:sz w:val="17"/>
                <w:szCs w:val="17"/>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EFFECT OF THE MERGER ON THE CAPITAL STOCK AND RELATED</w:t>
            </w:r>
          </w:p>
        </w:tc>
        <w:tc>
          <w:tcPr>
            <w:tcW w:w="920" w:type="dxa"/>
            <w:vAlign w:val="bottom"/>
            <w:shd w:val="clear" w:color="auto" w:fill="CCEEFF"/>
          </w:tcPr>
          <w:p>
            <w:pPr>
              <w:spacing w:after="0"/>
              <w:rPr>
                <w:sz w:val="17"/>
                <w:szCs w:val="17"/>
                <w:color w:val="auto"/>
              </w:rPr>
            </w:pPr>
          </w:p>
        </w:tc>
      </w:tr>
      <w:tr>
        <w:trPr>
          <w:trHeight w:val="255"/>
        </w:trPr>
        <w:tc>
          <w:tcPr>
            <w:tcW w:w="48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OF THE COMPANY AND MERGER SUB; EXCHANGE OF SHARES</w:t>
            </w: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 on Capital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Equity Compensation Awards; Company Warrants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Rights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A-1-9</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92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Permits; Compliance with Applicable Law</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Benefits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 Matters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Status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4.23</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REPRESENTATIONS AND WARRANTIES OF PARENT, BMS AND MERGER SUB</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Documents; Financial Statements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Permits; Compliance with Applicable Law</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Valid Issuance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Vote/Approval Required</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Conduct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Conduct of Company Business Pending the Merger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of Parent Business Pending the Merger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Solicitation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Preparation of Registration Statement and Proxy Statement/Prospectus.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Meeting</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HSR and Other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A-1-38</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to Defend; Stockholder 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Announcements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Each Party’s Obligation to Consummate the Merger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Parent, BMS and Merger Sub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TERMINATION</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Payments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4"/>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Definitions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 Waiver of Jury Trial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Liability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Certain Definitions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Form of Certificate of Merger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AGREEMENT AND PLAN OF MERGER, dated as of August 21,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has by unanimous vote, (i) determined that this Agreement and the transactions contemplated hereby, including the merger of Merger Sub with and into the Company, with the Company surviving the merger as a wholly owned, indirect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are in the best interests of the holders of Company Common Stock, (ii) approved and declared advisable this Agreement and the transactions contemplated hereby, including the Merger, and (iii) resolved to recommend that the holders of Company Common Stock approve and adopt this Agreement and the transactions contemplated hereby, including the Merger;</w:t>
      </w:r>
    </w:p>
    <w:p>
      <w:pPr>
        <w:spacing w:after="0" w:line="10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each of Parent, BMS and Merger Sub have approved this Agreement and declared it advisable for Parent, BMS and Merger Sub, respectively, to enter into this Agreement and to consummate the transactions contemplated thereby, including the Merger and the issuance of common shares in the capital of Parent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in connection therewith;</w:t>
      </w:r>
    </w:p>
    <w:p>
      <w:pPr>
        <w:spacing w:after="0" w:line="11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certain stockholders of the Company have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Parent, pursuant to which, among other things, such stockholders have agreed to vote their shares of Company Common Stock in favor of the approval and adoption of this Agreement and the transactions contemplated hereby, including the Merger;</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holders of outstanding Company Preferred Stock have entered into a conversion agreement (the “</w:t>
      </w:r>
      <w:r>
        <w:rPr>
          <w:rFonts w:ascii="Times New Roman" w:cs="Times New Roman" w:eastAsia="Times New Roman" w:hAnsi="Times New Roman"/>
          <w:sz w:val="18"/>
          <w:szCs w:val="18"/>
          <w:u w:val="single" w:color="auto"/>
          <w:color w:val="auto"/>
        </w:rPr>
        <w:t>Conversion Agreement</w:t>
      </w:r>
      <w:r>
        <w:rPr>
          <w:rFonts w:ascii="Times New Roman" w:cs="Times New Roman" w:eastAsia="Times New Roman" w:hAnsi="Times New Roman"/>
          <w:sz w:val="18"/>
          <w:szCs w:val="18"/>
          <w:color w:val="auto"/>
        </w:rPr>
        <w:t>”) with Parent and the Company, pursuant to which, among other things, such holders have consented to the Merger and submitted a notice to the Company to effect an optional conversion of their Company Preferred Stock into Company Class A Common Stock, conditioned upon and immediately prior to the Effective Time, in accordance with the Company Series C CoD;</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and the TRA Holders (as defined in the Tax Receivable Agreement) have entered into that certain TRA Waiver and Termination Agreement (the “</w:t>
      </w:r>
      <w:r>
        <w:rPr>
          <w:rFonts w:ascii="Times New Roman" w:cs="Times New Roman" w:eastAsia="Times New Roman" w:hAnsi="Times New Roman"/>
          <w:sz w:val="18"/>
          <w:szCs w:val="18"/>
          <w:u w:val="single" w:color="auto"/>
          <w:color w:val="auto"/>
        </w:rPr>
        <w:t>TRA Waiver</w:t>
      </w:r>
      <w:r>
        <w:rPr>
          <w:rFonts w:ascii="Times New Roman" w:cs="Times New Roman" w:eastAsia="Times New Roman" w:hAnsi="Times New Roman"/>
          <w:sz w:val="18"/>
          <w:szCs w:val="18"/>
          <w:color w:val="auto"/>
        </w:rPr>
        <w:t>”), which provides for, among other things, the waiver of the TRA Holders’ rights to receive any further payments under the Tax Receivable Agreement, including pursuant to Section 4.2 thereof, as a result of the transactions contemplated hereby, to be effective at, and contingent upon, the Closing; and</w:t>
      </w:r>
    </w:p>
    <w:p>
      <w:pPr>
        <w:spacing w:after="0" w:line="11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each of the Parties intends that the Merger will be treated as a taxable exchange described in Section 1001 of the Code by the Company’s stockholders of Company Common Stock for Parent Common Shares.</w:t>
      </w:r>
    </w:p>
    <w:p>
      <w:pPr>
        <w:spacing w:after="0" w:line="108"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BMS, Merger Sub and the Company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Amount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6.8(f)</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6.3(d)</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Easement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Plans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Easements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Competition Law Notifications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198" w:name="page199"/>
    <w:bookmarkEnd w:id="198"/>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Agreement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Divestiture Action</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580"/>
        </w:trPr>
        <w:tc>
          <w:tcPr>
            <w:tcW w:w="26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A-1-2</w:t>
            </w:r>
          </w:p>
        </w:tc>
      </w:tr>
    </w:tbl>
    <w:p>
      <w:pPr>
        <w:sectPr>
          <w:pgSz w:w="11900" w:h="16838" w:orient="portrait"/>
          <w:cols w:equalWidth="0" w:num="1">
            <w:col w:w="9019"/>
          </w:cols>
          <w:pgMar w:left="1440" w:top="121"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Export Control and Economic Sanctions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3.3(g)</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MBR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Option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Warrant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Real Property Lease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Preferred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Share Capital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PURPA Requirements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200" w:name="page201"/>
    <w:bookmarkEnd w:id="20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Filing</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Tariff</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4.8(a)</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Tail Period</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4.12(j)</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 Waiver</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81"/>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A-1-3</w:t>
            </w:r>
          </w:p>
        </w:tc>
      </w:tr>
    </w:tbl>
    <w:p>
      <w:pPr>
        <w:sectPr>
          <w:pgSz w:w="11900" w:h="16838" w:orient="portrait"/>
          <w:cols w:equalWidth="0" w:num="1">
            <w:col w:w="9019"/>
          </w:cols>
          <w:pgMar w:left="1440" w:top="175"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THE EXCHANGES</w:t>
      </w:r>
    </w:p>
    <w:p>
      <w:pPr>
        <w:spacing w:after="0" w:line="139"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of this Agreement, at the Effective Time, Merger Sub will be merged with and into the Company in accordance with the provisions of the General Corporation Law of the State of Delaware (the “DGCL”).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The Exchanges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79" w:firstLine="1076"/>
        <w:spacing w:after="0" w:line="254" w:lineRule="auto"/>
        <w:tabs>
          <w:tab w:leader="none" w:pos="244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Closing (and the Closing Date shall constitute the “Change of Control Exchange Date” as defined in the Company Holdco LLC Agreement), immediately prior to and conditioned upon the Effective Time, the Company shall require each member of Company Holdco (other than the Company and its wholly owned Subsidiaries) to effect an exchange of all outstanding Company Holdco Units held by such member together with the surrender for cancellation of a corresponding number of shares of Company Class V Common Stock, for shares of Company Class A Common Stock in accordance with Section 3.6(q) of the Company Holdco LLC Agreement (the “</w:t>
      </w:r>
      <w:r>
        <w:rPr>
          <w:rFonts w:ascii="Times New Roman" w:cs="Times New Roman" w:eastAsia="Times New Roman" w:hAnsi="Times New Roman"/>
          <w:sz w:val="18"/>
          <w:szCs w:val="18"/>
          <w:u w:val="single" w:color="auto"/>
          <w:color w:val="auto"/>
        </w:rPr>
        <w:t>Exchanges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076"/>
        <w:spacing w:after="0" w:line="254" w:lineRule="auto"/>
        <w:tabs>
          <w:tab w:leader="none" w:pos="24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Company Holdco LLC to, take such other actions as are necessary or desirable to permit and effect the Exchanges and otherwise give effect to the treatment of the Company Holdco Units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the Closing and immediately prior to the Effective Time. No later than the fifth Business Day following the date hereof, the Company shall cause Company Holdco LLC to deliver a written notice of a PubCo Approved Change of Control (as defined in the Company Holdco LLC Agreement), to members of Company Holdco in accordance with Section 3.6 of the Company Holdco LLC Agreement. For the avoidance of doubt, the Exchanges shall not be effective if the Merger is not consummated in accordance with the terms hereof.</w:t>
      </w:r>
    </w:p>
    <w:p>
      <w:pPr>
        <w:spacing w:after="0" w:line="12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Upon the terms and subject to the conditions set forth in this Agreement, at the Closing, immediately prior to and conditioned upon the Effective Time, each share of Company Preferred Stock issued and outstanding as of such time shall, pursuant to the Conversion Agreement, convert into 250 shares of Company Class A Common Stock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All of the shares of Company Preferred Stock converted into shares of Company Class A Common Stock shall no longer be outstanding and shall cease to exist, and each holder of Company Preferred Stock shall thereafter cease to have any rights with respect to such shares of Company Preferred Stock.</w:t>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076"/>
        <w:spacing w:after="0" w:line="254" w:lineRule="auto"/>
        <w:tabs>
          <w:tab w:leader="none" w:pos="240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Exchanges, the Conversion and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New York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remotely via electronic exchange of documents, or in such other manner or at such location as may be agreed upon between Parent and the Company. For purposes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120" w:lineRule="exact"/>
        <w:rPr>
          <w:rFonts w:ascii="Times New Roman" w:cs="Times New Roman" w:eastAsia="Times New Roman" w:hAnsi="Times New Roman"/>
          <w:sz w:val="18"/>
          <w:szCs w:val="18"/>
          <w:color w:val="auto"/>
        </w:rPr>
      </w:pPr>
    </w:p>
    <w:p>
      <w:pPr>
        <w:jc w:val="both"/>
        <w:ind w:left="620" w:right="459" w:firstLine="1076"/>
        <w:spacing w:after="0" w:line="256" w:lineRule="auto"/>
        <w:tabs>
          <w:tab w:leader="none" w:pos="23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on the Closing Date after the Closing, a certificate of merger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Organizational Documents of the Surviving Corporation. At the Effective Time, (i) the certificate of incorporation of the Company in effect immediately prior to the Effective Time shall be amended in its entirety to read as Exhibit A to the Certificate of Merger, and (ii) the bylaws of the Company in effect immediately prior to the Effective Time shall be amended in its entirety to read as the bylaws of the Surviving Corporation, in each case, until thereafter amended,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accordance with their respective terms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-717550</wp:posOffset>
            </wp:positionV>
            <wp:extent cx="27406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2.7 Directors and Officers. From and after the Effective Time, the directors and officers of Merger Sub shall be the directors and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0191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THE MERGER ON THE CAPITAL STOCK AND RELATED SECURITIES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AND MERGER SUB; EXCHANGE OF SHARES</w:t>
      </w:r>
    </w:p>
    <w:p>
      <w:pPr>
        <w:spacing w:after="0" w:line="12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Effect of the Merger on Capital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620" w:right="479" w:firstLine="1112"/>
        <w:spacing w:after="0" w:line="282" w:lineRule="auto"/>
        <w:tabs>
          <w:tab w:leader="none" w:pos="23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holder of their securities:</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43"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 of common stock of the Surviving Corporation immediately following the Effective Time.</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54" w:lineRule="auto"/>
        <w:tabs>
          <w:tab w:leader="none" w:pos="367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Article III, each share of Company Class A Common Stock issued and outstanding immediately prior to the Effective Time (including, for the avoidance of doubt, each share of Company Class A Common Stock issued in the Exchanges and the Conversion and excluding any Excluded Shares) (such shares of Company Common Stock,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fully paid and nonassessable Parent Common Shares, subject to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with respect to fractional shares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760" w:right="459" w:firstLine="1286"/>
        <w:spacing w:after="0" w:line="258" w:lineRule="auto"/>
        <w:tabs>
          <w:tab w:leader="none" w:pos="3701"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Company Class A Common Stock, when so converted, shall cease to be outstanding and shall automatically be canceled and cease to exist. Each holder of a share of Company Class A Common Stock that was outstanding immediately prior to the Effective Time shall cease to have any rights with respect thereto, except the right to receive the Per Share Merger Consideration.</w:t>
      </w:r>
    </w:p>
    <w:p>
      <w:pPr>
        <w:spacing w:after="0" w:line="102"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V Common Stock and Company Holdco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67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share of Company Class V Common Stock issued and outstanding immediately prior to the Effective Time shall be automatically cancelled and shall cease to exist and no payment shall be made with respect thereto, and the holders thereof shall cease to have any rights with respect thereto.</w:t>
      </w:r>
    </w:p>
    <w:p>
      <w:pPr>
        <w:spacing w:after="0" w:line="112"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701"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Company Holdco Unit as of the Effective Time (and after giving effect to the Exchanges) shall be unaffected by the Merger and shall be unchanged and remain outstanding, and no consideration shall be delivered in respect thereof.</w:t>
      </w:r>
    </w:p>
    <w:p>
      <w:pPr>
        <w:spacing w:after="0" w:line="98" w:lineRule="exact"/>
        <w:rPr>
          <w:rFonts w:ascii="Times New Roman" w:cs="Times New Roman" w:eastAsia="Times New Roman" w:hAnsi="Times New Roman"/>
          <w:sz w:val="18"/>
          <w:szCs w:val="18"/>
          <w:color w:val="auto"/>
        </w:rPr>
      </w:pPr>
    </w:p>
    <w:p>
      <w:pPr>
        <w:jc w:val="both"/>
        <w:ind w:left="1100" w:right="479" w:firstLine="1298"/>
        <w:spacing w:after="0" w:line="281" w:lineRule="auto"/>
        <w:tabs>
          <w:tab w:leader="none" w:pos="3020"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Preferred Stock. As of the Effective Time, each share of Company Preferred Stock issued and outstanding immediately prior to the Effective Time (and after giving effect to the Conversion) shall be automatically cancelled and shall cease to exist and no payment shall be made with respect thereto, and the holders thereof shall cease to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-3929380</wp:posOffset>
            </wp:positionV>
            <wp:extent cx="5314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-457835</wp:posOffset>
            </wp:positionV>
            <wp:extent cx="11868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58" w:lineRule="auto"/>
        <w:tabs>
          <w:tab w:leader="none" w:pos="301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All shares of Company Capital Stock held by the Company as treasury shares or by Parent or Merger Sub or by any wholly owned Subsidiary of Parent or Merger Sub immediately prior to the Effective Time and, in each case, not held on behalf of third parties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canceled and cease to exist as of the Effective Time, and no consideration shall be delivered in exchange therefor.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0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shares of Company Common Stock, Company Holdco Units, Company Series C Preferred Stock, Parent Common Shares, or securities convertible or exchangeable into or exercisable for shares of Company Common Stock, Company Holdco Units, Company Series C Preferred Stock or Parent Common Shares (including any successor securities of Parent Common Shares), issued and outstanding after the date of this Agreement and prior to the Effective Time by reason of any stock split, reverse stock split, stock dividend, subdivision, reclassification, recapitalization, combination, exchange of shares or the like, the Per Share Merger Consideration to be paid for each Eligible Share shall be equitably adjusted to reflect the effect of such change and, as so adjusted, shall from and after the date of such event, be the Per Share Merger Consideration, subject to further adjustment in accordance with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provided that, for the avoidance of doubt, no adjustment shall be made for the issuance of Company Class A Common Stock upon the Exchanges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otherwise prior to the Effective Time in accordance with the terms of the Company Holdco LLC Agreement.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Treatment of Equity Compensation Awards;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9273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2927350" cy="8255"/>
                    </a:xfrm>
                    <a:prstGeom prst="rect">
                      <a:avLst/>
                    </a:prstGeom>
                    <a:noFill/>
                  </pic:spPr>
                </pic:pic>
              </a:graphicData>
            </a:graphic>
          </wp:anchor>
        </w:drawing>
      </w:r>
    </w:p>
    <w:p>
      <w:pPr>
        <w:spacing w:after="0" w:line="124" w:lineRule="exact"/>
        <w:rPr>
          <w:sz w:val="20"/>
          <w:szCs w:val="20"/>
          <w:color w:val="auto"/>
        </w:rPr>
      </w:pPr>
    </w:p>
    <w:p>
      <w:pPr>
        <w:ind w:left="2380" w:hanging="648"/>
        <w:spacing w:after="0"/>
        <w:tabs>
          <w:tab w:leader="none" w:pos="23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Awards.</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Each Company RSU (whether vested or unvested) that is outstanding immediately prior to the Effective Time shall, at the Effective Time, automatically and without any action on the part of Parent, the Company or any holder thereof, immediately vest in full and any forfeiture restrictions applicable to such Company RSU shall lapse immediately and each Company RSU shall be treated as a share of Company Common Stock for all purposes of this Agreement, including the right to receive the Per Share Merger Consideration in accordance with the terms hereof (the “</w:t>
      </w:r>
      <w:r>
        <w:rPr>
          <w:rFonts w:ascii="Times New Roman" w:cs="Times New Roman" w:eastAsia="Times New Roman" w:hAnsi="Times New Roman"/>
          <w:sz w:val="18"/>
          <w:szCs w:val="18"/>
          <w:u w:val="single" w:color="auto"/>
          <w:color w:val="auto"/>
        </w:rPr>
        <w:t>Company RSU Consideration</w:t>
      </w:r>
      <w:r>
        <w:rPr>
          <w:rFonts w:ascii="Times New Roman" w:cs="Times New Roman" w:eastAsia="Times New Roman" w:hAnsi="Times New Roman"/>
          <w:sz w:val="18"/>
          <w:szCs w:val="18"/>
          <w:color w:val="auto"/>
        </w:rPr>
        <w:t xml:space="preserve">”). Parent shall, or shall cause the Surviving Corporation to, deliver the Company RSU Consideration to each holder of Company RSUs, less any required withholding Taxes and without interest, within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that any payment within such time or on such date would trigger a Tax or penalty under Section 409A of the Code, such payment shall be made on the earliest date that payment would not trigger such Tax or penalty.</w:t>
      </w:r>
    </w:p>
    <w:p>
      <w:pPr>
        <w:spacing w:after="0" w:line="12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760" w:right="459" w:firstLine="1286"/>
        <w:spacing w:after="0" w:line="252" w:lineRule="auto"/>
        <w:tabs>
          <w:tab w:leader="none" w:pos="367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vested or unvested) that is outstanding immediately prior to the Effective Time, other than each Company Option that is held by a former employee of, former non-employee director of, or former other service provider to, the Company or its Subsidiaries, in each case, as of immediately prior to the Effective Time (a “</w:t>
      </w:r>
      <w:r>
        <w:rPr>
          <w:rFonts w:ascii="Times New Roman" w:cs="Times New Roman" w:eastAsia="Times New Roman" w:hAnsi="Times New Roman"/>
          <w:sz w:val="18"/>
          <w:szCs w:val="18"/>
          <w:u w:val="single" w:color="auto"/>
          <w:color w:val="auto"/>
        </w:rPr>
        <w:t>Former Employee Option</w:t>
      </w:r>
      <w:r>
        <w:rPr>
          <w:rFonts w:ascii="Times New Roman" w:cs="Times New Roman" w:eastAsia="Times New Roman" w:hAnsi="Times New Roman"/>
          <w:sz w:val="18"/>
          <w:szCs w:val="18"/>
          <w:color w:val="auto"/>
        </w:rPr>
        <w:t>”), shall, automatically and without any required action on the part of the holder thereof, be assumed by Parent and converted into and thereafter evidence an option to acquire Parent Common Shares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Option</w:t>
      </w:r>
      <w:r>
        <w:rPr>
          <w:rFonts w:ascii="Times New Roman" w:cs="Times New Roman" w:eastAsia="Times New Roman" w:hAnsi="Times New Roman"/>
          <w:sz w:val="18"/>
          <w:szCs w:val="18"/>
          <w:color w:val="auto"/>
        </w:rPr>
        <w:t xml:space="preserve">”). Each New Parent Option shall continue to have and be subject to substantially the same terms and conditions as were applicable to such Company Option immediately prior to the Effective Time (including with respect to vesting conditions, expiration date, and exercise provisions), except that (i) each New Parent Option shall be exercisable for that number of Parent Common Shares (rounded, if necessary, to the nearest whole share) determined by multiplying the number of shares of Company Class A Common Stock subject to such Company Option as of immediately prior to the Effective Time by the Exchange Ratio and (ii) the per share exercise price for each Parent Common Share issuable upon exercise of the New Parent Option shall be (rounded, if necessary, up to the nearest whole cent) equal to the exercise price per share of Company Class A Common Stock under such Company Option divided by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adjustments provided in this </w:t>
      </w:r>
      <w:r>
        <w:rPr>
          <w:rFonts w:ascii="Times New Roman" w:cs="Times New Roman" w:eastAsia="Times New Roman" w:hAnsi="Times New Roman"/>
          <w:sz w:val="18"/>
          <w:szCs w:val="18"/>
          <w:u w:val="single" w:color="auto"/>
          <w:color w:val="auto"/>
        </w:rPr>
        <w:t>Section 3.2(a)(ii)(A)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409A of the Code and the applicable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-4968875</wp:posOffset>
            </wp:positionV>
            <wp:extent cx="13665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firstLine="1286"/>
        <w:spacing w:after="0" w:line="253" w:lineRule="auto"/>
        <w:tabs>
          <w:tab w:leader="none" w:pos="3701" w:val="left"/>
        </w:tabs>
        <w:numPr>
          <w:ilvl w:val="5"/>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Parent Common Shares equal to the product of (x) the number of shares of Company Class A Common Stock subject to such Former Employee Option as of immediately prior to the Effective Time and (y) (A) the excess, if any, of the Merger Consideration Value over the exercise price per share of Company Class A Common Stock applicable to such Former Employee Option, divided by</w:t>
      </w:r>
    </w:p>
    <w:p>
      <w:pPr>
        <w:jc w:val="both"/>
        <w:ind w:left="1760" w:right="459" w:hanging="10"/>
        <w:spacing w:after="0" w:line="253" w:lineRule="auto"/>
        <w:tabs>
          <w:tab w:leader="none" w:pos="2061"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Value (the “</w:t>
      </w:r>
      <w:r>
        <w:rPr>
          <w:rFonts w:ascii="Times New Roman" w:cs="Times New Roman" w:eastAsia="Times New Roman" w:hAnsi="Times New Roman"/>
          <w:sz w:val="18"/>
          <w:szCs w:val="18"/>
          <w:u w:val="single" w:color="auto"/>
          <w:color w:val="auto"/>
        </w:rPr>
        <w:t>Former Employee Option Consideration</w:t>
      </w:r>
      <w:r>
        <w:rPr>
          <w:rFonts w:ascii="Times New Roman" w:cs="Times New Roman" w:eastAsia="Times New Roman" w:hAnsi="Times New Roman"/>
          <w:sz w:val="18"/>
          <w:szCs w:val="18"/>
          <w:color w:val="auto"/>
        </w:rPr>
        <w:t>”). Parent shall, or shall cause the Surviving Corporation to, deliver the Former Employee Option Consideration to each holder of Former Employee Options, less any required withholding Taxes and without interest, within ten (10) Business Days following the Effective Time.</w:t>
      </w:r>
    </w:p>
    <w:p>
      <w:pPr>
        <w:spacing w:after="0" w:line="121" w:lineRule="exact"/>
        <w:rPr>
          <w:rFonts w:ascii="Times New Roman" w:cs="Times New Roman" w:eastAsia="Times New Roman" w:hAnsi="Times New Roman"/>
          <w:sz w:val="18"/>
          <w:szCs w:val="18"/>
          <w:color w:val="auto"/>
        </w:rPr>
      </w:pPr>
    </w:p>
    <w:p>
      <w:pPr>
        <w:jc w:val="both"/>
        <w:ind w:left="1100" w:right="479" w:firstLine="1298"/>
        <w:spacing w:after="0" w:line="261" w:lineRule="auto"/>
        <w:tabs>
          <w:tab w:leader="none" w:pos="3030" w:val="left"/>
        </w:tabs>
        <w:numPr>
          <w:ilvl w:val="4"/>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Board and/or the compensation committee of the Company Board shall take such action and adopt such resolutions as are required to</w:t>
      </w:r>
    </w:p>
    <w:p>
      <w:pPr>
        <w:jc w:val="both"/>
        <w:ind w:left="1100" w:right="459" w:firstLine="2"/>
        <w:spacing w:after="0" w:line="252" w:lineRule="auto"/>
        <w:tabs>
          <w:tab w:leader="none" w:pos="132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effectuate the treatment of the Company RSUs and Company Options pursuant to the terms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if requested by Parent in writing, cause the Company Equity Plans to terminate at or prior to the Effective Time and (iii) take all actions reasonably required to effectuate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RSUs or Company Options.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and in accordance with the terms of each Company Warrant that is issued and outstanding immediately prior to the Effective Time, unless otherwise mutually agreed by the holder of any such Company Warrant and Parent, each Company Warrant shall cease to represent a right to acquire Company Class A Common Stock and shall be replaced with a warrant to acquire Parent Common Shares (a “</w:t>
      </w:r>
      <w:r>
        <w:rPr>
          <w:rFonts w:ascii="Times New Roman" w:cs="Times New Roman" w:eastAsia="Times New Roman" w:hAnsi="Times New Roman"/>
          <w:sz w:val="18"/>
          <w:szCs w:val="18"/>
          <w:u w:val="single" w:color="auto"/>
          <w:color w:val="auto"/>
        </w:rPr>
        <w:t>New Parent Warrant</w:t>
      </w:r>
      <w:r>
        <w:rPr>
          <w:rFonts w:ascii="Times New Roman" w:cs="Times New Roman" w:eastAsia="Times New Roman" w:hAnsi="Times New Roman"/>
          <w:sz w:val="18"/>
          <w:szCs w:val="18"/>
          <w:color w:val="auto"/>
        </w:rPr>
        <w:t>”), with (i) the number of such Parent Common Shares equal to the product obtained by multiplying the number of shares of Company Class A Common Stock subject to such Company Warrant immediately prior to the Effective Time by the Exchange Ratio, and</w:t>
      </w:r>
    </w:p>
    <w:p>
      <w:pPr>
        <w:spacing w:after="0" w:line="2"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91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price for each such Parent Common Share equal to the quotient obtained by dividing the exercise price per share of Company Class A Common Stock under such Company Warrant by the Exchange Ratio.</w:t>
      </w:r>
    </w:p>
    <w:p>
      <w:pPr>
        <w:spacing w:after="0" w:line="10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Payment for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Effective Time, Parent shall select a bank or trust company reasonably acceptable to the Company to act as exchange agent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On the Closing Date and prior to the filing of the Certificate of Merger, Parent shall deposit, or cause to be deposited, with the Exchange Agent, for the benefit of the holders of Eligible Shares, for payment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(i) evidence of Parent Common Shares issuable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book-entry form equal to the aggregate Per Share Merger Consideration (excluding any Fractional Share Consideration), and (ii) cash in immediately available funds in an amount sufficient to pay the Fractional Share Consideration (such evidence of book-entry Parent Common Shares and cash amounts,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the Per Share Merger Consideration payable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 The Exchange Fund shall not be used for any other purpose. Parent or the Surviving Corporation shall pay all charges and expenses of the Exchange Agent, in connection with the exchange of Eligible Shares for the Per Share Merger Consideration pursuant to this Agreement.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shall promptly replace, restore or supplement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interest or other income resulting from investment of the cash portion of the Exchange Fund may become part of the Exchange Fund, and any cash amounts in excess of the cash amounts payable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may, at the discretion of Parent, be promptly returned to Parent or the Surviving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00" w:hanging="668"/>
        <w:spacing w:after="0"/>
        <w:tabs>
          <w:tab w:leader="none" w:pos="240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As soon as reasonably practicable after the Effective Time, but in no event more than two (2) Business Days after the Closing Date, Parent shall cause the Exchange Agent to deliver to each record holder, as of immediately prior to the Effective Time after giving effect to the Exchanges and the Conversion, of (A) an outstanding certificate or certificates which immediately prior to the Effective Time represented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shares of Company Common Stock represented by book-entry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customary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Per Share Merger Consideration set forth in </w:t>
      </w:r>
      <w:r>
        <w:rPr>
          <w:rFonts w:ascii="Times New Roman" w:cs="Times New Roman" w:eastAsia="Times New Roman" w:hAnsi="Times New Roman"/>
          <w:sz w:val="18"/>
          <w:szCs w:val="18"/>
          <w:u w:val="single" w:color="auto"/>
          <w:color w:val="auto"/>
        </w:rPr>
        <w:t>Section 3.1.</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 No interest shall be paid or accrued for the benefit of holders of the Certificates or Book-Entry Shares on the Per Share Merger Consideration payable in respect of the Certificates or Book-Entry Shares. If payment of the Per Share Merger Consideration is to be made to any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Per Share Merger Consideration to a Person other than the registered holder of the Certificate surrendered and shall have established to the satisfaction of the Surviving Corporation that such Taxes either have been paid or are not applicable. Until surrendered as contemplated by this </w:t>
      </w:r>
      <w:r>
        <w:rPr>
          <w:rFonts w:ascii="Times New Roman" w:cs="Times New Roman" w:eastAsia="Times New Roman" w:hAnsi="Times New Roman"/>
          <w:sz w:val="18"/>
          <w:szCs w:val="18"/>
          <w:u w:val="single" w:color="auto"/>
          <w:color w:val="auto"/>
        </w:rPr>
        <w:t>Section 3.3(b)(ii)</w:t>
      </w:r>
      <w:r>
        <w:rPr>
          <w:rFonts w:ascii="Times New Roman" w:cs="Times New Roman" w:eastAsia="Times New Roman" w:hAnsi="Times New Roman"/>
          <w:sz w:val="18"/>
          <w:szCs w:val="18"/>
          <w:color w:val="auto"/>
        </w:rPr>
        <w:t xml:space="preserve">, each Certificate and each Book-Entry Share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 deemed at any time after the Effective Time to represent only the right to receive upon such surrender the Per Share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All Per Share Merger Consideration paid upon the surrender of and in exchange for Eligible Shares in accordance with the terms hereof shall be deemed to have been paid in full satisfaction of all rights pertaining to such Company Common Stock. After the Effective Time,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Per Share Merger Consideration payable in respect of the Eligible Shares previously represented by such Certificates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2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stockholders of the Company on the 365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Surviving Corporation, upon demand, and any former equity holders of the Company who have not theretofore received the Per Share Merger Consideration to which they are entitled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thereafter look only to the Surviving Corporation and Parent for payment of their claim for such amounts.</w:t>
      </w:r>
    </w:p>
    <w:p>
      <w:pPr>
        <w:spacing w:after="0" w:line="123"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9"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Surviving Corporation, Parent, BMS, Merger Sub or the Exchange Agent shall be liable to any holder of Company Common Stock for any amount of Per Share Merger Consideration properly delivered to a public official pursuant to any applicable abandoned property, escheat or similar Law. If any Certificate or Book-Entry Share has not been surrendered prior to the time that is immediately prior to the time at which Per Share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4" w:lineRule="auto"/>
        <w:tabs>
          <w:tab w:leader="none" w:pos="236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amount of Per Share Merger Consideration payable in respect of the number of shares of Company Common Stock formerly represented by such Certificate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Parent Common Share (after aggregating all shares represented by the Certificates and Book-Entry Shares delivered by such holder) shall receive, in lieu thereof, cash, without interest, in an amount equal to the product of (a) such fraction of a Parent Common Share multiplied by (b) the closing price per share of a Parent Common Share on the Business Day immediately prior to the Closing Date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 Capital</w:t>
      </w:r>
      <w:r>
        <w:rPr>
          <w:rFonts w:ascii="Times New Roman" w:cs="Times New Roman" w:eastAsia="Times New Roman" w:hAnsi="Times New Roman"/>
          <w:sz w:val="18"/>
          <w:szCs w:val="18"/>
          <w:color w:val="auto"/>
        </w:rPr>
        <w:t>. No dividends or other distributions with respect to Parent Common Shares with a record date after the Effective Time shall be paid to the holder of any unsurrendered Certificate or Book-Entry Share with respect to the Parent Common Shares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Parent Common Shares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Shares.</w:t>
      </w:r>
    </w:p>
    <w:p>
      <w:pPr>
        <w:spacing w:after="0" w:line="11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the Company, BMS, Merger Sub, the Surviving Corporation and the Exchange Agent shall be entitled to deduct or withhold from any payment made pursuant to this Agreement any amount required to be deducted or withheld under applicable Tax Law with respect to the making of such payment. To the extent any such amount is so deducted or withheld and paid over to the relevant Taxing Authority, such amount shall be treated for all purposes of this Agreement as having been paid to the Person to whom such amount would have been paid absent such deduction or withholding. The Parties agree that no amount shall be deducted or withheld from the Per Share Merger Consideration pursuant to Section 1445 of the Code or the U.S. Treasury Regulations promulgated thereunder, or in connection with the Exchanges, pursuant to Section 1445 of the Code or Section 1446 of the Code and the Treasury Regulations promulgated thereunder with respect to any holder of Company Holdco Units that has delivered an IRS Form W-9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unless required by a change in Law after the date hereof.</w:t>
      </w:r>
    </w:p>
    <w:p>
      <w:pPr>
        <w:spacing w:after="0" w:line="12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3.4 Appraisal Rights. Notwithstanding anything in this Agreement to the contrary, shares of Company Class V Common Stock issued and outstanding immediately prior to the Effective Time that are held by any holder who is entitled to demand and properly demands appraisal of such shares pursuant to Section 262 of the DGCL shall be treated in accordance with Section 262 of the DGCL. The Company shall serve prompt notice to Parent of any demands for appraisal of any shares of Company Class V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 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or with respect to the Company Holdco Units and (b) appraisal rights shall be limited to an appraisal, pursuant to Section 262 of the DGCL, solely of the fair value of the Company Class V Common Stock,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7969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(i) as set forth in the disclosure letter dated as of the date of this Agreement and delivered by the Company to Parent, BMS and Merger Sub on or prior to the date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and (ii) as disclosed in the Company SEC Documents (including all exhibits and schedules thereto and documents incorporated by reference therein) filed with or furnished to the SEC and publicly available on Edgar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and warrants to Parent, BMS and Merger Sub as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Organization, Standing and Power. Each of the Company and its Subsidiaries is a corporation, partnership or limited liability company duly organized, validly existing and in good standing under the Laws of its jurisdiction of incorporation or organization. Each of the Company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Company Material Adverse Effect. Each of the Company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Company Material Adverse Effect.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of the Company Disclosure Letter lists, as of the date of this Agreement, all Subsidiaries of the Company together with (i) the jurisdiction of organization of each such Subsidiary, (ii) for each such Subsidiary that is not wholly owned (directly or indirectly) by the Company, the percentage of issued and outstanding equity interests owned directly or indirectly by the Company and (iii) the Company’s or its Subsidiaries’ capital stock, equity interest or other direct or indirect ownership interest in any other Person other than the Company or any Subsidiary (other than securities in a publicly traded company held for investment by the Company or any of its Subsidiaries and consisting of less than 1% of the outstanding capital stock of such Person). As of the date hereof, the Company has made available to Parent accurate and complete copies of the Organizational Documents of each of the Company and its Subsidiaries as amended to date and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-2498090</wp:posOffset>
            </wp:positionV>
            <wp:extent cx="15716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9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41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(i) 23,800,000 shares of Company Class A Common Stock, (ii)5,000,000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At the close of business on August 19, 2024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 14,483,110 shares of Company Class A Common Stock were issued and outstanding; (B) 691,687 shares of Company Class A Common Stock were underlying the Company RSUs; (C) 80,352 shares of Company Class A Common Stock were underlying the Company Options; (D) 14,483,110 Company Holdco Units were issued and outstanding and held by the Company; (E) 2,405,760 Company Holdco Units and 2,405,760 shares of Company Class V Common Stock were issued and outstanding and not held by the Company or any of its Subsidiaries and were together exchangeable for 2,405,760 shares of Company Class A Common Stock pursuant to the Company Holdco LLC Agreement and the Organizational Documents of the Company; (F) 5,989.407 shares of Company Series C Preferred Stock were issued and outstanding; (G) 0 shares of Company Series D Preferred Stock were issued and outstanding; (H) Company Warrants to purchase 3,976,026 shares of Company Class A Common Stock were outstanding; and (I) 1,652,269 shares of Company Class A Common Stock remained available for issuance pursuant to the Company Equity Plans.</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and Company Series C Preferred Stock are validly issued, fully paid and non-assessable and are not subject to preemptive rights. All outstanding shares of Company Common Stock and Company Series C Preferred Stock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Redemption Right (as defined in the Company Holdco LLC Agreement), there are no outstanding restricted stock, restricted stock units, phantom units or other equity-related awards, options, warrants or other rights to subscribe for, purchase or acquire from the Company or any of its Subsidiaries any capital stock of the Company or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convertible into or exchangeable or exercisable for capital stock of the Company. All outstanding shares of capital stock or other equity interests of the Subsidiaries of the Company are validly issued, fully paid and non-assessable, are owned by the Company or Company Holdco or by a wholly owned Subsidiary of the Company or Company Holdco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except for changes since the Measurement Date resulting from the vesting of Company RSUs, the conversion of Company Preferred Stock, the exercise of Company Options, Company Warrants, or the exchange of Company Holdco Units, in each case outstanding at such date (and the issuance of shares thereunder), or stock issuances, grants or other awards granted in accordance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 (A) no shares of Company Capital Stock, (B) no Voting Debt, (C) no securities of the Company or any Subsidiary of the Company convertible into or exchangeable or exercisable for shares of Company Capital Stock or Voting Debt and (D)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securities of the Company, or obligating the Company or any Subsidiary of the Company to grant, extend or enter into any such option, warrant, subscription, call, right, commitment or agreement. There are not any stockholder agreements, voting trusts or other agreements to which the Company is a party or by which it is bound relating to the voting of any shares of Company Capital Stock.</w:t>
      </w:r>
    </w:p>
    <w:p>
      <w:pPr>
        <w:spacing w:after="0" w:line="123" w:lineRule="exact"/>
        <w:rPr>
          <w:sz w:val="20"/>
          <w:szCs w:val="20"/>
          <w:color w:val="auto"/>
        </w:rPr>
      </w:pPr>
    </w:p>
    <w:p>
      <w:pPr>
        <w:jc w:val="both"/>
        <w:ind w:left="620" w:right="459" w:firstLine="1112"/>
        <w:spacing w:after="0" w:line="252" w:lineRule="auto"/>
        <w:tabs>
          <w:tab w:leader="none" w:pos="23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Company Options or Company RSUs other than those granted pursuant to the Company Equity Plans. </w:t>
      </w:r>
      <w:r>
        <w:rPr>
          <w:rFonts w:ascii="Times New Roman" w:cs="Times New Roman" w:eastAsia="Times New Roman" w:hAnsi="Times New Roman"/>
          <w:sz w:val="18"/>
          <w:szCs w:val="18"/>
          <w:u w:val="single" w:color="auto"/>
          <w:color w:val="auto"/>
        </w:rPr>
        <w:t>Schedule 4.2(c)-1</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outstanding Company Options (by grantee identification number), whether or not granted under the Company Equity Plans, including the number of shares of Company Common Stock subject to each such option, the date of grant, the exercise or vesting schedule (including identification of any Company Options that may be exercised in advance of vesting), the vesting commencement date and the terms of any acceleration thereof, the extent vested and unvested as of the Measurement Date, the exercise price per share, the Tax status of such option under Section 422 of the Code (or any intended applicable foreign Tax Law), the plan from which such Company Option was granted, the term of each such Company Option and the country of residence of each such holder. </w:t>
      </w:r>
      <w:r>
        <w:rPr>
          <w:rFonts w:ascii="Times New Roman" w:cs="Times New Roman" w:eastAsia="Times New Roman" w:hAnsi="Times New Roman"/>
          <w:sz w:val="18"/>
          <w:szCs w:val="18"/>
          <w:u w:val="single" w:color="auto"/>
          <w:color w:val="auto"/>
        </w:rPr>
        <w:t>Schedule 4.2(c)-2</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Company RSUs (by grantee identification number), including the number of shares of Company Common Stock remaining subject to issuance under such Company RSUs, the vesting schedule, the vesting commencement date and the terms of any acceleration thereof, the plan from which such Company RSU was granted and the country of residence of each such holder.</w:t>
      </w:r>
    </w:p>
    <w:p>
      <w:pPr>
        <w:spacing w:after="0" w:line="12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42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with respect to consummation of the Merger, to the Company Stockholder Approval. This Agreement has been duly executed and delivered by the Company and, assuming this Agreement constitutes the valid and binding obligation of Parent, BMS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(i) determined that this Agreement and the transactions contemplated hereby, including the Merger, are in the best interests of the holders of Company Common Stock, (ii) approved and declared advisable the execution, delivery and performance of this Agreement and the transactions contemplated hereby, including the Merger, and (iii) resolved to recommend that the holders of Company Common Stock approve this Agreement and the transactions contemplated hereby, including the Merger (such recommendation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Stockholder Approval is the only vote of the holders of any class or series of the Company Capital Stock necessary to approve and adopt this Agreement and the Merger.</w:t>
      </w:r>
    </w:p>
    <w:p>
      <w:pPr>
        <w:spacing w:after="0" w:line="123"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4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3" w:lineRule="auto"/>
        <w:rPr>
          <w:sz w:val="20"/>
          <w:szCs w:val="20"/>
          <w:color w:val="auto"/>
        </w:rPr>
      </w:pPr>
      <w:r>
        <w:rPr>
          <w:rFonts w:ascii="Times New Roman" w:cs="Times New Roman" w:eastAsia="Times New Roman" w:hAnsi="Times New Roman"/>
          <w:sz w:val="18"/>
          <w:szCs w:val="18"/>
          <w:color w:val="auto"/>
        </w:rPr>
        <w:t xml:space="preserve">Stockholder Approval is obtained), (ii) other than the Company Credit Agreement, result in a violation of, or default under, or acceleration of any material obligation or the loss of a material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Company Material Adverse Effect.</w:t>
      </w:r>
    </w:p>
    <w:p>
      <w:pPr>
        <w:spacing w:after="0" w:line="12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premerger notification report by the Company under the Hart-Scott-Rodino Antitrust Improvements Act of 1976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the expiration or termination of the applicable waiting period with respect thereto, if applicable; (b) the filing with the SEC of (i) a proxy statement/prospectus in preliminary and definitive form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relating to the meeting of the stockholders of the Company to consider the approval of this Agreement and the Transactions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NASDAQ;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 and (g) any such Consent that the failure to obtain or make would not reasonably be expected to have, individually or in the aggregate, a Company Material Adverse Effect.</w:t>
      </w:r>
    </w:p>
    <w:p>
      <w:pPr>
        <w:spacing w:after="0" w:line="127"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SEC Documents; Financial Statements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1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filed or furnished with the SEC all forms, reports and statements required to be filed or furnished under the Securities Act or the Exchange Act, respectively (such forms, reports and statements,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applicable requirements of the Exchange Act and has been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3"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5" w:lineRule="auto"/>
        <w:rPr>
          <w:sz w:val="20"/>
          <w:szCs w:val="20"/>
          <w:color w:val="auto"/>
        </w:rPr>
      </w:pPr>
      <w:r>
        <w:rPr>
          <w:rFonts w:ascii="Times New Roman" w:cs="Times New Roman" w:eastAsia="Times New Roman" w:hAnsi="Times New Roman"/>
          <w:sz w:val="18"/>
          <w:szCs w:val="18"/>
          <w:color w:val="auto"/>
        </w:rPr>
        <w:t>only in accordance with management’s general or specific authorization; and (iv) the recorded accountability for assets is compared with the existing assets at reasonable intervals and appropriate action is taken with respect to any differences. In the last three (3) years,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 (ii) any fraud that involves management or any other employee who has (or has had) a significant role in the Company’s internal control over financial reporting.</w:t>
      </w:r>
    </w:p>
    <w:p>
      <w:pPr>
        <w:spacing w:after="0" w:line="121" w:lineRule="exact"/>
        <w:rPr>
          <w:sz w:val="20"/>
          <w:szCs w:val="20"/>
          <w:color w:val="auto"/>
        </w:rPr>
      </w:pPr>
    </w:p>
    <w:p>
      <w:pPr>
        <w:jc w:val="both"/>
        <w:ind w:left="620" w:right="459" w:firstLine="1112"/>
        <w:spacing w:after="0" w:line="258" w:lineRule="auto"/>
        <w:tabs>
          <w:tab w:leader="none" w:pos="23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13a-15 or 15d-15 under the Exchange Act. Such disclosure controls and procedures comply with the applicable requirements of the Exchange Act and have been designed to ensure that all material information concerning the Company and its Subsidiaries is made known on a timely basis to the individuals responsible for the preparation of the Company’s filings with the SEC and other public disclosure documents.</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61" w:lineRule="auto"/>
        <w:tabs>
          <w:tab w:leader="none" w:pos="239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through the date of this Agreement, there has not been any Company Material Adverse Effect or any event, change, effect or development that, individually or in the aggregate, would reasonably be expected to have a Company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Company Balance Sheet Date through the date of this Agreement, the Company and its Subsidiaries have conducted their business in the ordinary course of business in all material respects.</w:t>
      </w:r>
    </w:p>
    <w:p>
      <w:pPr>
        <w:spacing w:after="0" w:line="10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the Company or any of its Subsidiaries of any kind whatsoever, whether accrued, contingent, absolute, determined, determinable or otherwise, other than: (a) liabilities adequately provided for on the Company’s balance sheet as of June 30, 2024 or the notes thereto included in the Company’s Quarterly Report on Form 10-Q for the quarter ended June 30, 2024; (b) liabilities not required to be presented on the face of a balance sheet in accordance with GAAP;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(f) liabilities that would not reasonably be expected to have, individually or in the aggregate, a Company Material Adverse Effect. There are no liabilities of the Company or any of its Subsidiaries under the Specified Debt Agreements.</w:t>
      </w:r>
    </w:p>
    <w:p>
      <w:pPr>
        <w:spacing w:after="0" w:line="10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4.8 Information Supplied. None of the information supplied or to be supplied by the Company for inclusion or incorporation by reference in (a) the registration statement on Form F-4 (of which the Proxy Statement/Prospectus will form a part) to be filed with the SEC by Parent in connection with the issuance of Parent Common Shares in the Merger (including any amendments or supplements,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in the form mailed to stockholders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the Company with respect to statements made therein based on information supplied by Parent, BMS and Merger Sub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-1946275</wp:posOffset>
            </wp:positionV>
            <wp:extent cx="9804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Company Permits;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4276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242760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4" w:lineRule="auto"/>
        <w:tabs>
          <w:tab w:leader="none" w:pos="241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material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and its Subsidiaries are in compliance with the terms of the Company Permits in all material respects. In the last three (3) years, neither the Company nor any of its Subsidiaries has received any written, or to the knowledge of the Company, oral, notice from any Governmental Entity regarding (i) any actual or possible material violation of any Company Permit, or any failure to comply in any material respect with any term or requirement of any Company Permit or (ii) any actual or possible revocation, withdrawal, suspension, cancellation, termination or modification of any Company Permit.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44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are not currently being conducted, and at no time within the last three (3) years have been conducted, in violation of any applicable Law in any material respect. As of the date of this Agreement, no investigation or review by any Governmental Entity with respect to the Company or any of its Subsidiaries is pending or, to the knowledge of the Company, threatened, other than those the outcome of which would not reasonably be expected to, individually or in the aggregate, result in a material liability to the Company or its Subsidiaries, taken as a whole. In the last three (3) years, neither the Company nor any of its Subsidiaries has received any written, or to the knowledge of the Company, oral, notice of violation with respect to any applicable Law or any inquiry, subpoena, civil investigative demand, or other investigational inquiry from a Governmental Entity with respect thereto.</w:t>
      </w:r>
    </w:p>
    <w:p>
      <w:pPr>
        <w:spacing w:after="0" w:line="12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1010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4.10(a)</w:t>
      </w:r>
      <w:r>
        <w:rPr>
          <w:rFonts w:ascii="Times New Roman" w:cs="Times New Roman" w:eastAsia="Times New Roman" w:hAnsi="Times New Roman"/>
          <w:sz w:val="18"/>
          <w:szCs w:val="18"/>
          <w:color w:val="auto"/>
        </w:rPr>
        <w:t xml:space="preserve"> of the Company Disclosure Letter is a list, as of the date hereof, of all of the material Employee Benefit Plans sponsored, maintained, or contributed to or required to be contributed to by the Company or any of its Affiliates (without regard to materiality,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plan documents, including any amendments thereto, of each of the Company Plans (or if any such Company Plan is not in writing, a written description of such Company Plan) and related trust documents, summary plan descriptions (including any summaries of material modifications thereto) and favorable determination letters, if applicable, have been furnished or made available to Parent or its Representatives, along with the most recent report filed on Form 5500 with respect to each Company Plan required to file a Form 5500.</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operated, administered and funded in all material respects in accordance with its terms and in material compliance with all applicable Laws. Each Company Plan that constitutes in any part a “nonqualified deferred compensation plan” (as defined under Section 409A(d)(1) of the Code) subject to Section 409A of the Code has been operated and administered in material operational compliance with, and is in all respects in documentary compliance with, Section 409A of the Code, and no amount under any such Company Plan is or has been subject to the interest and additional Tax set forth under Section 409A(a)(1)(B) of the Code.</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intended to be “qualified” within the meaning of Section 401(a) of the Code, (i) each such Company Plan has received a favorable determination letter (or opinion or advisory letter, if applicable) from the Internal Revenue Service with respect to its qualification,</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3" w:lineRule="auto"/>
        <w:tabs>
          <w:tab w:leader="none" w:pos="91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maintained thereunder are intended to be exempt from taxation under Section 501(a) of the Code and (iii) to the knowledge of the Company, no event has occurred or condition exists that could reasonably be expected to result in disqualification of such Company Plan or adversely affect the tax-exemption of its related trust.</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8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claims or Proceedings that would not reasonably be expected to result in a material liability to the Company of its Affiliates. No Company Plan is, or within the last six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21" w:lineRule="exact"/>
        <w:rPr>
          <w:rFonts w:ascii="Times New Roman" w:cs="Times New Roman" w:eastAsia="Times New Roman" w:hAnsi="Times New Roman"/>
          <w:sz w:val="18"/>
          <w:szCs w:val="18"/>
          <w:color w:val="auto"/>
        </w:rPr>
      </w:pPr>
    </w:p>
    <w:p>
      <w:pPr>
        <w:jc w:val="both"/>
        <w:ind w:left="620" w:right="479" w:firstLine="1112"/>
        <w:spacing w:after="0" w:line="312" w:lineRule="auto"/>
        <w:tabs>
          <w:tab w:leader="none" w:pos="2406"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unfunded benefit obligations that have not been properly accrued for in the Company’s financial statements or disclosed in the notes thereto in accordance with GAAP.</w:t>
      </w:r>
    </w:p>
    <w:p>
      <w:pPr>
        <w:spacing w:after="0" w:line="72" w:lineRule="exact"/>
        <w:rPr>
          <w:rFonts w:ascii="Times New Roman" w:cs="Times New Roman" w:eastAsia="Times New Roman" w:hAnsi="Times New Roman"/>
          <w:sz w:val="17"/>
          <w:szCs w:val="17"/>
          <w:color w:val="auto"/>
        </w:rPr>
      </w:pPr>
    </w:p>
    <w:p>
      <w:pPr>
        <w:jc w:val="both"/>
        <w:ind w:left="620" w:right="459" w:firstLine="1112"/>
        <w:spacing w:after="0" w:line="253" w:lineRule="auto"/>
        <w:tabs>
          <w:tab w:leader="none" w:pos="239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 of its Aggregated Group sponsors, maintains, contributes to, has an obligation to contribute to, or has ever sponsored, maintained, contributed to or has had an obligation to contribute to, and no Company Plan is, (i) a plan subject to Title IV of ERISA (including a multiemployer plan within the meaning of Section 3(37) of ERISA), Section 302 of ERISA, or Section 412 of the Code, (ii) a multiple employer plan that is subject to Section 413(c) of the Code, (iii) a multiple employer welfare arrangement, as defined in Section 3(40) of ERISA or (iv) a Company Plan that obligates the Company to provide a current or former employee, consultant, director or other service provider (or any beneficiary or dependent thereof) of the Company, any life insurance or medical or health benefits after his or her termination of employment or service with the Company, other than as required under Part 6 of Subtitle B of Title I of ERISA, Section 4980B of the Code or any similar state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5" w:lineRule="auto"/>
        <w:tabs>
          <w:tab w:leader="none" w:pos="240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Affiliates or, to the knowledge of the Company, any other “fiduciary” (as defined in Section 3(21) of ERISA) has any liability for breach of fiduciary duty or any other failure to act or comply in connection with the administration or investment of the assets of such Company Plan that, in either case, would reasonably be expected to result in a material liability to the Company or any of its Subsidiaries.</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4.10(i)</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transactions contemplated hereby, either alone or in combination with another event, could: (i) entitle any current or former individual service provider of the Company or any Subsidiary (or any dependent or beneficiary thereof) to any payment of compensation; (ii) increase the amount of compensation or benefits due to any such person; (iii) accelerate the vesting, funding or time of payment of any compensation or benefit; (iv) require a contribution by the Company or any Subsidiary to any Company Plan; (v) result in any payments or benefits that, individually or in combination with any other payment or benefit, could constitute the payment of any “excess parachute payment” within the meaning of Section 280G of the Code or in the imposition of an excise Tax under Section 4999 of the Code; or (vi) trigger any Tax gross-up, Tax equalization or other Tax reimbursement payment from the Company or any Subsidiary to any individual service provider of the Company or any Subsidiary.</w:t>
      </w:r>
    </w:p>
    <w:p>
      <w:pPr>
        <w:spacing w:after="0" w:line="12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4" w:lineRule="auto"/>
        <w:tabs>
          <w:tab w:leader="none" w:pos="23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bound by any labor union agreement, collective bargaining agreement, or other labor-related agreement or arrangement with any labor union, similar labor organization or works council, no employees of the Company or any of its Subsidiaries are represented by any labor union, similar labor organization or works council and there are no labor agreements, collective bargaining agreements or any other labor-related agreements or labor union arrangements that pertain to any of the employees of the Company or its Subsidiaries, (ii) there is no pending union representation petition involving employees of the Company or any of its Subsidiaries, and (iii) to the knowledge of the Company, there have been no labor union organizing activities with respect to any employees of the Company or its Subsidiaries.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three (3) years, there has been no actual or, to the knowledge of the Company, threatened unfair labor practice charge, material grievance, material arbitration, strike, dispute, slowdown, work stoppage, lockout, picketing, hand billing or other labor union-related dispute against or affecting the Company or its Subsidiaries.</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in all material respects with all applicable Laws respecting labor, employment, and employment practices, and for the last three (3) years there have been no material Proceedings pending or, to the knowledge of the Company, threatened against the Company or any of its Subsidiaries, by or on behalf of any applicant for employment, any current or former employee or any class of the foregoing, relating to any applicable Laws respecting employment and employment practices, or alleging breach of any express or implied contract of employment, wrongful termination of employment, or alleging any other discriminatory, wrongful or tortious conduct in connection with the employment relationship. Within the last three (3) years, neither the Company nor any of its Subsidiaries has received any material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0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entered into a settlement agreement with a current or former director, officer, employee or independent contractor of the Company or its Subsidiaries that involves allegations relating to sexual harassment, sexual misconduct or discrimination by either (i) an officer of the Company or its Subsidiaries or (ii) an employee of the Company or its Subsidiaries at the level of Vice President or above. To the knowledge of the Company, in the last five (5) years, no allegations of sexual harassment, sexual misconduct or discrimination have been made against (i) any officer of the Company or its Subsidiaries or (ii) an employee of the Company or its Subsidiaries at a level of Vice President or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6" w:lineRule="auto"/>
        <w:tabs>
          <w:tab w:leader="none" w:pos="241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or any of its Subsidiaries is in any respect in violation of any term of any employment agreement, nondisclosure agreement, common law nondisclosure obligation, fiduciary duty, non-competition agreement, restrictive covenant or other obligation: (i) to the Company or any of its Subsidiaries or (ii) to a former employer of any such employee relating (A) to the right of any such employee to be employed by the Company or any of its Subsidiaries or (B) to the knowledge or use of trade secrets or proprietary information.</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6" w:lineRule="auto"/>
        <w:tabs>
          <w:tab w:leader="none" w:pos="23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caused to be prepared and timely filed (taking into account valid extensions of time to file) all material Tax Returns required to be filed by it, and all such filed Tax Returns are true, complete and accurate in all material respects.</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or adequate reserves in respect thereof have been established in the Company’s financial statements in accordance with GAAP.</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properly and timely withheld or collected and timely paid, or is properly holding for timely payment, all material Taxes required to be withheld, collected and paid over by it under applicable Tax Law.</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from any Taxing Authority written notice of any pending audit, examination, or other proceeding in respect of Taxes of the Company or any of its Subsidiaries, and no audit, examination or other proceeding in respect of Taxes of the Company or any of its Subsidiaries is ongoing.</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proposed or asserted in writing or assessed by any Governmental Entity against the Company or any of its Subsidiaries that remains unpaid or unresolved.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7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(or is subject to) any waiver or extension of the statute of limitations for the assessment or collection of any material amount of Tax, which waiver or extension is not yet expired.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four (4) years, no written claim has been received by the Company or any of its Subsidiaries from a Governmental Entity in a jurisdiction in which neither the Company nor any of its Subsidiaries files income or franchise Tax Returns that the Company or any of its Subsidiaries is or may be subject to income or franchise taxation by, or required to file any income or franchise Tax Return in, that jurisdiction.</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of corporations filing a consolidated U.S. federal income Tax Return (other than a group the common parent of which is the Company) or has any liability for Taxes of any Person (other than the Company and its current and former Subsidiaries) under U.S. Treasury Regulations Section 1.1502-6 (or any similar provision of U.S. state or local or non-U.S. Tax Law) or by operation of Law as a transferee or successor.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8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was a distributing corporation or a controlled corporation in a transaction intended to be governed by Section 355 of the Code.</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5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sharing or allocation contract or arrangement, other than (i) contracts solely among the Company and any of its Subsidiaries, (ii) customary Tax sharing or indemnification provisions in contracts the primary purpose of which does not relate to Taxes and (iii) the Tax Receivable Agreement.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closing agreements, gain recognition agreements, private letter rulings, or similar agreements or rulings that have been entered into between any Taxing Authority and any of the Company or its Subsidiaries, or issued by any Taxing Authority to the Company or any of its Subsidiaries, that are binding on the Company or any of its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firstLine="1112"/>
        <w:spacing w:after="0" w:line="282" w:lineRule="auto"/>
        <w:tabs>
          <w:tab w:leader="none" w:pos="241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 Section 1.6011-4(b)(2).</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will be required to include any material amount in, or exclude any material amount of deduction from, taxable income for any Tax period ending after the Closing Date as a result of any (1) change in method of accounting pursuant to Section 481 of the Code (or any analogous provision under state or foreign Tax Laws) made prior to the Closing Date, (2) installment sale or open transaction entered into prior to the Closing Date, or (3) prepaid amount received on or prior to the Closing Date.</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treated as a corporation for U.S. federal income tax purposes, and the Company Holdco is treated as a partnership for U.S. federal income tax purposes.</w:t>
      </w:r>
    </w:p>
    <w:p>
      <w:pPr>
        <w:spacing w:after="0" w:line="80"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any of its Subsidiaries, other than Permitted Encumbrances.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not and has not been a “United States real property holding corporation” within the meaning of Section 897(c)(2) of the Code and the applicable Treasury Regulations during the five (5)-year period ending on the Closing Date.</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Within the last three (3) years, there has been no material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99"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39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sets forth, as of the date of this Agreement, a correct and complete list of: (i) all real property owned by the Company or any of its Subsidiaries (together with all buildings, structures, improvements and fixtures located thereon,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including a description of each vesting deed therefor and the applicable Company Owned Real Property corresponding thereto; (ii) all leases, subleases, licenses or similar occupancy agreements to which the Company or any of its Subsidiaries is a party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all real property subject thereto, including all improvements located thereon,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including a description of each Company Real Property Lease (including any material amendments thereto); and (iii) to the knowledge of the Company, all easements, rights-of-way or similar instruments under which the Company or any of its Subsidiaries is the named beneficiary that are material to the operation of the businesses of the Company or any of its Subsidiaries (collectively, the “</w:t>
      </w:r>
      <w:r>
        <w:rPr>
          <w:rFonts w:ascii="Times New Roman" w:cs="Times New Roman" w:eastAsia="Times New Roman" w:hAnsi="Times New Roman"/>
          <w:sz w:val="18"/>
          <w:szCs w:val="18"/>
          <w:u w:val="single" w:color="auto"/>
          <w:color w:val="auto"/>
        </w:rPr>
        <w:t>Company Real Property Easements</w:t>
      </w:r>
      <w:r>
        <w:rPr>
          <w:rFonts w:ascii="Times New Roman" w:cs="Times New Roman" w:eastAsia="Times New Roman" w:hAnsi="Times New Roman"/>
          <w:sz w:val="18"/>
          <w:szCs w:val="18"/>
          <w:color w:val="auto"/>
        </w:rPr>
        <w:t>”, and the real property subject thereto, including any improvements, structures or fixtures located thereon or thereunder,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including a description of each Company Real Property Easement (including any material amendments thereto). The Company has made available to Parent, in all material respects, a complete copy of each (A) Company Real Property Lease and Company Real Property Easement (including, without limitation, any and all amendments, assignments, guarantees, master leases, ground leases or similar documentation related thereto) and (B) with respect to the Company Owned Real Property, the vesting deeds, the most-recent owner’s title insurance policies and most-recent surveys, in each case of the foregoing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0"/>
          <w:numId w:val="2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possession, or within the reasonable control, of the Company or its Subsidiaries.</w:t>
      </w:r>
    </w:p>
    <w:p>
      <w:pPr>
        <w:spacing w:after="0" w:line="139" w:lineRule="exact"/>
        <w:rPr>
          <w:rFonts w:ascii="Times New Roman" w:cs="Times New Roman" w:eastAsia="Times New Roman" w:hAnsi="Times New Roman"/>
          <w:sz w:val="18"/>
          <w:szCs w:val="18"/>
          <w:u w:val="single" w:color="auto"/>
          <w:color w:val="auto"/>
        </w:rPr>
      </w:pPr>
    </w:p>
    <w:p>
      <w:pPr>
        <w:jc w:val="both"/>
        <w:ind w:left="620" w:right="459" w:firstLine="1112"/>
        <w:spacing w:after="0" w:line="256" w:lineRule="auto"/>
        <w:tabs>
          <w:tab w:leader="none" w:pos="2395"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its applicable Subsidiary (i) has good and valid title to all Company Owned Real Property and (ii) except as would not reasonably be expected to have, individually or in the aggregate, a Company Material Adverse Effect, (A) a valid leasehold or subleasehold interest in, or other valid right to use or otherwise occupy, each Company Leased Real Property and (B) a valid easement interest in, or other valid right to use or otherwise occupy, each Company Easement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free and clear of all Encumbrances, except Permitted Encumbrances.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40" w:hanging="708"/>
        <w:spacing w:after="0"/>
        <w:tabs>
          <w:tab w:leader="none" w:pos="24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Real Property Lease and each Company Real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Easement:</w:t>
      </w:r>
    </w:p>
    <w:p>
      <w:pPr>
        <w:spacing w:after="0" w:line="139"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Real Property Lease or Company Real Property Easement is in full force and effect and is a valid and enforceable obligation of the Company (or its applicable Subsidiary) and, to the knowledge of the Company, each other party thereto, in accordance with its terms (subject, as to enforceability, to Creditors’ Rights); and</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of its Subsidiaries, or, to the knowledge of the Company, any other party thereto, is in default under any Company Real Property Lease or Company Real Property Easement, and no event has occurred which, with the delivery of notice, the passage of time or both, would constitute a default thereunder and (B) all amounts due and payable by the Company or any Subsidiary thereof under each Company Real Property Lease and Company Real Property Easement have been paid in full.</w:t>
      </w:r>
    </w:p>
    <w:p>
      <w:pPr>
        <w:spacing w:after="0" w:line="107"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Owned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4.14(d)(i)</w:t>
      </w:r>
      <w:r>
        <w:rPr>
          <w:rFonts w:ascii="Times New Roman" w:cs="Times New Roman" w:eastAsia="Times New Roman" w:hAnsi="Times New Roman"/>
          <w:sz w:val="18"/>
          <w:szCs w:val="18"/>
          <w:color w:val="auto"/>
        </w:rPr>
        <w:t xml:space="preserve"> of the Company Disclosure Letter, to the knowledge of the Company, policies of title insurance have been issued, insuring, as of the effective date of each such insurance policy, the title interest held by the Company or its applicable Subsidiary;</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1"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Subsidiary thereof is in default under any easement, covenant, condition, restriction or other agreement to which such Company Owned Real Property is subject and (B) all buildings, structures, fixtures, building systems, improvements and equipment located in or on, or otherwise included in the Company Owned Real Property, (1) are in reasonably sufficient condition and repair, subject to reasonable wear and tear, (2) are adequate and suitable for the purposes currently being used by the Company or its applicable Subsidiary, and (3) are supplied with all utilities and other services necessary to continue to be used in the manner currently being used by the Company or its applicable Subsidiary; and</w:t>
      </w:r>
    </w:p>
    <w:p>
      <w:pPr>
        <w:spacing w:after="0" w:line="107"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30"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Permitted Encumbrances or as set forth on </w:t>
      </w:r>
      <w:r>
        <w:rPr>
          <w:rFonts w:ascii="Times New Roman" w:cs="Times New Roman" w:eastAsia="Times New Roman" w:hAnsi="Times New Roman"/>
          <w:sz w:val="18"/>
          <w:szCs w:val="18"/>
          <w:u w:val="single" w:color="auto"/>
          <w:color w:val="auto"/>
        </w:rPr>
        <w:t>Schedule 4.14(d)(iii)</w:t>
      </w:r>
      <w:r>
        <w:rPr>
          <w:rFonts w:ascii="Times New Roman" w:cs="Times New Roman" w:eastAsia="Times New Roman" w:hAnsi="Times New Roman"/>
          <w:sz w:val="18"/>
          <w:szCs w:val="18"/>
          <w:color w:val="auto"/>
        </w:rPr>
        <w:t xml:space="preserve"> of the Company Disclosure Letter, to the knowledge of the Company, there are no Persons (other than the Company or any Subsidiary thereof) that legally owns, or holds a present or future right in, any coal, oil, gas, minerals, or other resources beneath the surface of any Company Owned Real Property, including the right to mine therefor or otherwise access or use the same.</w:t>
      </w:r>
    </w:p>
    <w:p>
      <w:pPr>
        <w:spacing w:after="0" w:line="115"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38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Company Owned Real Property, Company Leased Real Property and Company Easement Real Property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w:t>
      </w:r>
      <w:r>
        <w:rPr>
          <w:rFonts w:ascii="Times New Roman" w:cs="Times New Roman" w:eastAsia="Times New Roman" w:hAnsi="Times New Roman"/>
          <w:sz w:val="18"/>
          <w:szCs w:val="18"/>
          <w:color w:val="auto"/>
        </w:rPr>
        <w:t xml:space="preserve"> of the Company Disclosure Letter,</w:t>
      </w:r>
    </w:p>
    <w:p>
      <w:pPr>
        <w:spacing w:after="0" w:line="2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42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is obligated under contractual agreements to acquire any interest in real property for which the consideration, individually or in the aggregate, exceeds $500,000, and to the knowledge of the Company, no such contractual agreements exist with respect to any other real property, (B) except as contemplated hereunder in connection with the Transactions, neither the Company nor any Subsidiary thereof has granted any outstanding options or purchase agreements, rights of first offer or first refusal or any other rights (whether present or future) in favor of any Person to purchase or otherwise acquire an interest in any Company Real Property, or portion thereof, and to the knowledge of the Company no such agreements exist, and (C) neither the Company nor any Subsidiary thereof has granted to any Person the right (whether present or future) to use or occupy all or any portion of the Company Real Property, whether pursuant to a lease, assignment, sublease, license or other agreement, other than temporary licenses that are necessary for the present conduct of the respective businesses of the Company and its Subsidiaries in the ordinary course.</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Real Property (including any buildings, structures, improvements and fixtures located thereon) and the current use and operation thereof by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Company or its Subsidiaries in the ordinary course do not violate any applicable zoning, building or other Laws to which such Company Real Property is subject, and, as of the date of this Agreement, there does not exist any pending or, to the knowledge of the Company, threatened, zoning, condemnation, eminent domain, or similar Proceedings that relate to or affect any Company Real Property (including any material portion thereof), and (B) as of the date of this Agreement, no real property other than the Company Real Property is necessary for the conduct of the respective businesses of the Company and its Subsidiaries in the ordinary course;</w:t>
      </w:r>
    </w:p>
    <w:p>
      <w:pPr>
        <w:spacing w:after="0" w:line="121" w:lineRule="exact"/>
        <w:rPr>
          <w:sz w:val="20"/>
          <w:szCs w:val="20"/>
          <w:color w:val="auto"/>
        </w:rPr>
      </w:pPr>
    </w:p>
    <w:p>
      <w:pPr>
        <w:jc w:val="both"/>
        <w:ind w:left="1100" w:right="459" w:firstLine="1298"/>
        <w:spacing w:after="0" w:line="258" w:lineRule="auto"/>
        <w:tabs>
          <w:tab w:leader="none" w:pos="303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4.14(e)(iii)</w:t>
      </w:r>
      <w:r>
        <w:rPr>
          <w:rFonts w:ascii="Times New Roman" w:cs="Times New Roman" w:eastAsia="Times New Roman" w:hAnsi="Times New Roman"/>
          <w:sz w:val="18"/>
          <w:szCs w:val="18"/>
          <w:color w:val="auto"/>
        </w:rPr>
        <w:t xml:space="preserve"> of the Company Disclosure Letter, to the knowledge of the Company, no consent by or notice to any Person (including, without limitation, landlords or sublandlords) or any other action is required under any agreement or instrument relating to or affecting any Company Real Property in connection with the execution, delivery or performance of this Agreement or the consummation of the Transactions; and</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4.14(e)(iv)</w:t>
      </w:r>
      <w:r>
        <w:rPr>
          <w:rFonts w:ascii="Times New Roman" w:cs="Times New Roman" w:eastAsia="Times New Roman" w:hAnsi="Times New Roman"/>
          <w:sz w:val="18"/>
          <w:szCs w:val="18"/>
          <w:color w:val="auto"/>
        </w:rPr>
        <w:t xml:space="preserve"> of the Company Disclosure Letter, no capital improvement work, renovations or similar work with respect to all or any portion of the Company Real Property is currently being conducted by (or on behalf of) the Company or any Subsidiary thereof, other than such work that is in the ordinary course of business and does not exceed $500,000 in the aggregate.</w:t>
      </w:r>
    </w:p>
    <w:p>
      <w:pPr>
        <w:spacing w:after="0" w:line="10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9359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Encumbrances other than Permitted Encumbrances, all material Intellectual Property used or held for use in or for the operation of the businesses of each of the Company and its Subsidiaries as currently conducted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use of the Company Intellectual Property in the operation of the businesses of each of the Company and its Subsidiaries as currently conducted does not infringe, misappropriate or otherwise violate any Intellectual Property of any other Person and (ii) as of the date of this Agreement, to the knowledge of the Company, no third party is infringing, misappropriating or otherwise violating any Company Intellectual Property that is owned or purported to be owned by the Company or its Subsidiaries.</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IT Systems (i) are adequate and suitable for the purposes for which they are currently being used and (ii) do not contain any undisclosed or hidden device or feature or any “back door,” “time bomb,” “Trojan horse,” “worm,” “drop dead device,” or similar disabling code or routines (A) designed to disrupt, disable, or otherwise impair the functioning of such IT Systems or (B) that permits unauthorized access to, or the unauthorized disablement or erasure of, such IT Systems or other software or information or data (or any parts thereof) of the Company or its Subsidiaries. The IT Systems are designed, implemented and maintained in accordance with customary industry standards and constitute all the information technology systems infrastructure reasonably necessary for the operation of the businesses of each of the Company and its Subsidiaries as currently conducted, in each case, except as would not reasonably be expected to have, individually or in the aggregate, a Company Material Adverse Effect.</w:t>
      </w:r>
    </w:p>
    <w:p>
      <w:pPr>
        <w:spacing w:after="0" w:line="12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0566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138" w:lineRule="exact"/>
        <w:rPr>
          <w:sz w:val="20"/>
          <w:szCs w:val="20"/>
          <w:color w:val="auto"/>
        </w:rPr>
      </w:pPr>
    </w:p>
    <w:p>
      <w:pPr>
        <w:jc w:val="both"/>
        <w:ind w:left="620" w:right="479" w:firstLine="1112"/>
        <w:spacing w:after="0" w:line="266" w:lineRule="auto"/>
        <w:tabs>
          <w:tab w:leader="none" w:pos="23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and, except for such matters that have been fully resolved or for which the applicable statute of limitations has expired, have been, in compliance with Environmental Laws in all material respects;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conditions, circumstances that will require material, unbudgeted capital expenditures, increased operating expenses, or operational changes in order for the Company to maintain material compliance with all applicable Environmental Laws or any reasonably anticipated changes to such Environmental Laws;</w:t>
      </w:r>
    </w:p>
    <w:p>
      <w:pPr>
        <w:spacing w:after="0" w:line="112"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3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subject to any pending or, to the Company’s knowledge, threatened material Proceedings under Environmental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3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(i) currently or, to the knowledge of the Company, formerly owned, operated or otherwise used by the Company or any of its Subsidiaries; (ii) to the knowledge of the Company, owned, operated or used by any predecessors of the Company or any Subsidiary of the Company; or (iii) to the knowledge of the Company, where Hazardous Materials from the Company’s or its Subsidiaries’ operations have been sent for treatment, disposal, storage or handling, which Releases are reasonably likely to result in material liability to the Company or any of its Subsidiaries under Environmental Law. As of the date of this Agreement, neither the Company nor any of its Subsidiaries has received any written notice asserting a material liability or obligation under any Environmental Laws with respect to the investigation, remediation, removal, or monitoring of the Release of any Hazardous Materials at or from any property; and</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environmental investigations, studies, audits, or other analyses conducted by or on behalf of, or that are in the reasonable possession of, the Company or its Subsidiaries with respect to the Company’s or its Subsidiaries’ compliance with Environmental Laws (including with respect to any reasonably anticipated changes in applicable Environmental Laws) or environmental conditions at any property currently or formerly owned, operated or otherwise used by the Company or any of its Subsidiaries.</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620" w:right="479" w:firstLine="1112"/>
        <w:spacing w:after="0" w:line="266" w:lineRule="auto"/>
        <w:tabs>
          <w:tab w:leader="none" w:pos="239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of the Company Disclosure Letter, together with the lists of exhibits contained in the Company SEC Documents, sets forth a true and complete list, as of the date of this Agreement, of:</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4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(including Intellectual Property rights), services, rights or properties involving, or with respect to which the Company reasonably expects that the Company or any of its Subsidiaries will make, payments in excess of $500,000 in any calendar year;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$500,000, other than agreements solely between or among the Company and its Subsidiaries;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 in any calendar year that are not terminable without penalty within sixty (60) days;</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power or electricity supply to the Company or its Subsidiaries for the purpose of Bitcoin mining, including but not limited to all agreements between PJM and the Company or any of the Company’s Subsidiaries;</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primarily to Bitcoin mining, including miner purchase agreements, miner hosting agreements, infrastructure agreements, immersion cooling agreements and agreements related to research and development (including any statements of work thereto);</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carbon sequestration in connection with the Bitcoin mining activities of the Company and its Subsidiaries;</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research and development of Bitcoin miners;</w:t>
      </w:r>
    </w:p>
    <w:p>
      <w:pPr>
        <w:spacing w:after="0" w:line="14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the Company or a Subsidiary of the Company, on the one hand, and another Subsidiary of the Company, on the other hand;</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1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limits in any material respect the freedom of the Company or any of its Subsidiaries to compete or operate in any line of business or geographical area, or beneficially own any assets, properties or rights, anywhere at any time; (B) that requires the Company or any of its Subsidiaries to deal exclusively with any Person or grants any exclusive rights to any Person; (C) that contains any “most favored nation” or similar provision in favor of the counterparty; (D) that contains requirements 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61" w:lineRule="auto"/>
        <w:rPr>
          <w:sz w:val="20"/>
          <w:szCs w:val="20"/>
          <w:color w:val="auto"/>
        </w:rPr>
      </w:pPr>
      <w:r>
        <w:rPr>
          <w:rFonts w:ascii="Times New Roman" w:cs="Times New Roman" w:eastAsia="Times New Roman" w:hAnsi="Times New Roman"/>
          <w:sz w:val="18"/>
          <w:szCs w:val="18"/>
          <w:color w:val="auto"/>
        </w:rPr>
        <w:t>purchase any minimum portion of any product or service from any Person or to sell any minimum portion of any product or service to any Person; or (E) that contains a right of refusal, right of first offer or right of first negotiation or similar right with respect to a material asset owned by the Company or any of its Subsidiaries;</w:t>
      </w:r>
    </w:p>
    <w:p>
      <w:pPr>
        <w:spacing w:after="0" w:line="112" w:lineRule="exact"/>
        <w:rPr>
          <w:sz w:val="20"/>
          <w:szCs w:val="20"/>
          <w:color w:val="auto"/>
        </w:rPr>
      </w:pPr>
    </w:p>
    <w:p>
      <w:pPr>
        <w:ind w:left="3020" w:hanging="622"/>
        <w:spacing w:after="0"/>
        <w:tabs>
          <w:tab w:leader="none" w:pos="30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Entity;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settlement of any Proceeding during the past three (3) years which requires payment by the Company or any of its Subsidiaries in excess of $100,000 in any calendar year and under which any such payment is still owing; and</w:t>
      </w:r>
    </w:p>
    <w:p>
      <w:pPr>
        <w:spacing w:after="0" w:line="9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or sale of (or option to purchase or sell) any material amount of the assets or properties of the Company, taken as a whole.</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Collectively, the contracts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Neither the Company nor any of its Subsidiaries, and, to the knowledge of the Company, no other Person, is in material breach or default under any Company Contract.</w:t>
      </w:r>
    </w:p>
    <w:p>
      <w:pPr>
        <w:spacing w:after="0" w:line="12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the Company and its Subsidiaries (“</w:t>
      </w:r>
      <w:r>
        <w:rPr>
          <w:rFonts w:ascii="Times New Roman" w:cs="Times New Roman" w:eastAsia="Times New Roman" w:hAnsi="Times New Roman"/>
          <w:sz w:val="18"/>
          <w:szCs w:val="18"/>
          <w:u w:val="single" w:color="auto"/>
          <w:color w:val="auto"/>
        </w:rPr>
        <w:t>Company Miners</w:t>
      </w:r>
      <w:r>
        <w:rPr>
          <w:rFonts w:ascii="Times New Roman" w:cs="Times New Roman" w:eastAsia="Times New Roman" w:hAnsi="Times New Roman"/>
          <w:sz w:val="18"/>
          <w:szCs w:val="18"/>
          <w:color w:val="auto"/>
        </w:rPr>
        <w:t>”) are owned or rightfully possessed by, operated by and under the control of the Company and its Subsidiaries. In the last three (3) years, there has been no failure, breakdown or continued substandard performance of any Company Miners that has caused a material disruption or interruption in or to the use of the Company Miners or the related operation of the business of Company or any of its Subsidiaries. Except as would not reasonably be expected to have, individually or in the aggregate, a Company Material Adverse Effect, the Company Miners are generally maintained and in good working condition to perform all computing, information technology and data processing operations necessary for the operations of the Company and its Subsidiaries. The Company and its Subsidiaries take and have taken commercially reasonable steps to: (a) protect the Company Miners from contaminants, hacks and other malicious external or internal threats; (b) ensure continuity of operations with adequate energy supply and minimal uptime required; and (c) provide for the remote-site back-up of data and information critical to the Company and its Subsidiaries. The Company and its Subsidiaries have in place commercially reasonable disaster recovery and business continuity plans and procedures and information and data security policies, in each case, that are consistent with generally accepted industry standards.</w:t>
      </w:r>
    </w:p>
    <w:p>
      <w:pPr>
        <w:spacing w:after="0" w:line="11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4.19 Regulatory Status. Each of the Scrubgrass Plant and the Panther Creek Plant is a “qualifying small power production facility” under the Public Utility Regulatory Policies Act of 1978, as amended, and the FERC’s regulations thereunder, at 18 C.F.R. Part 292, and interpretations thereof by the FERC and courts of competent jurisdiction (collectively, “</w:t>
      </w:r>
      <w:r>
        <w:rPr>
          <w:rFonts w:ascii="Times New Roman" w:cs="Times New Roman" w:eastAsia="Times New Roman" w:hAnsi="Times New Roman"/>
          <w:sz w:val="18"/>
          <w:szCs w:val="18"/>
          <w:u w:val="single" w:color="auto"/>
          <w:color w:val="auto"/>
        </w:rPr>
        <w:t>PURPA Requirements</w:t>
      </w:r>
      <w:r>
        <w:rPr>
          <w:rFonts w:ascii="Times New Roman" w:cs="Times New Roman" w:eastAsia="Times New Roman" w:hAnsi="Times New Roman"/>
          <w:sz w:val="18"/>
          <w:szCs w:val="18"/>
          <w:color w:val="auto"/>
        </w:rPr>
        <w:t>”). Each of the Scrubgrass Plant and the Panther Creek Plant is exempt from the size limitations applicable to qualifying small power production facilities in 18 C.F.R. § 292.204(a) pursuant to the Solar, Wind, Waste, and Geothermal Power Production Incentives Act of 1990. Each of the Scrubgrass Project Company and the Panther Creek Project Company (i) is not subject to the jurisdiction of FERC as a “public utility” under the FPA other than as contemplated by 18 C.F.R. § 292.601(c),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-984885</wp:posOffset>
            </wp:positionV>
            <wp:extent cx="8153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jc w:val="both"/>
        <w:ind w:left="460" w:right="459" w:hanging="6"/>
        <w:spacing w:after="0" w:line="265" w:lineRule="auto"/>
        <w:tabs>
          <w:tab w:leader="none" w:pos="75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authorized by FERC to make wholesale sales of electric energy, capacity and certain ancillary services at market-based rates pursuant to Section 205 of the FPA (“</w:t>
      </w:r>
      <w:r>
        <w:rPr>
          <w:rFonts w:ascii="Times New Roman" w:cs="Times New Roman" w:eastAsia="Times New Roman" w:hAnsi="Times New Roman"/>
          <w:sz w:val="17"/>
          <w:szCs w:val="17"/>
          <w:u w:val="single" w:color="auto"/>
          <w:color w:val="auto"/>
        </w:rPr>
        <w:t>MBR Authority</w:t>
      </w:r>
      <w:r>
        <w:rPr>
          <w:rFonts w:ascii="Times New Roman" w:cs="Times New Roman" w:eastAsia="Times New Roman" w:hAnsi="Times New Roman"/>
          <w:sz w:val="17"/>
          <w:szCs w:val="17"/>
          <w:color w:val="auto"/>
        </w:rPr>
        <w:t>”) and has received those blanket authorizations and waivers customarily granted by FERC to parties authorized to sell electric power at market-based rates, and (iii) has on file with FERC an effective Tariff for Reactive Supply and Voltage Control (“</w:t>
      </w:r>
      <w:r>
        <w:rPr>
          <w:rFonts w:ascii="Times New Roman" w:cs="Times New Roman" w:eastAsia="Times New Roman" w:hAnsi="Times New Roman"/>
          <w:sz w:val="17"/>
          <w:szCs w:val="17"/>
          <w:u w:val="single" w:color="auto"/>
          <w:color w:val="auto"/>
        </w:rPr>
        <w:t>Reactive Power Tariff</w:t>
      </w:r>
      <w:r>
        <w:rPr>
          <w:rFonts w:ascii="Times New Roman" w:cs="Times New Roman" w:eastAsia="Times New Roman" w:hAnsi="Times New Roman"/>
          <w:sz w:val="17"/>
          <w:szCs w:val="17"/>
          <w:color w:val="auto"/>
        </w:rPr>
        <w:t xml:space="preserve">”). Neither (x) the MBR Authority nor the Reactive Power Tariff of the Panther Creek Project Company or Scrubgrass Project Company nor (y) the Panther Creek Plant’s or Scrubgrass Plant’s status as a qualifying small power production facility under the PURPA Requirements, in each case, is the subject of any pending or, to the knowledge of the Company, threatened, judicial or administrative proceeding to revoke or modify such status or to impose any material penalty thereunder other than as set forth on </w:t>
      </w:r>
      <w:r>
        <w:rPr>
          <w:rFonts w:ascii="Times New Roman" w:cs="Times New Roman" w:eastAsia="Times New Roman" w:hAnsi="Times New Roman"/>
          <w:sz w:val="17"/>
          <w:szCs w:val="17"/>
          <w:u w:val="single" w:color="auto"/>
          <w:color w:val="auto"/>
        </w:rPr>
        <w:t>Schedule 4.19</w:t>
      </w:r>
      <w:r>
        <w:rPr>
          <w:rFonts w:ascii="Times New Roman" w:cs="Times New Roman" w:eastAsia="Times New Roman" w:hAnsi="Times New Roman"/>
          <w:sz w:val="17"/>
          <w:szCs w:val="17"/>
          <w:color w:val="auto"/>
        </w:rPr>
        <w:t xml:space="preserve"> of the Company Disclosure Letter. None of the Company nor any of its Subsidiaries (i) is a “public-utility company” as defined in PUHCA other than the Scrubgrass Project Company and the Panther Creek Project Company or</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3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“holding company” as defined in PUHCA other than with respect to the ownership of qualifying small power production facilities.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of the Material Company Insurance Policies is in full force and effect on the date of this Agreement. Except as would not reasonably be expected to have, individually or in the aggregate, a Company Material Adverse Effect, all premiums payable under the Material Company Insurance Policies prior to the date of this Agreement have been duly paid to date. Except as would not reasonably be expected to have, individually or in the aggregate, a Company Material Adverse Effect, as of the date of this Agreement, no written notice of cancellation or termination has been received with respect to any Material Company Insurance Policy. In the last three (3) years, neither the Company nor any of its Subsidiaries has received any written notice or, to the knowledge of the Company, other communication regarding any actual or possible: (a) refusal of any coverage or rejection of any material claim under any Material Company Insurance Policy; or (b) material adjustment in the amount of the premiums payable with respect to any Material Company Insurance Policy.</w:t>
      </w:r>
    </w:p>
    <w:p>
      <w:pPr>
        <w:spacing w:after="0" w:line="13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J.V.B. Financial Group, LLC acting through Cohen &amp; Company Capital Markets division addressed to the Company Board to the effect that, based upon and subject to the limitations, qualifications and assumptions set forth therein, as of the date of the opinion, the Exchange Ratio to be received by the holders of shares of Company Class A Common Stock, in their capacity as such, is fair, from a financial point of view, to such holders (other than Parent, Merger Sub, and their respective affiliates).</w:t>
      </w:r>
    </w:p>
    <w:p>
      <w:pPr>
        <w:spacing w:after="0" w:line="12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Cohen &amp; Company Capital Markets, no broker, investment banker, or other Person is entitled to any broker’s, finder’s or other similar fee or commission in connection with the Transactions based upon arrangements made by or on behalf of the Company.</w:t>
      </w:r>
    </w:p>
    <w:p>
      <w:pPr>
        <w:spacing w:after="0" w:line="9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4.23 Takeover Laws. The Company Board has taken all actions necessary to ensure that the restrictions applicable to business combinations contained in Section 203 of the DGCL are, and will be, inapplicable to the execution, delivery and performance of this Agreement and to the consummation of the Transactions. None of such actions by the Company Board has been amended, rescinded or modified. There are no other Takeover Laws applicable to, or purporting to be applicable to, this Agreement, the Company or any of its Subsidiaries, the Merger or any of the other Transactions, including any Takeover Laws that would limit or restrict Parent or any of its Affiliates from exercising its ownership of shares of Company Common Stock acquired in the Merger. The Company has no stockholder rights plan, “poison pill” or similar agreement or arrangement designed to have the effect of delaying, deferring or discouraging any Person from acquiring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-1261745</wp:posOffset>
            </wp:positionV>
            <wp:extent cx="7251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0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the Company, nor any of its Subsidiaries, nor any of its or their respective affiliates, directors, managers, officers or employees, nor, to the knowledge of the Company, any of its or their respective agents, representatives, or anyone else acting on behalf of the foregoing have, within the past five (5) years, taken any action that has resulted in a violation by the Company or any such Subsidiary of any applicable laws relating to domestic or foreign bribery, money laundering, unlawful political contributions or gifts or corrupt practices, including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any other applicable anti-bribery or anti-corruption laws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No proceeding by or before any Governmental Entity involving the Company, nor any of its Subsidiaries, nor any of its or their respective affiliates, directors, managers, officers or employees relating to the applicable Anti-Corruption Laws is pending or, to the knowledge of the Company, threatened.</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the Company, nor any of its Subsidiaries, nor any of its or their respective owners, directors, officers, or employees, nor to the knowledge of the Company or its Subsidiaries, any other Person working on behalf of any of the foregoing (i) has directly or indirectly since April 24, 2019 violated any applicable Laws relating to export, reexport, import, antiboycott, or economic sanctions (“</w:t>
      </w:r>
      <w:r>
        <w:rPr>
          <w:rFonts w:ascii="Times New Roman" w:cs="Times New Roman" w:eastAsia="Times New Roman" w:hAnsi="Times New Roman"/>
          <w:sz w:val="18"/>
          <w:szCs w:val="18"/>
          <w:u w:val="single" w:color="auto"/>
          <w:color w:val="auto"/>
        </w:rPr>
        <w:t>Export Control and Economic Sanctions Laws</w:t>
      </w:r>
      <w:r>
        <w:rPr>
          <w:rFonts w:ascii="Times New Roman" w:cs="Times New Roman" w:eastAsia="Times New Roman" w:hAnsi="Times New Roman"/>
          <w:sz w:val="18"/>
          <w:szCs w:val="18"/>
          <w:color w:val="auto"/>
        </w:rPr>
        <w:t>”);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country or territory subject to comprehensive embargo under applicable Export Control and Economic Sanctions Laws (currently, Cuba, Iran, North Korea, Syria, and the Crimea, Donetsk, Luhansk, Kherson, or Zaporizhzhia regions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or (iv) has since April 24, 2019 been the subject or target of any investigation, enforcement, administrative, civil, or criminal action, or disclosure relating to applicable Export Control and Economic Sanctions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41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BMS and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oral or written information presented to Parent, BMS and Merger Sub or any of their respective Affiliates or Representatives in the course of their due diligence investigation of the Company, the negotiation of this Agreement or in the course of the Transactions.</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acknowledges and agrees that none of Parent, BMS, Merger Sub or any other Person has made or is making any representations or warranties relating to Parent or its Subsidiaries (including BMS and Merger Sub) whatsoever, express or implied, beyond those expressly given by Parent, BMS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Parent furnished or made available to the Company, or any of its Representatives and that the Company has not relied on, and expressly disclaims any reliance on, any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BMS AND MERGER SUB</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Parent, BMS and Merger Sub to the Company on or prior to the date of this Agreement (the “</w:t>
      </w:r>
      <w:r>
        <w:rPr>
          <w:rFonts w:ascii="Times New Roman" w:cs="Times New Roman" w:eastAsia="Times New Roman" w:hAnsi="Times New Roman"/>
          <w:sz w:val="18"/>
          <w:szCs w:val="18"/>
          <w:u w:val="single" w:color="auto"/>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and except as disclosed in the Parent Disclosure Documents (including all exhibits and schedules thereto and documents incorporated by reference therein) filed with or furnished to the applicable Canadian Securities Regulators and the SEC and publicly available on SEDAR+ and Edgar, respectively,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Parent, BMS and Merger Sub jointly and severally represent and warrant to the Company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5.1 Organization, Standing and Power. Each of Parent and its Subsidiaries is a corporation, partnership or limited liability company duly organized, validly existing and in good standing under the Laws of its jurisdiction of incorporation or organization. Each of Parent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Parent Material Adverse Effect. Each of Parent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-1261745</wp:posOffset>
            </wp:positionV>
            <wp:extent cx="16573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93"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56" w:lineRule="auto"/>
        <w:tabs>
          <w:tab w:leader="none" w:pos="23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(i) an unlimited number of Parent Common Shares without par value and (ii) an unlimited number of shares of preferred stock without par value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and, together with the Parent Common Shares, the “</w:t>
      </w:r>
      <w:r>
        <w:rPr>
          <w:rFonts w:ascii="Times New Roman" w:cs="Times New Roman" w:eastAsia="Times New Roman" w:hAnsi="Times New Roman"/>
          <w:sz w:val="18"/>
          <w:szCs w:val="18"/>
          <w:u w:val="single" w:color="auto"/>
          <w:color w:val="auto"/>
        </w:rPr>
        <w:t>Parent Share Capital</w:t>
      </w:r>
      <w:r>
        <w:rPr>
          <w:rFonts w:ascii="Times New Roman" w:cs="Times New Roman" w:eastAsia="Times New Roman" w:hAnsi="Times New Roman"/>
          <w:sz w:val="18"/>
          <w:szCs w:val="18"/>
          <w:color w:val="auto"/>
        </w:rPr>
        <w:t>”). At the close of business on the Measurement Date: (A) 451,285,910 Parent Common Shares were issued and outstanding; (B) 989,332 Parent Common Shares underlying the Parent RSUs; (C) 17,082,489 Parent Common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spacing w:after="0" w:line="261" w:lineRule="auto"/>
        <w:rPr>
          <w:sz w:val="20"/>
          <w:szCs w:val="20"/>
          <w:color w:val="auto"/>
        </w:rPr>
      </w:pPr>
      <w:r>
        <w:rPr>
          <w:rFonts w:ascii="Times New Roman" w:cs="Times New Roman" w:eastAsia="Times New Roman" w:hAnsi="Times New Roman"/>
          <w:sz w:val="18"/>
          <w:szCs w:val="18"/>
          <w:color w:val="auto"/>
        </w:rPr>
        <w:t>Shares underlying the Parent Options; (D) no Parent Preferred Shares were issued and outstanding; (E) 23,930,999 Parent Common Shares remained available for issuance pursuant to the Parent Equity Plan and</w:t>
      </w:r>
    </w:p>
    <w:p>
      <w:pPr>
        <w:ind w:left="880" w:hanging="264"/>
        <w:spacing w:after="0"/>
        <w:tabs>
          <w:tab w:leader="none" w:pos="8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10,841,482 Parent Common Shares were issued and outstanding.</w:t>
      </w:r>
    </w:p>
    <w:p>
      <w:pPr>
        <w:spacing w:after="0" w:line="13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Parent Common Shares are validly issued, fully paid and non-assessable and are not subject to preemptive rights. All outstanding Parent Common Shares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there are no outstanding restricted stock, restricted stock units, phantom units or other equity-related awards, options, warrants or other rights to subscribe for, purchase or acquire from Parent or any of its Subsidiaries any capital stock of Parent or securities convertible into or exchangeable or exercisable for capital stock of Parent. All outstanding shares of capital stock or other equity interests of the Subsidiaries of Parent are validly issued, fully paid and non-assessable, are owned by Parent or by a wholly owned Subsidiary of Parent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except for changes since the Measurement Date resulting from the vesting of the Parent RSUs or the Parent Options, in each case outstanding at such date (and the issuance of shares thereunder), or stock grants or other awards granted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6.2(b)(ii)</w:t>
      </w:r>
      <w:r>
        <w:rPr>
          <w:rFonts w:ascii="Times New Roman" w:cs="Times New Roman" w:eastAsia="Times New Roman" w:hAnsi="Times New Roman"/>
          <w:sz w:val="18"/>
          <w:szCs w:val="18"/>
          <w:color w:val="auto"/>
        </w:rPr>
        <w:t>, there are outstanding: (A) no shares of Parent Share Capital, (B) no Voting Debt, (C) no securities of Parent or any Subsidiary of Parent convertible into or exchangeable or exercisable for shares of Parent Share Capital or Voting Debt and (D)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Share Capital or any Voting Debt or other voting securities of Parent, or obligating Parent or any Subsidiary of Parent to grant, extend or enter into any such option, warrant, subscription, call, right, commitment or agreement. Other than the Voting Agreements, there are not any stockholder agreements, voting trusts or other agreements to which Parent is a party or by which it is bound relating to the voting of any shares of Parent Share Capital.</w:t>
      </w:r>
    </w:p>
    <w:p>
      <w:pPr>
        <w:spacing w:after="0" w:line="13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3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BMS and Merger Sub has all requisite corporate power and authority to execute and deliver this Agreement and to perform its obligations hereunder. The execution and delivery of this Agreement by Parent, BMS and Merger Sub and the consummation by Parent, BMS and Merger Sub of the Transactions have been duly authorized by all necessary corporate action on the part of each of Parent, BMS and Merger Sub (other than the adoption of this Agreement by BMS, the sole stockholder of Merger Sub, which shall occur immediately after the execution and delivery of this Agreement). This Agreement has been duly executed and delivered by each of Parent, BMS and Merger Sub, and, assuming this Agreement constitutes the valid and binding obligation of the Company, constitutes a valid and binding obligation of each of Parent, BMS and Merger Sub enforceable against Parent, BMS and Merger Sub in accordance with its terms, subject as to enforceability to Creditors’ Rights. The board of directors of Merger Sub has by unanimous vote (i) determined that this Agreement and the transactions contemplated hereby, including the Merger, are in the best interests of, Merger Sub and the sole stockholder of Merger Sub and (ii) approved and declared advisable this Agreement and the transactions contemplated hereby, including the Merger. BMS, as the sole stockholder of all of the outstanding shares of capital stock of Merger Sub, has executed and delivered a consent to adopt this Agreement, which consent shall become effective immediately following the approval of this Agreement by the board of directors of Merger Sub and the execution of this Agreement pursuant to Section 228(c) of the DGCL.</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Parent, BMS or Merger Sub, (ii) result in a violation of, or default under, or acceleration of any material obligation or the loss of a material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BMS or Merger Sub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with or result in a violation of any Law applicable to Parent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Parent Material Adverse Effect.</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No Consent from, any Governmental Entity is required to be obtained or made by Parent or any of its Subsidiaries in connection with the execution, delivery and performance of this Agreement by Parent, BMS and Merger Sub or the consummation by Parent, BMS and Merger Sub of the Transactions, except for: (a) the filing of a premerger notification report by Parent under the HSR Act, and the expiration or termination of the applicable waiting period with respect thereto; (b) the filing with the SEC of (i) the Proxy Statement/Prospectus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TSX and NASDAQ and related approvals;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5.4(f)</w:t>
      </w:r>
      <w:r>
        <w:rPr>
          <w:rFonts w:ascii="Times New Roman" w:cs="Times New Roman" w:eastAsia="Times New Roman" w:hAnsi="Times New Roman"/>
          <w:sz w:val="18"/>
          <w:szCs w:val="18"/>
          <w:color w:val="auto"/>
        </w:rPr>
        <w:t xml:space="preserve"> of the Parent Disclosure Letter; and (g) any such Consent that the failure to obtain or make would not reasonably be expected to have, individually or in the aggregate, a Parent Material Adverse Effect.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Disclosure Documents;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529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4" w:lineRule="exact"/>
        <w:rPr>
          <w:sz w:val="20"/>
          <w:szCs w:val="20"/>
          <w:color w:val="auto"/>
        </w:rPr>
      </w:pPr>
    </w:p>
    <w:p>
      <w:pPr>
        <w:jc w:val="both"/>
        <w:ind w:left="620" w:right="479" w:firstLine="1112"/>
        <w:spacing w:after="0" w:line="253" w:lineRule="auto"/>
        <w:tabs>
          <w:tab w:leader="none" w:pos="23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filed or furnished with the applicable Canadian Securities Regulators and the SEC all forms, reports and statements required to be filed or furnished under Canadian Securities Laws, the Securities Act and the Exchange Act, as the case may be (such forms, reports and statements, collectively, the “</w:t>
      </w:r>
      <w:r>
        <w:rPr>
          <w:rFonts w:ascii="Times New Roman" w:cs="Times New Roman" w:eastAsia="Times New Roman" w:hAnsi="Times New Roman"/>
          <w:sz w:val="18"/>
          <w:szCs w:val="18"/>
          <w:u w:val="single" w:color="auto"/>
          <w:color w:val="auto"/>
        </w:rPr>
        <w:t>Parent Disclosure Documents</w:t>
      </w:r>
      <w:r>
        <w:rPr>
          <w:rFonts w:ascii="Times New Roman" w:cs="Times New Roman" w:eastAsia="Times New Roman" w:hAnsi="Times New Roman"/>
          <w:sz w:val="18"/>
          <w:szCs w:val="18"/>
          <w:color w:val="auto"/>
        </w:rPr>
        <w:t>”). As of their respective dates, each of the Parent Disclosure Documents, as amended, complied as to form in all material respects with the applicable requirements of Canadian Securities Laws, the Securities Act and the Exchange Act, as the case may be, and the rules and regulations of the SEC thereunder applicable to such Parent Disclosure Documents, and none of the Parent Disclosure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4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Parent Disclosure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including all notes and schedules thereto, complied in all material respects, when filed or if amended prior to the date of this Agreement, as of the date of such amendment, with Canadian Securities Laws and the applicable rules and regulations of the SEC with respect thereto, were prepared in accordance with the International Financial Reporting Standards as issued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Canadian Securities Laws and Rule 10-01 of Regulation S-X of the SEC) and fairly present in all material respects in accordance with applicable requirements of IFRS (subject, in the case of the unaudited statements, to normal year-end audit adjustments) the financial position of Parent and its consolidated Subsidiaries, as of their respective dates and the results of operations and the cash flows of the Company and its consolidated Subsidiaries for the periods presented therein.</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Parent is a “foreign private issuer” (as such term is defined in Rule 3b-4(c) under the Exchange Act) and is exempt from Sections 14(a), 14(b), 14(c) and 14(f) under the Exchange Act pursuant to Rule 3a12-3(b) of the Exchange Act, and (ii) Parent has no reason to believe it will not qualify as a “foreign private issuer” at any time prior to the Effective Time.</w:t>
      </w:r>
    </w:p>
    <w:p>
      <w:pPr>
        <w:spacing w:after="0" w:line="9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1" w:lineRule="auto"/>
        <w:tabs>
          <w:tab w:leader="none" w:pos="241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through the date of this Agreement, there has not been any Parent Material Adverse Effect or any event, change, effect or development that, individually or in the aggregate, would reasonably be expected to have a Parent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Parent Balance Sheet Date through the date of this Agreement, the Company and its Subsidiaries have conducted their business in the ordinary course of business in all material respects.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Parent or any of its Subsidiaries of any kind whatsoever, whether accrued, contingent, absolute, determined, determinable or otherwise, other than: (a) liabilities provided for on the most recent balance sheet included in the Parent Financial Statements or the notes thereto; (b) liabilities not required to be presented on the face of an unaudited interim balance sheet in accordance with IFRS;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(f) liabilities that would not reasonably be expected to have, individually or in the aggregate, a Parent Material Adverse Effect.</w:t>
      </w:r>
    </w:p>
    <w:p>
      <w:pPr>
        <w:spacing w:after="0" w:line="124"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Information Supplied. None of the information supplied or to be supplied by Parent for inclusion or incorporation by reference in (a) the Registration Statement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Parent with respect to statements made therein based on information supplied by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10064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10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Parent Permits; Compliance with Applicable Law</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6" w:lineRule="auto"/>
        <w:tabs>
          <w:tab w:leader="none" w:pos="239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Parent and its Subsidiaries are not currently being conducted, and at no time since the Parent Balance Sheet Date have been conducted, in violation of any applicable Law, except for violations that would not reasonably be expected to have, individually or in the aggregate, a Parent Material Adverse Effect. As of the date of this Agreement, no investigation or review by any Governmental Entity with respect to Parent or any of its Subsidiaries is pending or, to the knowledge of Parent, threatened, other than those the outcome of which would not reasonably be expected to have, individually or in the aggregate, a Parent Material Adverse Effect.</w:t>
      </w:r>
    </w:p>
    <w:p>
      <w:pPr>
        <w:spacing w:after="0" w:line="12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0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Parent Material Adverse Effect, (a) Parent and its Subsidiaries have defensible title to all material real property owned by Parent or any of its Subsidiaries (collectively,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Times New Roman" w:cs="Times New Roman" w:eastAsia="Times New Roman" w:hAnsi="Times New Roman"/>
          <w:sz w:val="18"/>
          <w:szCs w:val="18"/>
          <w:u w:val="single" w:color="auto"/>
          <w:color w:val="auto"/>
        </w:rPr>
        <w:t>Parent Material Leased Real Property</w:t>
      </w:r>
      <w:r>
        <w:rPr>
          <w:rFonts w:ascii="Times New Roman" w:cs="Times New Roman" w:eastAsia="Times New Roman" w:hAnsi="Times New Roman"/>
          <w:sz w:val="18"/>
          <w:szCs w:val="18"/>
          <w:color w:val="auto"/>
        </w:rPr>
        <w:t>”) free and clear of all Encumbrances, except Permitted Encumbrances, (b) each agreement under which Parent or any Subsidiary of the Company is the landlord, sublandlord, tenant, subtenant, or occupant with respect to the Parent Material Leased Real Property (each, a “</w:t>
      </w:r>
      <w:r>
        <w:rPr>
          <w:rFonts w:ascii="Times New Roman" w:cs="Times New Roman" w:eastAsia="Times New Roman" w:hAnsi="Times New Roman"/>
          <w:sz w:val="18"/>
          <w:szCs w:val="18"/>
          <w:u w:val="single" w:color="auto"/>
          <w:color w:val="auto"/>
        </w:rPr>
        <w:t>Parent Material Real Property Lease</w:t>
      </w:r>
      <w:r>
        <w:rPr>
          <w:rFonts w:ascii="Times New Roman" w:cs="Times New Roman" w:eastAsia="Times New Roman" w:hAnsi="Times New Roman"/>
          <w:sz w:val="18"/>
          <w:szCs w:val="18"/>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as of the date of this Agreement, there does not exist any pending or, to the knowledge of Parent, threatened, condemnation or eminent domain Proceedings that affect any of the Parent Owned Real Property or Parent Material Leased Real Property.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5.12 Environmental Matters. Except for those matters that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0737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1073785" cy="8890"/>
                    </a:xfrm>
                    <a:prstGeom prst="rect">
                      <a:avLst/>
                    </a:prstGeom>
                    <a:noFill/>
                  </pic:spPr>
                </pic:pic>
              </a:graphicData>
            </a:graphic>
          </wp:anchor>
        </w:drawing>
      </w:r>
    </w:p>
    <w:p>
      <w:pPr>
        <w:spacing w:after="0" w:line="74" w:lineRule="exact"/>
        <w:rPr>
          <w:sz w:val="20"/>
          <w:szCs w:val="20"/>
          <w:color w:val="auto"/>
        </w:rPr>
      </w:pPr>
    </w:p>
    <w:p>
      <w:pPr>
        <w:ind w:left="620" w:right="479" w:firstLine="1112"/>
        <w:spacing w:after="0" w:line="282" w:lineRule="auto"/>
        <w:tabs>
          <w:tab w:leader="none" w:pos="243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and their respective operations and assets are in compliance with Environmental Laws;</w:t>
      </w:r>
    </w:p>
    <w:p>
      <w:pPr>
        <w:spacing w:after="0" w:line="94"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and its Subsidiaries are not subject to any pending or, to the Company’s knowledge, threatened Proceedings under Environmental Laws;</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currently or, to the knowledge of Parent, formerly owned, operated or otherwise used by Parent or any of its Subsidiaries, or, to the knowledge of Parent, by any predecessors of Parent or any Subsidiary of Parent, which Releases are reasonably likely to result in material liability to Parent under Environmental Law, and, as of the date of this Agreement, neither Parent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 and</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have been no environmental investigations, studies, audits, or other analyses conducted by or on behalf of, or that are in the reasonable possession of, Parent or its Subsidiaries with respect to any property owned, operated or otherwise used by any of them that have not been delivered or otherwise made available to the Company prior to the date hereof.</w:t>
      </w:r>
    </w:p>
    <w:p>
      <w:pPr>
        <w:spacing w:after="0" w:line="11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Collectively, the contracts filed as exhibits or incorporated by reference to the Parent Disclosure Documents are herein referred to as the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any Parent Contract.</w:t>
      </w:r>
    </w:p>
    <w:p>
      <w:pPr>
        <w:spacing w:after="0" w:line="11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Shares to be issued as Per Share Merger Consideration and the New Parent Warrants to be issued pursuant to the terms hereof, when issued as provided in and pursuant to the terms of this Agreement, will be duly authorized and validly issued (and with respect to the Parent Common Shares, fully paid and nonassessable), and (other than restrictions under applicable securities laws) will be free from any liens, encumbrances or restrictions on transfer, including pre-emptive rights, rights of first refusal or other similar rights.</w:t>
      </w:r>
    </w:p>
    <w:p>
      <w:pPr>
        <w:spacing w:after="0" w:line="12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5.15 No Vote/Approval Required. No vote or consent of the holders of any class or series of shares in the capital of Parent is necessary to approve this Agreement or the Merger or the other Transactions. The vote or consent of BMS as the sole stockholder of Merger Sub (which will be obtained immediately after the execution and delivery of this Agreement) is the only vote or consent of the holders of any class or series of capital stock of Merger Sub necessary to approve and adopt this Agreement,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-717550</wp:posOffset>
            </wp:positionV>
            <wp:extent cx="12858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5.16 Ownership of Company Common Stock. Neither Parent nor any of its Subsidiaries own any shares of Company Common Stock (or other securities convertible into, exchangeable for or exercisable for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-313055</wp:posOffset>
            </wp:positionV>
            <wp:extent cx="18751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Business Conduct</w:t>
      </w:r>
      <w:r>
        <w:rPr>
          <w:rFonts w:ascii="Times New Roman" w:cs="Times New Roman" w:eastAsia="Times New Roman" w:hAnsi="Times New Roman"/>
          <w:sz w:val="18"/>
          <w:szCs w:val="18"/>
          <w:color w:val="auto"/>
        </w:rPr>
        <w:t>. Merger Sub was incorporated on August 19, 2024. Since its inception, Merger Sub has not engaged in any activity, other than such actions in connection with (a) its organization and</w:t>
      </w:r>
    </w:p>
    <w:p>
      <w:pPr>
        <w:jc w:val="both"/>
        <w:ind w:left="460" w:right="459" w:hanging="6"/>
        <w:spacing w:after="0" w:line="252" w:lineRule="auto"/>
        <w:tabs>
          <w:tab w:leader="none" w:pos="74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 There are no contracts between Parent, BMS, Merger Sub or related guarantors, on the one hand, and any member of the Company’s management or directors, on the other hand, as of the date hereof that relate in any way to the Company or the Transactions.</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Parent and its Subsidiaries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Miners</w:t>
      </w:r>
      <w:r>
        <w:rPr>
          <w:rFonts w:ascii="Times New Roman" w:cs="Times New Roman" w:eastAsia="Times New Roman" w:hAnsi="Times New Roman"/>
          <w:sz w:val="18"/>
          <w:szCs w:val="18"/>
          <w:color w:val="auto"/>
        </w:rPr>
        <w:t>”) are owned or rightfully possessed by, operated by and under the control of Parent and its Subsidiaries. In the last two years, there has been no failure, breakdown or continued substandard performance of any Parent Miners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has caused a material disruption or interruption in or to the use of the Parent Miners or the related operation of the business of Parent or any of its Subsidiaries. Except as would not reasonably be expected to have, individually or in the aggregate, a Parent Material Adverse Effect, the Parent Miners are generally maintained and in good working condition to perform all computing, information technology and data processing operations necessary for the operations of Parent and its Subsidiaries. Parent and its Subsidiaries have taken commercially reasonable steps to: (a) protect the Parent Miners from contaminants, hacks and other malicious external or internal threats; (b) ensure continuity of operations with adequate energy supply and minimal uptime required; and (c) provide for the remote-site back-up of data and information critical to Parent and its Subsidiaries.</w:t>
      </w:r>
    </w:p>
    <w:p>
      <w:pPr>
        <w:spacing w:after="0" w:line="121"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of the Board of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received the opinion of Houlihan Lokey Capital, Inc., financial advisor to the Special Committee, dated August 20, 2024, to the effect that, based upon and subject to the limitations, qualifications, assumptions, procedures and matters set forth therein, as of the date of the opinion, the Exchange Ratio provided for in the Transaction pursuant to the Agreement is fair to Parent from a financial point of view.</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and Houlihan Lokey Capital, Inc., no broker, investment banker, or other Person is entitled to any broker’s, finder’s or other similar fee or commission in connection with the Transactions based upon arrangements made by or on behalf of Parent.</w:t>
      </w:r>
    </w:p>
    <w:p>
      <w:pPr>
        <w:spacing w:after="0" w:line="9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Parent, nor any of its Subsidiaries, nor any of its or their respective affiliates, directors, managers, officers or employees, nor, to the knowledge of Parent, any of its or their respective agents, representatives, or anyone else acting on behalf of the foregoing have, within the past five (5) years, taken any action that has resulted in a violation by Parent or any such Subsidiary of any applicable Anti-Corruption Laws, including the FCPA, the Canadian Corruption of Foreign Public Officials Act or the Canadian Criminal Code, R.S.C. 1985, c C-46, Sections 119-125, 380 and 426. No proceeding by or before any Governmental Entity involving Parent, nor any of its Subsidiaries, nor any of its or their respective affiliates, directors, managers, officers or employees relating to the applicable Anti-Corruption Laws is pending or, to the knowledge of Parent, threatened.</w:t>
      </w:r>
    </w:p>
    <w:p>
      <w:pPr>
        <w:spacing w:after="0" w:line="121"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Parent, nor any of its Subsidiaries, nor any of its or their respective owners, directors, officers, or employees, nor to the knowledge of Parent or its Subsidiaries, any other Person working on behalf of any of the foregoing (i) has directly or indirectly since April 24, 2019 violated any applicable Export Control and Economic Sanctions Laws;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Sanctioned Country; or (iv) has since April 24, 2019 been the subject or target of any investigation, enforcement, administrative, civil, or criminal action, or disclosure relating to applicable Export Control and Economic Sanctions Laws.</w:t>
      </w:r>
    </w:p>
    <w:p>
      <w:pPr>
        <w:spacing w:after="0" w:line="12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3" w:lineRule="auto"/>
        <w:tabs>
          <w:tab w:leader="none" w:pos="239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BMS or Merger Sub, or any of their Subsidiaries or their respective businesses; or (ii) except for the representations and warranties made by Parent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4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Parent acknowledges and agrees that none of the Company 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the Company furnished or made available to Parent, or any of its Representatives and that neither Parent nor BMS or Merger Sub has relied on, and expressly disclaim any reliance on, any representation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8" w:lineRule="auto"/>
        <w:rPr>
          <w:sz w:val="20"/>
          <w:szCs w:val="20"/>
          <w:color w:val="auto"/>
        </w:rPr>
      </w:pPr>
      <w:r>
        <w:rPr>
          <w:rFonts w:ascii="Times New Roman" w:cs="Times New Roman" w:eastAsia="Times New Roman" w:hAnsi="Times New Roman"/>
          <w:sz w:val="18"/>
          <w:szCs w:val="18"/>
          <w:color w:val="auto"/>
        </w:rPr>
        <w:t>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AGREEMENTS</w:t>
      </w:r>
    </w:p>
    <w:p>
      <w:pPr>
        <w:spacing w:after="0" w:line="13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Conduct of Company Business Pending the Merger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3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period from the execution of this Agreement until the earlier to occur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the Company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Interim Period, the Company shall not, and shall not permit its Subsidiaries to:</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the Company or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the Company or (z) tax distributions in accordance with the Company Holdco LLC Agreement;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or any Subsidiary of the Company, except as required by the terms of any capital stock or equity interest of a Subsidiary or as contemplated by any Company Plan in each case existing as of the date of this Agreement;</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pursuant to the Company ATM Agreement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(D) the issuance of Company Common Stock upon the exercise of any Company Options; (E) the issuance of Company Common Stock upon the conversion of any Company Preferred Stock; (F) the issuance of Company Common Stock upon the exercise of any Company Warrants in accordance with the terms of the applicable warrant agreement; (G) issuances by a wholly-owned Subsidiary of the Company or Company Holdco of such Subsidiary’s capital stock or other equity interests to the Company or Company Holdco or any other wholly-owned Subsidiary of the Company or Company Holdco; and (H) issuances of any Company Common Stock in connection with a redemption of Company Holdco Units in accordance with the Company Holdco LLC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66" w:lineRule="auto"/>
        <w:tabs>
          <w:tab w:leader="none" w:pos="303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Organizational Documents or amend the Organizational Documents of any of the Company’s Subsidiaries or form any new Subsidiary of the Company;</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between wholly-owned Subsidiaries of the Company or Company Holdco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6.1(b)(iv)</w:t>
      </w:r>
      <w:r>
        <w:rPr>
          <w:rFonts w:ascii="Times New Roman" w:cs="Times New Roman" w:eastAsia="Times New Roman" w:hAnsi="Times New Roman"/>
          <w:sz w:val="18"/>
          <w:szCs w:val="18"/>
          <w:color w:val="auto"/>
        </w:rPr>
        <w:t xml:space="preserve"> of the Company Disclosure Letter,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(including by virtue of failure to exercise any lease renewal options), or agree to sell, lease or otherwise dispose of, any assets or properties (x) that are neither Bitcoin miners nor electrical equipment of any substation, transformer, data center or other infrastructure between any substation and data center and (y) for which the consideration is less than $1,000,000 individually or $4,000,000 in the aggregate;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6.1(b)(v)</w:t>
      </w:r>
      <w:r>
        <w:rPr>
          <w:rFonts w:ascii="Times New Roman" w:cs="Times New Roman" w:eastAsia="Times New Roman" w:hAnsi="Times New Roman"/>
          <w:sz w:val="18"/>
          <w:szCs w:val="18"/>
          <w:color w:val="auto"/>
        </w:rPr>
        <w:t xml:space="preserve"> of the Company Disclosure Letter, (B) sales, leases or other dispositions among the Company and its wholly owned Subsidiaries (or Company Holdco and its wholly owned Subsidiaries) or among wholly owned Subsidiaries of the Company (or Company Holdco), or (C) sales or dispositions of obsolete or worthless equipment in the ordinary course of business consistent with past practice;</w:t>
      </w:r>
    </w:p>
    <w:p>
      <w:pPr>
        <w:spacing w:after="0" w:line="110"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the Company or any of its Subsidiaries, other than such transactions among wholly-owned Subsidiaries of the Company or Company Holdco;</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the Company and its Subsidiaries, except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74" w:lineRule="auto"/>
        <w:tabs>
          <w:tab w:leader="none" w:pos="302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(A) make, change or revoke any material Tax election, (B) change an annual Tax accounting period, (C) adopt or change any material Tax accounting method, (D) file any material amended Tax Return, (E) enter into any material closing agreement with a Taxing Authority, (F) settle or compromise any material Tax liability of the Company or any of its Subsidiaries; or (G) consent to any extension or waiver of the statute of limitation period applicable to any claim or assessment with respect to Taxes of the Company or any of its Subsidiaries;</w:t>
      </w:r>
    </w:p>
    <w:p>
      <w:pPr>
        <w:spacing w:after="0" w:line="105" w:lineRule="exact"/>
        <w:rPr>
          <w:rFonts w:ascii="Times New Roman" w:cs="Times New Roman" w:eastAsia="Times New Roman" w:hAnsi="Times New Roman"/>
          <w:sz w:val="17"/>
          <w:szCs w:val="17"/>
          <w:color w:val="auto"/>
        </w:rPr>
      </w:pPr>
    </w:p>
    <w:p>
      <w:pPr>
        <w:jc w:val="both"/>
        <w:ind w:left="1100" w:right="459" w:firstLine="1298"/>
        <w:spacing w:after="0" w:line="252" w:lineRule="auto"/>
        <w:tabs>
          <w:tab w:leader="none" w:pos="301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restrictions under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grant any equity or equity-based awards or increase the compensation or benefits provided to any current or former directors, officers, employees or other individual service providers with annual compensation in excess of $150,000, except as required by applicable Law, pursuant to a Company Plan existing as of the date hereof, or as permitted by this Agreement; (B) pay or agree to pay any current or former director, officer, employee or other individual service provider, any pension, retirement allowance or other employee benefit not required by the terms of any Company Plan or applicable Law existing as of the date hereof; (C) grant or provide any change in control, severance, termination, retention or similar payments or benefits to any current or former director, officer, employee or other individual service provider, in each case except as required by applicable Law, pursuant to a Company Plan existing as of the date hereof, or as permitted by this Agreement; (D) establish, adopt, enter into, terminate or amend any new or any existing Company Plan or any plan, agreement, program, policy or other arrangement that would be a Company Plan if it were in existence as of the date hereof, other than (x) in connection with routine, immaterial or ministerial amendments to health and welfare plans that do not materially increase benefits or result in a material increase in administrative costs and (y) offer letter agreements for employees hired following the date of this Agreement where such agreements do not provide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8" w:lineRule="auto"/>
        <w:rPr>
          <w:sz w:val="20"/>
          <w:szCs w:val="20"/>
          <w:color w:val="auto"/>
        </w:rPr>
      </w:pPr>
      <w:r>
        <w:rPr>
          <w:rFonts w:ascii="Times New Roman" w:cs="Times New Roman" w:eastAsia="Times New Roman" w:hAnsi="Times New Roman"/>
          <w:sz w:val="18"/>
          <w:szCs w:val="18"/>
          <w:color w:val="auto"/>
        </w:rPr>
        <w:t>for severance or termination benefits except as required by applicable Law; or (E) amend or modify any performance criteria, metrics or targets under any Company Plan such that, as compared to those criteria, metrics or targets under any Company Plan in effect as of the date of this Agreement, the performance criteria, metrics or targets would reasonably be expected to be more likely to be achieved than in the absence of such amendment or modification;</w:t>
      </w:r>
    </w:p>
    <w:p>
      <w:pPr>
        <w:spacing w:after="0" w:line="116" w:lineRule="exact"/>
        <w:rPr>
          <w:sz w:val="20"/>
          <w:szCs w:val="20"/>
          <w:color w:val="auto"/>
        </w:rPr>
      </w:pPr>
    </w:p>
    <w:p>
      <w:pPr>
        <w:jc w:val="both"/>
        <w:ind w:left="1100" w:right="459" w:firstLine="1298"/>
        <w:spacing w:after="0" w:line="256" w:lineRule="auto"/>
        <w:tabs>
          <w:tab w:leader="none" w:pos="30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renew, extend, or enter into any labor union agreement, collective bargaining agreement or any other labor-related agreements or arrangements with any labor union, labor organization or works council, or (B) voluntarily recognize or certify any labor union, labor organization, works council, or other representative of a group of employees of the Company or its Subsidiaries as the collective bargaining representative for any employees of the Company or its Subsidiaries;</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engage, or make an offer to hire or engage, any individual as, or terminate the employment or services of, an officer, employee, or other individual service provider of the Company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the Company and its Subsidiaries or the person being replaced, including base compensation or fee arrangement and bonus opportunity, if applicable); or (B) other than for cause (consistent with past practice), terminate the employment or engagement of any current officer, employee or individual service provider of the Company or any of its Subsidiaries with an annual base salary or fees in excess of $150,000;</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the Company or its Subsidiaries;</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the Company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0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Company Contract if it were in effect on the date of this Agreement, except in the ordinary course of business consistent with past practice and as would not prevent or materially delay the consummation of the Transactions, or (B) modify, amend, terminate or assign, or waive or assign any rights under, any Company Contract, in a manner that is materially adverse to the Company and its Subsidiaries, taken as a whole, or which could prevent or materially delay the consummation of the Transactions;</w:t>
      </w:r>
    </w:p>
    <w:p>
      <w:pPr>
        <w:spacing w:after="0" w:line="106"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the Company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or incur any obligations or liabilities in respect thereof during any fiscal quarter in excess of the amount set forth on </w:t>
      </w:r>
      <w:r>
        <w:rPr>
          <w:rFonts w:ascii="Times New Roman" w:cs="Times New Roman" w:eastAsia="Times New Roman" w:hAnsi="Times New Roman"/>
          <w:sz w:val="18"/>
          <w:szCs w:val="18"/>
          <w:u w:val="single" w:color="auto"/>
          <w:color w:val="auto"/>
        </w:rPr>
        <w:t>Schedule 6.1(b)(xvii)</w:t>
      </w:r>
      <w:r>
        <w:rPr>
          <w:rFonts w:ascii="Times New Roman" w:cs="Times New Roman" w:eastAsia="Times New Roman" w:hAnsi="Times New Roman"/>
          <w:sz w:val="18"/>
          <w:szCs w:val="18"/>
          <w:color w:val="auto"/>
        </w:rPr>
        <w:t xml:space="preserve"> of the Company Disclosure Letter with respect to such fiscal quarter;</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Tax Receivable Agreement (for the avoidance of doubt, other than as contemplated by the TRA Waiver) or the TRA Waiver (for the avoidance of doubt, other than as contemplated thereby); or</w:t>
      </w:r>
    </w:p>
    <w:p>
      <w:pPr>
        <w:spacing w:after="0" w:line="108"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Conduct of Parent Business Pending 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6.2(a)</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Parent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6.2(b)</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shall not, and shall not permit its Subsidiaries to:</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Parent or its Subsidiaries, except for dividends and distributions by a direct or indirect wholly-owned Subsidiary of Parent to Parent or another direct or indirect wholly-owned Subsidiary of Parent;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or any Subsidiary of Parent, except as required by the terms of any capital stock or equity interest of a Subsidiary or as contemplated by any Parent Plan in each case existing as of the date of this Agreement;</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1"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equity interests in Parent or any of its Subsidiaries or any securities convertible into, or any rights, warrants or options to acquire, any such equity interests, other than: (A) the issuance of Parent Common Shares upon the vesting or lapse of any restrictions on any shares of Parent RSUs or Parent Options or other awards granted under the Parent Equity Plan and outstanding on the date hereof or issued in compliance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issuances of awards granted under the Parent Equity Plan in the ordinary course of business consistent with past practice; (C) issuances by a wholly-owned Subsidiary of Parent of such Subsidiary’s capital stock or other equity interests to Parent or any other wholly-owned Subsidiary of Parent; (D) the issuance of Parent Common Shares pursuant to the Parent ATM Agreement; or (E) issuances of securities of Parent in accordance with </w:t>
      </w:r>
      <w:r>
        <w:rPr>
          <w:rFonts w:ascii="Times New Roman" w:cs="Times New Roman" w:eastAsia="Times New Roman" w:hAnsi="Times New Roman"/>
          <w:sz w:val="18"/>
          <w:szCs w:val="18"/>
          <w:u w:val="single" w:color="auto"/>
          <w:color w:val="auto"/>
        </w:rPr>
        <w:t>Schedule 6.2(b)(ii)</w:t>
      </w:r>
      <w:r>
        <w:rPr>
          <w:rFonts w:ascii="Times New Roman" w:cs="Times New Roman" w:eastAsia="Times New Roman" w:hAnsi="Times New Roman"/>
          <w:sz w:val="18"/>
          <w:szCs w:val="18"/>
          <w:color w:val="auto"/>
        </w:rPr>
        <w:t xml:space="preserve"> of the Parent Disclosure Letter;</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Parent’s Organizational Documents in a manner that would adversely affect the Company or its stockholders disproportionately as compared to Parent and its stockholders or in a manner that would adversely affect the ability of Parent, BMS or Merger Sub to consummate the Merger;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between wholly-owned Subsidiaries of Parent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w:t>
      </w:r>
    </w:p>
    <w:p>
      <w:pPr>
        <w:spacing w:after="0" w:line="3"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4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would reasonably be expected (at the time such action is taken) to prevent, materially delay or impede the consummation of the Merger, in each case other than (x) pursuant to an agreement of Parent or any of its Subsidiaries in effect on the date of this Agreement, (y) acquisitions for which the consideration is less than $250,000,000 in the aggregate (provided that Parent shall consult with the Company with respect to any such acquisition pursuant this clause (y) to the extent reasonably practicable and permitted by applicable Law) or (z) acquisitions and licenses in the ordinary course of business;</w:t>
      </w:r>
    </w:p>
    <w:p>
      <w:pPr>
        <w:spacing w:after="0" w:line="120"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Parent or any of its Subsidiaries, other than such transactions among wholly-owned Subsidiaries of Parent; or</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1" w:lineRule="auto"/>
        <w:tabs>
          <w:tab w:leader="none" w:pos="243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will, and will cause the Company’s Subsidiaries and instruct its Representatives to, immediately cease, and cause to be terminated, any discussion or negotiations with any Person conducted heretofore by the Company or any of its Subsidiaries or Representatives with respect to a Competing Proposal.</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22"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not, and will cause the Company’s Subsidiaries and will instruct its Representatives not to, directly or indirectly (i) initiate, solicit or knowingly encourage the making of a Competing Proposal; (ii) engage in any discussions with any Person with respect to a Competing Proposal; (iii) furnish any non-public information regarding the Company or its Subsidiaries, or access to the properties, assets or employees of the Company or its Subsidiaries, to any Person in connection with or in response to a Competing Proposal; (iv) enter into any letter of intent or agreement in principal, or other agreement providing for a Competing Proposal (other than a confidentiality agreement entered as provided in </w:t>
      </w:r>
      <w:r>
        <w:rPr>
          <w:rFonts w:ascii="Times New Roman" w:cs="Times New Roman" w:eastAsia="Times New Roman" w:hAnsi="Times New Roman"/>
          <w:sz w:val="18"/>
          <w:szCs w:val="18"/>
          <w:u w:val="single" w:color="auto"/>
          <w:color w:val="auto"/>
        </w:rPr>
        <w:t>Section 6.3(e)(ii)</w:t>
      </w:r>
      <w:r>
        <w:rPr>
          <w:rFonts w:ascii="Times New Roman" w:cs="Times New Roman" w:eastAsia="Times New Roman" w:hAnsi="Times New Roman"/>
          <w:sz w:val="18"/>
          <w:szCs w:val="18"/>
          <w:color w:val="auto"/>
        </w:rPr>
        <w:t xml:space="preserve">); or (v) release or permit the release of any Person from, or amend, waive or permit the amendment or waiver of any provision of, any “standstill” or similar agreement or provision to allow such Person to make or amend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in this Agreement, the Company or any of its Representatives may,</w:t>
      </w:r>
    </w:p>
    <w:p>
      <w:pPr>
        <w:spacing w:after="0" w:line="3"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91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 unsolicited inquiry or proposal, seek to clarify the terms and conditions of such inquiry or proposal to determine whether such inquiry or proposal constitutes, or could reasonably be expected to lead to, a Superior Proposal and (B) in response to an inquiry or proposal from a third party, inform a third party or its Representative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advise Parent of the receipt by the Company of any Competing Proposal made on or after the date of this Agreement, any request for non-public information or data relating to the Company or any of its Subsidiaries made by any Person in connection with a Competing Proposal or any request for discussions or negotiations with the Company or a Representative of the Company relating to a Competing Proposal in each case within twenty-four (24) hours thereof, and the Company shall provide to Parent (within such twenty-four (24) hour timeframe) (i) a copy of any such Competing Proposal if made in writing provided to the Company or any of its Subsidiaries or (ii) if any such Competing Proposal is made orally, a written summary of the material financial and other terms of such Competing Proposal. Thereafter the Company shall keep Parent reasonably informed with respect to the status and material terms of any such Competing Proposal and any material changes to the status of any such discussions or negotiations.</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6" w:lineRule="auto"/>
        <w:tabs>
          <w:tab w:leader="none" w:pos="239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the Company Board, including any committee thereof, agrees it shall not (i) withdraw, qualify or modify, or publicly propose to withdraw, qualify or modify, in a manner adverse to Parent, or fail to affirm without qualification at the request of Parent, the Company Board Recommendation; or (ii) approve, endorse or recommend, or publicly propose or announce any intention to approve, endorse or recommend, any Competing Proposal (the taking of any action described in clauses (i) and (ii)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8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9"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its outside legal counsel, make such disclosures as the Company Board or any committee thereof determines in good faith are necessary to comply with Rule 14d-9 or Rule 14e-2(a) promulgated under the Exchange Act or other disclosure required to be made in the Proxy Statement/Prospectus by applicable U.S.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shall, except as expressly permitted by </w:t>
      </w:r>
      <w:r>
        <w:rPr>
          <w:rFonts w:ascii="Times New Roman" w:cs="Times New Roman" w:eastAsia="Times New Roman" w:hAnsi="Times New Roman"/>
          <w:sz w:val="18"/>
          <w:szCs w:val="18"/>
          <w:u w:val="single" w:color="auto"/>
          <w:color w:val="auto"/>
        </w:rPr>
        <w:t>Section 6.3(e)(iii)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effect a Company Change of Recommendation including in any disclosure document or communication filed or publicly issued or made in conjunction with the compliance with such requirements;</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6.3(b)(iii)</w:t>
      </w:r>
      <w:r>
        <w:rPr>
          <w:rFonts w:ascii="Times New Roman" w:cs="Times New Roman" w:eastAsia="Times New Roman" w:hAnsi="Times New Roman"/>
          <w:sz w:val="18"/>
          <w:szCs w:val="18"/>
          <w:color w:val="auto"/>
        </w:rPr>
        <w:t xml:space="preserve"> with any Person who has made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taking any such actions, the Company Board or any committee thereof determines in good faith, after consultation with its financial advisors and outside legal counsel, that such Competing Proposal is, or could reasonably be expected to lead to, a Superior Proposal, (B) no non-public information that is prohibited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3" w:lineRule="auto"/>
        <w:rPr>
          <w:sz w:val="20"/>
          <w:szCs w:val="20"/>
          <w:color w:val="auto"/>
        </w:rPr>
      </w:pPr>
      <w:r>
        <w:rPr>
          <w:rFonts w:ascii="Times New Roman" w:cs="Times New Roman" w:eastAsia="Times New Roman" w:hAnsi="Times New Roman"/>
          <w:sz w:val="18"/>
          <w:szCs w:val="18"/>
          <w:color w:val="auto"/>
        </w:rPr>
        <w:t xml:space="preserve">from being furnished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confidentiality agreement does not contain provisions that prohibits the Company from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(C) any such non-public information has previously been made available to, or is made available to, Parent prior to or concurrently with (or in the case of oral non-public information only, promptly (and in any event within twenty-four (24) hours) after) the time such information is made available to such Person;</w:t>
      </w:r>
    </w:p>
    <w:p>
      <w:pPr>
        <w:spacing w:after="0" w:line="127" w:lineRule="exact"/>
        <w:rPr>
          <w:sz w:val="20"/>
          <w:szCs w:val="20"/>
          <w:color w:val="auto"/>
        </w:rPr>
      </w:pPr>
    </w:p>
    <w:p>
      <w:pPr>
        <w:jc w:val="both"/>
        <w:ind w:left="1100" w:right="459" w:firstLine="1298"/>
        <w:spacing w:after="0" w:line="252" w:lineRule="auto"/>
        <w:tabs>
          <w:tab w:leader="none" w:pos="3030"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(or any committee thereof)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if prior to taking such action (A) the Company Board (or a committee thereof) determines in good faith after consultation with its financial advisors and outside legal counsel that such Competing Proposal is a Superior Proposal (taking into account any adjustment to the terms and conditions of the Merger proposed by Parent in response to such Competing Proposal), (B) the Company Board (or a committee thereof) determines in good faith after consultation with its outside legal counsel that the failure to take such action would be inconsistent with its fiduciary obligations to the Company’s stockholders under applicable Law, and</w:t>
      </w:r>
    </w:p>
    <w:p>
      <w:pPr>
        <w:spacing w:after="0" w:line="5" w:lineRule="exact"/>
        <w:rPr>
          <w:rFonts w:ascii="Times New Roman" w:cs="Times New Roman" w:eastAsia="Times New Roman" w:hAnsi="Times New Roman"/>
          <w:sz w:val="18"/>
          <w:szCs w:val="18"/>
          <w:color w:val="auto"/>
        </w:rPr>
      </w:pPr>
    </w:p>
    <w:p>
      <w:pPr>
        <w:jc w:val="both"/>
        <w:ind w:left="1100" w:right="459" w:firstLine="2"/>
        <w:spacing w:after="0" w:line="249" w:lineRule="auto"/>
        <w:tabs>
          <w:tab w:leader="none" w:pos="141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given notice to Parent that the Company has received such proposal, specifying the material terms and conditions of such proposal, and, that the Company intends to take such action, and either (1)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(2) if Parent within the period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financial advisors and outside legal counsel, shall have determined in good faith that the Competing Proposal remains a Superior Proposal with respect to Parent’s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the financial terms of a Competing Proposal determined to be a Superior Proposal are made the time period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shall be extended for forty-eight (48) hours after notification of such change to Parent; and</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0" w:lineRule="auto"/>
        <w:tabs>
          <w:tab w:leader="none" w:pos="237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prior to receipt of the Company Stockholder Approval, in response to an Intervening Event, the Company may, if the Company Board (or any committee thereof) so chooses, effect a Company Change of Recommendation if prior to taking such action (i) the Company Board (or a committee thereof) determines in good faith after consultation with its outside legal counsel that the failure to take such action would be inconsistent with its fiduciary obligations to the Company’s stockholders under applicable Law, (ii) the Company shall have given notice to Parent that the Company has determined that an Intervening Event has occurred or arisen (which notice will reasonably describe such Intervening Event) and that the Company intends to effect a Company Change of Recommendation, and either (A)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outside legal counsel, shall have determined in good faith that such proposed changes do not obviate the need for the Company Board to effect a Company Change of Recommendation and that the failure to make a Company Change of Recommendation would be inconsistent with its fiduciary obligations to the Company’s stockholders under applicable Law.</w:t>
      </w:r>
    </w:p>
    <w:p>
      <w:pPr>
        <w:spacing w:after="0" w:line="11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Preparation of Registration Statement and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32302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323024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8" w:lineRule="auto"/>
        <w:tabs>
          <w:tab w:leader="none" w:pos="23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prepare (with Parent’s reasonable cooperation) a Proxy Statement/Prospectus (as part of the Registration Statement), and Parent shall promptly prepare and file with the SEC (with the Company’s reasonable cooperation) the Registration Statement, in which the Proxy Statement/Prospectus will be included as a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Company and Parent shall furnish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1" w:lineRule="auto"/>
        <w:rPr>
          <w:sz w:val="20"/>
          <w:szCs w:val="20"/>
          <w:color w:val="auto"/>
        </w:rPr>
      </w:pPr>
      <w:r>
        <w:rPr>
          <w:rFonts w:ascii="Times New Roman" w:cs="Times New Roman" w:eastAsia="Times New Roman" w:hAnsi="Times New Roman"/>
          <w:sz w:val="18"/>
          <w:szCs w:val="18"/>
          <w:color w:val="auto"/>
        </w:rPr>
        <w:t>Registration Statement or Proxy Statement/Prospectus, as applicable, to the other and give the other and its legal counsel and other advisors a reasonable opportunity to review such Registration Statement or Proxy Statement/Prospectus, as applicable, prior to filing with the SEC and shall accept all reasonable additions, deletions or changes suggested by the other in connection therewith. Each of the Company and Parent shall notify the other of the receipt of any comments of the SEC staff with respect to the Registration Statement or Proxy Statement/Prospectus, as applicable, and of any requests by the SEC for any amendment or supplement thereto or for additional information and shall provide to the other, as promptly as reasonably practicable, copies of all written correspondence between the Company or Parent or any representative thereof and the SEC with respect to the Registration Statement or Proxy Statement/Prospectus, as applicable. If comments are received from the SEC staff with respect to the Registration Statement or Proxy Statement/Prospectus, the Company or Parent shall respond as promptly as reasonably practicable to the comments of the SEC. Each of the Company or Parent shall provide the other and its legal counsel with a reasonable opportunity to review any amendment or supplement to the Registration Statement or Proxy Statement/Prospectus prior to filing with the SEC and shall accept all reasonable additions, deletions or changes suggested by the other in connection therewith. Each of the Company and Parent shall promptly provide the other with such information as may be required to be included in the Registration Statement or Proxy Statement/Prospectus, as applicable, or as may be reasonably required to respond to any comment of the SEC staff. After all the comments received from the SEC have been cleared by the SEC staff and all information required to be contained in the (i) Registration Statement has been included therein by Parent, Parent shall file the Registration Statement and use its reasonable best efforts to have the Registration Statement declared effective under the Securities Act as promptly as practicable after such filing (including by responding to comments from the SEC) and (ii) Proxy Statement/Prospectus has been included therein by the Company, as promptly as practicable after the Registration Statement shall have become effective the Company shall file the definitive Proxy Statement/Prospectus with the SEC and cause the Proxy Statement/Prospectus to be mailed (including by electronic delivery if permitted) to its stockholders of record, as of the record date established by the Company Board.</w:t>
      </w:r>
    </w:p>
    <w:p>
      <w:pPr>
        <w:spacing w:after="0" w:line="13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0058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call, hold and convene a meeting of its stockholders to consider the adoption of this Agreement, to be held as promptly as reasonably practicable after the mailing of the Proxy Statement/Prospectus to the Company’s stockholders.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Board shall recommend that the stockholders of the Company approve and adopt this Agreement at the Company Stockholders Meeting and the Company Board shall solicit from stockholders of the Company proxies in favor of the adoption of this Agreement, and the Proxy Statement/Prospectus shall include a statement to the effect that the Company Board has made the Company Board Recommendation. Notwithstanding anything to the contrary contained in this Agreement, the Company (i) shall be required to adjourn or postpone the Company Stockholders Meeting (A) to the extent necessary to ensure that any required supplement or amendment to the Proxy Statement/Prospectus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Stockholders Meeting shall not be adjourned or postponed (x) to a date that is more than thirty (30) days after the date for which the meeting was previously scheduled without Parent’s prior written consent or (y) to a date on or after two (2) Business Days prior to the End Date.</w:t>
      </w:r>
    </w:p>
    <w:p>
      <w:pPr>
        <w:spacing w:after="0" w:line="109"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unless this Agreement shall have been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agrees that its obligations to hold the Company Stockholders Meeting,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making of a Company Change of Recommendation and its obligations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commencement, announcement, disclosure, or communication to the Company of any Competing Proposal or the occurrence or disclosure of any Intervening Event.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45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shall, and shall cause each of its Subsidiaries to, afford to Parent and its Representatives, reasonable access, at reasonable times upon reasonable prior notice, to the officers, key employees, agents, properties, offices and other facilities of the Company and its Subsidiaries, and to their books, records (other than records covered by the Heath Insurance Portability and Accountability Act), contracts and documents, and the Company shall, and shall cause each of the Company’s Subsidiaries to, furnish reasonably promptly to Parent and its Representatives such information concerning the Company and its Subsidiaries’ business, governance, properties, contracts, records and personnel as may be reasonably requested, from time to time, by or on behalf of Parent.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anything to the contrary herein, (i) the Company shall not be required to, or to cause any of its Subsidiaries to, grant access or furnish information to Parent or any of its Representatives to the extent that such information is subject to an attorney/client privilege or the attorney work product doctrine or that such access or the furnishing of such information is prohibited by applicable Law or an existing contract or agreement; provided that the Company shall use its commercially reasonable efforts to provide the applicable information in a way that would not jeopardize such privilege or violate such Law or contract or agreement; (ii) Parent and its Representatives shall not be permitted to conduct any sampling or analysis of any environmental media or building materials at any facility of the Company or its Subsidiaries without the prior written consent of the Company, which may be granted or withheld in the Company’s sole discretion; and (iii) to the extent the Company is obligated to provide Parent or its Representatives with physical access to the officers, key employees, agents, properties, offices and other facilities of the Company and its Subsidiaries, and to their books, records, contracts and documents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may instead provide such access by electronic means if physical access is not reasonably feasible or would not be permitted under applicable Law. Each of Parent and the Company agrees that it will not, and will cause their respective Representatives not to, use any information obtained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any purpose unrelated to the consummation of the Transactions.</w:t>
      </w:r>
    </w:p>
    <w:p>
      <w:pPr>
        <w:spacing w:after="0" w:line="135"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Non-Disclosure Agreement dated as of January 8, 2024,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survive the execution and delivery of this Agreement until the later of (i) the termination of the Confidentiality Agreement according to its terms and (ii) the Closing, and shall apply to all information furnished thereunder or hereunder. All information provided to either Parent or the Company or their respective Representative pursuant to or in connection with this Agreement is deemed to be “Confidential Information” as defined under the Confidentiality Agreement.</w:t>
      </w:r>
    </w:p>
    <w:p>
      <w:pPr>
        <w:spacing w:after="0" w:line="10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HSR and Other Approvals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and submit to or obtain from other third parties, as applicable,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Proxy Statement/Prospectus).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and jointly determine no later than forty-five (45) days following the execution of this Agreement whether pre-merger filings are required under the HSR Act. If the Parties determine that such filings are required, the Parties shall make these filings no later than ten (10) Business Days following the date of such determination. As promptly as reasonably practicable, the Parties shall make the filings and notifications as may be required by foreign competition laws and merger regulations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Competition Law Notifications</w:t>
      </w:r>
      <w:r>
        <w:rPr>
          <w:rFonts w:ascii="Times New Roman" w:cs="Times New Roman" w:eastAsia="Times New Roman" w:hAnsi="Times New Roman"/>
          <w:sz w:val="18"/>
          <w:szCs w:val="18"/>
          <w:color w:val="auto"/>
        </w:rPr>
        <w: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of any applicable waiting period under the HSR Act or any Competition Law Notifications. Parent and the Company shall each use its reasonable best efforts to respond to and comply with any request for information from any Governmental Entity charged with enforcing, applying, administering, or investigating the HSR Act, any Competition Law Notifications or any other Law designed to prohibit, restrict or regulate actions for the purpose or effect of mergers, monopolization, restraining trade or abusing a dominant position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including the Federal Trade Commission, the Department of Justice, any attorney general of any state of the United States or any other competition authority of any jurisdiction (“</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Parent and the Company shall keep each other apprised of the status of any communications with, and any inquiries or requests for additional information from any Antitrust Authority.</w:t>
      </w:r>
    </w:p>
    <w:p>
      <w:pPr>
        <w:spacing w:after="0" w:line="130" w:lineRule="exact"/>
        <w:rPr>
          <w:sz w:val="20"/>
          <w:szCs w:val="20"/>
          <w:color w:val="auto"/>
        </w:rPr>
      </w:pPr>
    </w:p>
    <w:p>
      <w:pPr>
        <w:jc w:val="both"/>
        <w:ind w:left="620" w:right="459" w:firstLine="1112"/>
        <w:spacing w:after="0" w:line="251" w:lineRule="auto"/>
        <w:tabs>
          <w:tab w:leader="none" w:pos="238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may, at the discretion of the Company, be conditioned upon consummation of the Merger) (each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In the event that any action is threatened or instituted challenging the Merger as violative of any Antitrust Law, Parent shall (A) take such action, including any Divestiture Action, as may be necessary to avoid, resist or resolve such action; and (B) defend, at its cost and expense, any action or actions, whether judicial or administrative, in connection with the transactions contemplated by this Agreement. Parent shall be entitled to direct any Proceedings with any Antitrust Authority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Notwithstanding anything to the contrary in this Agreement, Parent shall not be required to agree to any action required in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(including any Divestiture Actions) that would, individually or taken together, reasonably be expected to have a material adverse effect on Parent (including its Affiliates) or the Company (including its Affiliates).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so as to preserve any applicable privilege.</w:t>
      </w:r>
    </w:p>
    <w:p>
      <w:pPr>
        <w:spacing w:after="0" w:line="13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the Company shall (1) as promptly as reasonably practicable after the Effective Time prepare and in no event later within 10 Business Days after the date of this Agreement cause the Scrubgrass Project Company and the Panther Creek Project Company to file with FERC the “informational filing” required under Section 2 of the PJM Tariff and a request for a waiver of the 90-day period set forth on Schedule 2 of the PJM Tariff (collectively the “</w:t>
      </w:r>
      <w:r>
        <w:rPr>
          <w:rFonts w:ascii="Times New Roman" w:cs="Times New Roman" w:eastAsia="Times New Roman" w:hAnsi="Times New Roman"/>
          <w:sz w:val="18"/>
          <w:szCs w:val="18"/>
          <w:u w:val="single" w:color="auto"/>
          <w:color w:val="auto"/>
        </w:rPr>
        <w:t>Reactive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and (2) as promptly as reasonably practicable after the Effective Time prepare and in no event later than 10 calendar days after the Effective Time, cause the Scrubgrass Project Company and the Panther Creek Project Company to provide to PJM all information required by Section 2 of PJM Manual 14D by the deadlines set forth therein. Parent shall assist the Company as is reasonably necessary in the preparation of such information to be provided pursuant to clause (ii)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8407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39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Date, Parent shall cause each individual who is employed as of the time immediately prior to the Closing Date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Subsidiaries (including the Surviving Corporation or any of its Subsidiaries) to be provided with (i) base compensation (salary or wages, as applicable), that is no less favorable than that in effect for such Company Employee immediately prior to the Closing Date, (ii) annual cash bonus opportunities at targets that are no less favorable than those in effect for such Company Employee immediately prior to the Closing Date and (iii) retirement and health and welfare benefits that are substantially comparable in the aggregate to those provided by the Parent or its Subsidiaries to similarly situated employees of the Parent and Subsidiaries immediately prior to the Closing Date.</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credit the Company Employees for purposes of vesting, eligibility and benefit accrual under the Parent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Company Employees participate, for such Company Employees’ service with the Company and its Subsidiaries, to the same extent and for the same purposes that such service was taken into account under a corresponding Company Plan immediately prior to the Closing Date.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1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use commercially reasonable efforts to(i)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 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and contributions to flexible spending accounts prior to the Closing Date for which payments or contributions have been made, in each case, to the extent permitted by the applicable insurance plan provider.</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to honor their respective obligations under all employment, severance, retention, bonus, change in control, and other agreements, if any, between the Company (or a Subsidiary thereof) and any individual employed on or prior to the Closing Date by the Company or a Subsidiary thereof.</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will cause the Surviving Corporation or one of its Subsidiaries to honor all unused vacation and other paid time off days accrued or earned by such Company Employee as of the Closing Date for the calendar year in which the Closing Date occurs. Company Employees shall continue to accrue vacation and other paid time off consistent with applicable policies of the Company and its Subsidiaries following the Closing.</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at least ten (10) Business Days prior to the Closing Date, the Company shall take all actions necessary to cause the Company to terminate the Company’s tax-qualified defined contribution 401(k) retirement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the Company shall provide Parent with evidence that the Company 401(k) Plan has been terminated (effective no later than immediately prior to the Closing Date and contingent on the Closing) pursuant to resolutions of Company. The form and substance of such resolutions shall be subject to prior review by Parent.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for the sole benefit of the Parties and nothing herein, expressed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8" w:lineRule="auto"/>
        <w:rPr>
          <w:sz w:val="20"/>
          <w:szCs w:val="20"/>
          <w:color w:val="auto"/>
        </w:rPr>
      </w:pPr>
      <w:r>
        <w:rPr>
          <w:rFonts w:ascii="Times New Roman" w:cs="Times New Roman" w:eastAsia="Times New Roman" w:hAnsi="Times New Roman"/>
          <w:sz w:val="18"/>
          <w:szCs w:val="18"/>
          <w:color w:val="auto"/>
        </w:rPr>
        <w:t xml:space="preserve">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under or by reason of any provision of this Agreement.</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Indemnification; Directors’ and Officers’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583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1" w:lineRule="auto"/>
        <w:tabs>
          <w:tab w:leader="none" w:pos="23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(which shall be assumed by the Surviving Corporation), from the Effective Time until the sixth anniversary of the Effective Time, Parent and the Surviving Corporation shall, jointly and severally, indemnify, defend and hold harmless each Person who is now, or has been at any time prior to the date of this Agreement or who becomes prior to the Effective Time, a director or officer of the Company or any of its Subsidiaries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the Company or any of its Subsidiaries or is or was serving at the request of the Company or any of its Subsidiaries as a director or officer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 Agreement or the Transactions, in each case to the fullest extent permitted under applicable Law. For a period of six (6) years following the Effective Time, 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For a period of six (6) years following the Effective Time, Parent shall, and shall cause the Surviving Corporation and its Subsidiaries to, fulfill and honor any indemnification, expense advancement or exculpation agreements between the Company or any of its Subsidiaries and any of the Indemnified Persons existing immediately prior to the Effective Time.</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Surviving Corporation will cause to be put in place, and Parent shall fully prepay immediately prior to the Effective Time, “tail” insurance policies with a claims reporting or discovery period of at least six (6) years from the Effective Time (the “</w:t>
      </w:r>
      <w:r>
        <w:rPr>
          <w:rFonts w:ascii="Times New Roman" w:cs="Times New Roman" w:eastAsia="Times New Roman" w:hAnsi="Times New Roman"/>
          <w:sz w:val="18"/>
          <w:szCs w:val="18"/>
          <w:u w:val="single" w:color="auto"/>
          <w:color w:val="auto"/>
        </w:rPr>
        <w:t>Tail Period</w:t>
      </w:r>
      <w:r>
        <w:rPr>
          <w:rFonts w:ascii="Times New Roman" w:cs="Times New Roman" w:eastAsia="Times New Roman" w:hAnsi="Times New Roman"/>
          <w:sz w:val="18"/>
          <w:szCs w:val="18"/>
          <w:color w:val="auto"/>
        </w:rPr>
        <w:t>”) from an insurance carrier with the same or better credit rating as the Company’s current insurance carrier with respect to directors’ and officers’ liability insurance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in an amount and scope at least as favorable as the Company’s existing policies with respect to matters, acts or omissions existing or occurring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be required to spend more than 300%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of the last annual premium paid by the Company prior to the date hereof (the amount of such premium being set forth on </w:t>
      </w:r>
      <w:r>
        <w:rPr>
          <w:rFonts w:ascii="Times New Roman" w:cs="Times New Roman" w:eastAsia="Times New Roman" w:hAnsi="Times New Roman"/>
          <w:sz w:val="18"/>
          <w:szCs w:val="18"/>
          <w:u w:val="single" w:color="auto"/>
          <w:color w:val="auto"/>
        </w:rPr>
        <w:t>Schedule 6.9(b)</w:t>
      </w:r>
      <w:r>
        <w:rPr>
          <w:rFonts w:ascii="Times New Roman" w:cs="Times New Roman" w:eastAsia="Times New Roman" w:hAnsi="Times New Roman"/>
          <w:sz w:val="18"/>
          <w:szCs w:val="18"/>
          <w:color w:val="auto"/>
        </w:rPr>
        <w:t xml:space="preserve"> of the Company Disclosure Letter) per policy year of coverage under such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cost per policy year of such insurance exceeds the Cap Amount, Parent shall purchase as much coverage per policy year as reasonably obtainable for the Cap Amount.</w:t>
      </w:r>
    </w:p>
    <w:p>
      <w:pPr>
        <w:spacing w:after="0" w:line="122" w:lineRule="exact"/>
        <w:rPr>
          <w:rFonts w:ascii="Times New Roman" w:cs="Times New Roman" w:eastAsia="Times New Roman" w:hAnsi="Times New Roman"/>
          <w:sz w:val="18"/>
          <w:szCs w:val="18"/>
          <w:color w:val="auto"/>
        </w:rPr>
      </w:pPr>
    </w:p>
    <w:p>
      <w:pPr>
        <w:jc w:val="both"/>
        <w:ind w:left="620" w:right="479" w:firstLine="1112"/>
        <w:spacing w:after="0" w:line="253" w:lineRule="auto"/>
        <w:tabs>
          <w:tab w:leader="none" w:pos="23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the Surviving Corporation or any of their Subsidiaries or any of their respective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intended to be for the benefit of, and shall be enforceable by, each of the Indemnified Persons. The rights of the Indemnified Persons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Agreement to Defend; Stockholder Litigation. In the event any Proceeding by any Governmental Entity or other Person is commenced that questions the validity or legality of the Transactions or seeks damages in connection therewith, the Parties agree to cooperate and use their reasonable best efforts to defend against and respond thereto. The Company shall give Parent reasonable opportunity to participate in the defense or settlement of any stockholder litigation against the Company and its directors relating to any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settlement shall be agreed to without Parent’s consent, which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-854075</wp:posOffset>
            </wp:positionV>
            <wp:extent cx="22872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(i) a Party, its Subsidiaries or their Representatives may issue a public announcement or other public disclosures with respect to the Merger or any of the other Transactions (a) if required by applicable Law or (b) if required by the rules of any stock exchange upon which such Party’s or its Subsidiary’s capital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such Party uses reasonable best efforts to afford the other Party an opportunity to first review the content of the proposed disclosure and provide reasonable comments thereon; (ii) each of Parent and the Company may, without consultation with or consent of the other Party,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(iii) the Company shall not be required by any provision of this Agreement to consult with or obtain any approval from Parent with respect to a public announcement or press release issued in connection with the receipt and existence of a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(iv) neither Parent nor the Company need to consult with (or obtain the consent of) the other Party in connection with any press release, public statement or filing in connection with any Proceeding between Parent and the Company related to this Agreement or any of the Transactions.</w:t>
      </w:r>
    </w:p>
    <w:p>
      <w:pPr>
        <w:spacing w:after="0" w:line="338"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or prior to the Closing, the Company shall use commercially reasonable efforts to obtain a valid IRS Form W-9 from each holder of Company Holdco Units (other than the Company).</w:t>
      </w:r>
    </w:p>
    <w:p>
      <w:pPr>
        <w:spacing w:after="0" w:line="8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Reasonable Best Efforts;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714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5" w:lineRule="auto"/>
        <w:tabs>
          <w:tab w:leader="none" w:pos="239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 including taking all reasonable actions necessary to satisfy the respective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as otherwise required by any Governmental Entity, the Company and Parent each shall keep the other apprised of the status of matters relating to the consummation of the Transactions, including promptly (i)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and (ii) giving written notice to the other Party upon becoming aware (x) that any representation or warranty made by it in this Agreement, or in the case of Parent, by it, BMS or Merger Sub, has become untrue or inaccurate or (y) of any failure by it, or in the case of Parent, by it, BMS or Merger Sub, to comply with or satisfy any covenant, obligation or agreement to be complied with or satisfied by it pursuant to this Agreement, in each case if and only to the extent that such untruth, inaccuracy or failure would reasonably be expected to cause any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Parent)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(with respect to the Company) to fail to be satisfied.</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BMS, Merger Sub and the Company shall take all such steps as may be required to cause any dispositions of equity securities of the Company (including derivative securities) by each individual who is subject to the reporting requirements of Section 16(a) of the Exchange Act with respect to the Company, to be exempt under Rule 16b-3 under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6.15 Takeover Laws. The Company will not take any action that would cause the Transactions to be subject to requirements imposed by any Takeover Laws, and will take all reasonable steps within its control to exempt (or ensure the continued exemption of) the Transactions from the Takeover Laws of any state that purport to apply to this Agreement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-448310</wp:posOffset>
            </wp:positionV>
            <wp:extent cx="6991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9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Parent Common Shares to be issued in the Merger to be approved for listing on the TSX and NASDAQ, subject to customary conditions and official notice of issuance.</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6.17 Obligations of Merger Sub. Parent shall take all action necessary to cause Merger Sub and the Surviving Corporation to perform their respective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2344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6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Treatment of Company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6871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168719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Closing Date, to the extent requested by Parent, the Company shall, at the sole expense of Parent, use reasonable best efforts to promptly obtain any consents or amendments as necessary to permit the consummation of the Transactions (in the manner as set forth in this Agreement) under the Company Credit Agreement, which shall be in form and substance reasonably satisfactory to Parent (the “</w:t>
      </w: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the operative provisions of the COC Amendment to permit the consummation of the Transactions and the payment of any fees by Parent or its Subsidiaries in connection therewith shall, in each case, be conditioned upon the occurrence of the Closing and (B) the obtaining of the COC Amendment shall not be a condition to the consummation of the Transactions. In addition, prior to the Closing Date, the Company shall, and shall cause its Subsidiaries to, and shall use its reasonable best efforts to cause its and their respective Representatives to, at the sole expense of Parent, provide all customary cooperation and all customary historical financial information, in each case that is reasonably requested by Parent or its Affiliates in connection with the COC Amendment and the Transactions or any other transaction undertaken in connection therewith to the extent such financial information is reasonably available to the Company and its Subsidiaries.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0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COC Amendment is not obtained prior to the date that is five (5) Business Days prior to the Closing Date, then at least two (2) Business Days prior to the Closing Date, the Company shall deliver to Parent fully executed copies of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a form and substance reasonably acceptable to Parent, from the lenders, or the administrative agent (or similar Person) on behalf of the lenders, under the Company Credit Agreement and the B&amp;M Note, as applicable. Such Payoff Letters shall (a) confirm the aggregate outstanding amount required to be paid to fully satisfy all principal, interest, prepayment premiums, penalties, breakage costs or any other outstanding and unpaid Indebtedness and other obligations under the Company Credit Agreement and B&amp;M Note, as applicable, as of the anticipated Closing Date (and the daily accrual of interest thereafter) (the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Encumbrances (including mortgages) and guarantees in connection with such Indebtedness relating to the assets or properties of the Company or any of its Subsidiaries under such Indebtedness shall be released and terminated upon payment of the Payoff Amount on the Closing Date and</w:t>
      </w:r>
    </w:p>
    <w:p>
      <w:pPr>
        <w:spacing w:after="0" w:line="1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return of all possessory collateral (if any) in connection with such Indebtedness (to the extent reasonably practicable, on the Closing Date). Notwithstanding the foregoing, it is agreed and understood that (i) no such Indebtedness and/or other obligations under the Company Credit Agreement or B&amp;M Note shall be required to be paid or otherwise satisfied pursuant to the Payoff Letters prior to the Closing, and (ii) prior to or substantially concurrent with the Closing, Parent shall pay and satisfy the outstanding Indebtedness under the Company Credit Agreement and B&amp;M Note as set forth in the applicable Payoff Letter at Parent’s sole cost and expense.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12"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at least two (2) Business Days prior to the Closing Date copies of release letters with respect to the Specified Debt Agreements in customary form reasonably satisfactory to Parent, which release letters shall evidence the satisfaction, release and discharge of all Indebtedness and other obligations of the Company and each of its Subsidiaries under the Specified Debt Agreements and any related loan documents and, to the extent any obligations of any Person thereunder are secured by an Encumbrance on any assets or property of the Company or any of its Subsidiaries, a statement by the holders of the Indebtedness under the Specified Debt Agreements (or an agent or other representative on their behalf) that such Encumbrances have been released. Prior to the Closing, the Company shall have obtained documents (including an authorization for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Company and its designees to file Uniform Commercial Code termination statements, executed terminations and releases of outstanding Encumbrances on the assets or property of the Company or any of its Subsidiaries created in connection with the Specified Debt Agreements) as are reasonably necessary to evidence the release of such Encumbrances in accordance with such release letters.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7.1 Conditions to Each Party’s Obligation to Consummate the Merger.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0873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79" w:lineRule="exact"/>
        <w:rPr>
          <w:sz w:val="20"/>
          <w:szCs w:val="20"/>
          <w:color w:val="auto"/>
        </w:rPr>
      </w:pPr>
    </w:p>
    <w:p>
      <w:pPr>
        <w:ind w:left="620" w:right="459" w:firstLine="1112"/>
        <w:spacing w:after="0" w:line="282" w:lineRule="auto"/>
        <w:tabs>
          <w:tab w:leader="none" w:pos="241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2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Parent Common Shares to be issued in the Merger shall have been approved for listing on the TSX and NASDAQ (or any successor inter-dealer quotation system or stock exchange thereto) subject to customary conditions and official notice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invoke this condition if it has not complied in all material respects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2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shall not be the subject of any stop order or proceeding seeking a stop order.</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been terminated or shall have expired and (ii) the Consents from Governmental Entities shall have been obtained, and the filings and petitions with Governmental Entities shall have been made, in each case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w:t>
      </w:r>
    </w:p>
    <w:p>
      <w:pPr>
        <w:spacing w:after="0" w:line="112"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39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1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7.2 Additional Conditions to Obligations of Parent, BMS and Merger Sub. The obligations of Parent, BMS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3743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3374390" cy="8255"/>
                    </a:xfrm>
                    <a:prstGeom prst="rect">
                      <a:avLst/>
                    </a:prstGeom>
                    <a:noFill/>
                  </pic:spPr>
                </pic:pic>
              </a:graphicData>
            </a:graphic>
          </wp:anchor>
        </w:drawing>
      </w:r>
    </w:p>
    <w:p>
      <w:pPr>
        <w:spacing w:after="0" w:line="79" w:lineRule="exact"/>
        <w:rPr>
          <w:sz w:val="20"/>
          <w:szCs w:val="20"/>
          <w:color w:val="auto"/>
        </w:rPr>
      </w:pPr>
    </w:p>
    <w:p>
      <w:pPr>
        <w:jc w:val="both"/>
        <w:ind w:left="620" w:right="459" w:firstLine="1112"/>
        <w:spacing w:after="0" w:line="252" w:lineRule="auto"/>
        <w:tabs>
          <w:tab w:leader="none" w:pos="241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Company. (i) The Company Fundamental Representations shall be true and correct in all material respects as of the Closing Date, as though made on and as of the Closing Date (except that the Company Fundamental Representations that speak as of a specified date shall have been true and correct in all material respects only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on or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-2602230</wp:posOffset>
            </wp:positionV>
            <wp:extent cx="23285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2328545" cy="889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59" w:firstLine="1112"/>
        <w:spacing w:after="0" w:line="282" w:lineRule="auto"/>
        <w:tabs>
          <w:tab w:leader="none" w:pos="23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1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w:t>
      </w:r>
      <w:r>
        <w:rPr>
          <w:rFonts w:ascii="Times New Roman" w:cs="Times New Roman" w:eastAsia="Times New Roman" w:hAnsi="Times New Roman"/>
          <w:sz w:val="18"/>
          <w:szCs w:val="18"/>
          <w:color w:val="auto"/>
        </w:rPr>
        <w:t xml:space="preserve">. The conditions set forth on </w:t>
      </w:r>
      <w:r>
        <w:rPr>
          <w:rFonts w:ascii="Times New Roman" w:cs="Times New Roman" w:eastAsia="Times New Roman" w:hAnsi="Times New Roman"/>
          <w:sz w:val="18"/>
          <w:szCs w:val="18"/>
          <w:u w:val="single" w:color="auto"/>
          <w:color w:val="auto"/>
        </w:rPr>
        <w:t>Schedule 7.2(e)</w:t>
      </w:r>
      <w:r>
        <w:rPr>
          <w:rFonts w:ascii="Times New Roman" w:cs="Times New Roman" w:eastAsia="Times New Roman" w:hAnsi="Times New Roman"/>
          <w:sz w:val="18"/>
          <w:szCs w:val="18"/>
          <w:color w:val="auto"/>
        </w:rPr>
        <w:t xml:space="preserve"> of the Company Disclosure Letter shall have been satisfied.</w:t>
      </w:r>
    </w:p>
    <w:p>
      <w:pPr>
        <w:spacing w:after="0" w:line="8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7.3 Additional Conditions to Obligations of the Company.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259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92" w:lineRule="exact"/>
        <w:rPr>
          <w:sz w:val="20"/>
          <w:szCs w:val="20"/>
          <w:color w:val="auto"/>
        </w:rPr>
      </w:pPr>
    </w:p>
    <w:p>
      <w:pPr>
        <w:jc w:val="both"/>
        <w:ind w:left="620" w:right="459" w:firstLine="1112"/>
        <w:spacing w:after="0" w:line="252" w:lineRule="auto"/>
        <w:tabs>
          <w:tab w:leader="none" w:pos="241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Parent, BMS and Merger Sub. (i) The Parent Fundamental Representations shall be true and correct in all material respects as of the Closing Date, as though made on and as of the Closing Date (except that the Parent Fundamental Representations that speak as of a specified date shall have been true and correct in all material respects only as of such date); (ii) the representations and warranties of Parent, BMS and Merger Sub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Parent, BMS and Merger Sub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BMS and Merger Sub</w:t>
      </w:r>
      <w:r>
        <w:rPr>
          <w:rFonts w:ascii="Times New Roman" w:cs="Times New Roman" w:eastAsia="Times New Roman" w:hAnsi="Times New Roman"/>
          <w:sz w:val="18"/>
          <w:szCs w:val="18"/>
          <w:color w:val="auto"/>
        </w:rPr>
        <w:t>. Parent, BMS and Merger Sub each shall have performed, or complied with, in all material respects all agreements and covenants required to be performed or complied with by them under this Agreement on or prior to the Effective Time.</w:t>
      </w:r>
    </w:p>
    <w:p>
      <w:pPr>
        <w:spacing w:after="0" w:line="9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42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-3742055</wp:posOffset>
            </wp:positionV>
            <wp:extent cx="31375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Frustration of Closing Conditions. None of the Parties may rely, either as a basis for not consummating the Merger or for terminating this Agreement, on the failure of any condition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as the case may be, to be satisfied if such failure was caused by such Party’s breach in any material respect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5995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13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(except as expressly set forth below) before or after the Company Stockholder Approval has been obtained:</w:t>
      </w:r>
    </w:p>
    <w:p>
      <w:pPr>
        <w:spacing w:after="0" w:line="108" w:lineRule="exact"/>
        <w:rPr>
          <w:sz w:val="20"/>
          <w:szCs w:val="20"/>
          <w:color w:val="auto"/>
        </w:rPr>
      </w:pPr>
    </w:p>
    <w:p>
      <w:pPr>
        <w:ind w:left="2380" w:hanging="648"/>
        <w:spacing w:after="0"/>
        <w:tabs>
          <w:tab w:leader="none" w:pos="23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144"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4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 xml:space="preserve">action shall have become final and nonappealable, or if there shall be adopted any Law that permanently makes consummation of the Merger illegal or otherwise permanently prohibited;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120" w:lineRule="exact"/>
        <w:rPr>
          <w:sz w:val="20"/>
          <w:szCs w:val="20"/>
          <w:color w:val="auto"/>
        </w:rPr>
      </w:pPr>
    </w:p>
    <w:p>
      <w:pPr>
        <w:jc w:val="both"/>
        <w:ind w:left="1100" w:right="459" w:firstLine="1298"/>
        <w:spacing w:after="0" w:line="254" w:lineRule="auto"/>
        <w:tabs>
          <w:tab w:leader="none" w:pos="3021"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5:00 p.m. New York, New York time, on May 21, 2025 (such date being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at 5:00 p.m. New York, New York time, on May 21, 2025, either (x)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(y) if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been satisfied or waived after February 21, 2025, the condition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has not been satisfied or waived, then the End Date shall be automatically extended, without any further action on the part of any Party, to August 21, 2025 and (B)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12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30"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would give rise to the failure of a condition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such breach is not curable prior to the End Date, or if curable prior to the End Date, has not been cured by the earlier of (i) thirty (30) days after the giving of written notice to the breaching Party of such breach and (ii) three (3) Business Days prior to the End Date) (a “</w:t>
      </w:r>
      <w:r>
        <w:rPr>
          <w:rFonts w:ascii="Times New Roman" w:cs="Times New Roman" w:eastAsia="Times New Roman" w:hAnsi="Times New Roman"/>
          <w:sz w:val="18"/>
          <w:szCs w:val="18"/>
          <w:u w:val="single" w:color="auto"/>
          <w:color w:val="auto"/>
        </w:rPr>
        <w:t>Terminable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of any representation, warranty, covenant or other agreement contained in this Agreement; or</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 or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12"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but not after, the time the Company Stockholder Approval is obtained, if the Company Board or any committee thereof shall have effected a Company Change of Recommendation (whether or not such Company Change of Recommendation is permitted by this Agreement);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but not after, the time the Company Stockholder Approval is obtained, in order to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validly waived (other than those conditions that by their terms are to be satisfied at the Closing, so long as such conditions are at the time of termination capable of being satisfied at the Closing),</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consummate the Merger by the date on which Parent is required to consummate the Closing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(iii) the Company irrevocably confirms to Parent in writing, following the date on which the Closing is required to occur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that it stands ready, willing and able to consummate the Closing and that all of the closing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validly waived and (iv) Parent fails to consummate the Closing on or prior to the third Business Day following receipt of such irrevocable written confirmation of the Company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6" w:lineRule="auto"/>
        <w:tabs>
          <w:tab w:leader="none" w:pos="241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0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except with respect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6.6(b), Section 6.18(a)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 such termination shall relieve any Party from liability for any damages for a Willful and Material Breach of any covenant, agreement or obligation hereunder or fraud.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Expenses and Other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3868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6" w:lineRule="auto"/>
        <w:tabs>
          <w:tab w:leader="none" w:pos="242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54" w:lineRule="auto"/>
        <w:tabs>
          <w:tab w:leader="none" w:pos="239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(Company Change of Recommendation)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(Superior Proposal), then the Company shall pay Parent the Company Termination Fee (in the form of either, at the election of the Company: (x) cash by wire transfer of immediately available funds to an account designated by Parent and/or (y) Bitcoin to a Bitcoin wallet designated by Parent). If the fee is payable pursuant to clause</w:t>
      </w:r>
    </w:p>
    <w:p>
      <w:pPr>
        <w:spacing w:after="0" w:line="3"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83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sentence, the fee shall be paid no later than three (3) Business Days after the termination of this Agreement, and if the fee is payable pursuant to clause (ii) of the immediately preceding sentence, the fee shall be paid contemporaneously with such termination of this Agreement.</w:t>
      </w:r>
    </w:p>
    <w:p>
      <w:pPr>
        <w:spacing w:after="0" w:line="10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or the Company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and on or before the date of any such termination a Competing Proposal shall have been publicly announced or publicly disclosed and not been withdrawn prior to the Company Stockholders Meeting, and (ii) within twelve (12) months after the date of such termination, the Company enters into a definitive agreement with respect to a Competing Proposal or consummates a Competing Proposal (in each case, whether or not such Competing Proposal is the same Competing Proposal referred to in clause (i) above), then the Company shall pay Parent the Company Termination Fee (in the form of either, at the election of the Company: (x) cash by wire transfer of immediately available funds to an account designated by Parent and/or (y) Bitcoin to a Bitcoin wallet designated by Parent) no later than three</w:t>
      </w:r>
    </w:p>
    <w:p>
      <w:pPr>
        <w:spacing w:after="0" w:line="6" w:lineRule="exact"/>
        <w:rPr>
          <w:rFonts w:ascii="Times New Roman" w:cs="Times New Roman" w:eastAsia="Times New Roman" w:hAnsi="Times New Roman"/>
          <w:sz w:val="18"/>
          <w:szCs w:val="18"/>
          <w:color w:val="auto"/>
        </w:rPr>
      </w:pPr>
    </w:p>
    <w:p>
      <w:pPr>
        <w:jc w:val="both"/>
        <w:ind w:left="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earlier to occur of the entry into such definitive agreement or consummation of such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any reference in the definition of Competing Proposal to “15%” shall be deemed to be a reference to “50%.” If the Company fails to timely pay the Company Termination Fee under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Parent obtains a final, non-appealable judgment against the Company for the Company Termination Fee or any portion thereof, then the Company shall pay Parent (in addition to the Company Termination Fee or portion thereof deemed owing) its costs and expenses (including reasonable and documented out-of-pocket attorney’s fees and disbursements) in connection with such suit.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3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(Closing Failure), then Parent shall pay the Company the Parent Termination Fee (in the form of either, at the election of Parent: (x) cash by wire transfer of immediately available funds to an account designated by the Company and/or (y) Bitcoin to a Bitcoin wallet designated by the Company). The fee shall be paid no later than three</w:t>
      </w:r>
    </w:p>
    <w:p>
      <w:pPr>
        <w:spacing w:after="0" w:line="2" w:lineRule="exact"/>
        <w:rPr>
          <w:rFonts w:ascii="Times New Roman" w:cs="Times New Roman" w:eastAsia="Times New Roman" w:hAnsi="Times New Roman"/>
          <w:sz w:val="18"/>
          <w:szCs w:val="18"/>
          <w:color w:val="auto"/>
        </w:rPr>
      </w:pPr>
    </w:p>
    <w:p>
      <w:pPr>
        <w:jc w:val="both"/>
        <w:ind w:left="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termination of this Agreement. If Parent fails to timely pay the Parent Termination Fee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and the Company obtains a final, non-appealable judgment against Parent for the Parent Termination Fee or any portion thereof, then Parent shall pay the Company (in addition to the Parent Termination Fee or portion thereof deemed owing) the Company’s costs and expenses (including reasonable and documented out-of-pocket attorney’s fees and disbursements) in connection with such suit.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 and (ii) in no event shall Parent be required to pay the Parent Termination Fee on more than one occasion, whether or not the Parent Termination Fee may be payable pursuant to more than one provision of this Agreement at the same time or at different times and upon the occurrence of different events.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The Parties agree that (i)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Parent Termination Fee is payable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Company’s right to receive such Parent Termination Fee from Parent (plus, if such Parent Termination Fee is not timely paid, the costs and expenses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shall be the sole and exclusive remedies of the Company and its Subsidiaries against Parent, BMS and Merger Sub and any of their respective former, current or future directors, officers, shareholders, Representatives or Affiliates for any loss suffered as a result of the failure of the Merger to be consummated or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matter forming the basis for such termination (including Willful and Material Breach), and upon payment of such amount, none of Parent, BMS and Merger Sub or any of their respective former, current or future directors, officers, shareholders, Representatives or Affiliates shall have any further liability or obligation relating to or arising out of this Agreement or the Transactions, and (ii)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Company Termination Fee is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Parent’s right to receive the Company Termination Fee from the Company (plus, if the Company Termination Fee is not timely paid, the costs and expenses described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shall be the sole and exclusive remedies of Parent, BMS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and Material Breach of any covenant, agreement or obligation (in which case only the Company shall be liable for damages for such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and Material Breach of any covenant, agreement or obligation. Nothing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limit the rights of Parent, BMS, Merger Sub or the Company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termination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39"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Schedule Definitions.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-313055</wp:posOffset>
            </wp:positionV>
            <wp:extent cx="9613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agreements of the Parties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(No Additional Representations),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(No Additional Representations), the last sentence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(Access to Information),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(Employee Matters),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(Indemnification; Directors’ and Officers’ Insurance)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127"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facsimile (but only upon confirmation of transmission by the transmitting equipment); (c)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(d) if transmitted by national overnight courier, in each case as addressed as follows:</w:t>
      </w:r>
    </w:p>
    <w:p>
      <w:pPr>
        <w:spacing w:after="0" w:line="121" w:lineRule="exact"/>
        <w:rPr>
          <w:sz w:val="20"/>
          <w:szCs w:val="20"/>
          <w:color w:val="auto"/>
        </w:rPr>
      </w:pPr>
    </w:p>
    <w:p>
      <w:pPr>
        <w:ind w:left="2360" w:hanging="610"/>
        <w:spacing w:after="0"/>
        <w:tabs>
          <w:tab w:leader="none" w:pos="23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BMS or Merger Sub,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2380" w:hanging="630"/>
        <w:spacing w:after="0"/>
        <w:tabs>
          <w:tab w:leader="none" w:pos="23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2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Greg Beard; Matt Usdin</w:t>
      </w:r>
    </w:p>
    <w:p>
      <w:pPr>
        <w:spacing w:after="0" w:line="50"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and</w:t>
      </w:r>
    </w:p>
    <w:p>
      <w:pPr>
        <w:spacing w:after="0" w:line="3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or as an exception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shall be deemed adequately disclosed as an exception with respect to all other representations or warranties, or all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to the extent that the relevance of such item to such other representations or warranties, or to such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as applicable, is reasonably apparent on 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6" w:lineRule="auto"/>
        <w:rPr>
          <w:sz w:val="20"/>
          <w:szCs w:val="20"/>
          <w:color w:val="auto"/>
        </w:rPr>
      </w:pPr>
      <w:r>
        <w:rPr>
          <w:rFonts w:ascii="Times New Roman" w:cs="Times New Roman" w:eastAsia="Times New Roman" w:hAnsi="Times New Roman"/>
          <w:sz w:val="18"/>
          <w:szCs w:val="18"/>
          <w:color w:val="auto"/>
        </w:rPr>
        <w:t>face, notwithstanding the presence or absence of an appropriate section of the Company Disclosure Letter or Parent Disclosure Letter with respect to such other representations or warranties or an appropriate cross reference thereto.</w:t>
      </w:r>
    </w:p>
    <w:p>
      <w:pPr>
        <w:spacing w:after="0" w:line="108" w:lineRule="exact"/>
        <w:rPr>
          <w:sz w:val="20"/>
          <w:szCs w:val="20"/>
          <w:color w:val="auto"/>
        </w:rPr>
      </w:pPr>
    </w:p>
    <w:p>
      <w:pPr>
        <w:jc w:val="both"/>
        <w:ind w:left="620" w:right="459" w:firstLine="1112"/>
        <w:spacing w:after="0" w:line="256" w:lineRule="auto"/>
        <w:tabs>
          <w:tab w:leader="none" w:pos="242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3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New York, New York time. The word “or” is not exclusive. The word “extent” in the phrase “to the extent” shall mean the degree to which a subject or other thing extends and such phrase shall not mean simply “if.” The term “dollars” and the symbol “$” mean United States Dollars. “Made available” means that such information, document or material was: (a) filed with the SEC and publicly available on Edgar at least 48 hours prior to the execution of this Agreement; or (b) made available for review by the other Party or the other Party’s Representatives in-person or in a virtual data room at least 48 hours prior to the execution of this Agreement. The table of contents and headings herein are for convenience of reference only, do not constitute part of this Agreement and shall not be deemed to limit or otherwise affect any of the provisions hereof.</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20"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Closing occurs, from and after the Effective Time, the holders of Company Common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Stock, Company RSUs, Company Options and Company Warrants shall be third-party beneficiaries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solely with respect to the right to receive the consideration to which such holders are entitled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the Indemnified Persons shall be third-party beneficiaries of, and shall be entitled to rely 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491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6" w:lineRule="auto"/>
        <w:tabs>
          <w:tab w:leader="none" w:pos="23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67" w:lineRule="auto"/>
        <w:tabs>
          <w:tab w:leader="none" w:pos="2436"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332" w:lineRule="exact"/>
        <w:rPr>
          <w:rFonts w:ascii="Times New Roman" w:cs="Times New Roman" w:eastAsia="Times New Roman" w:hAnsi="Times New Roman"/>
          <w:sz w:val="17"/>
          <w:szCs w:val="17"/>
          <w:color w:val="auto"/>
        </w:rPr>
      </w:pPr>
    </w:p>
    <w:p>
      <w:pPr>
        <w:jc w:val="both"/>
        <w:ind w:left="620" w:right="479" w:firstLine="1112"/>
        <w:spacing w:after="0" w:line="252" w:lineRule="auto"/>
        <w:tabs>
          <w:tab w:leader="none" w:pos="23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Affiliate Liability</w:t>
      </w:r>
      <w:r>
        <w:rPr>
          <w:rFonts w:ascii="Times New Roman" w:cs="Times New Roman" w:eastAsia="Times New Roman" w:hAnsi="Times New Roman"/>
          <w:sz w:val="18"/>
          <w:szCs w:val="18"/>
          <w:color w:val="auto"/>
        </w:rPr>
        <w:t>. Each of the following is herein referred to as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(a) any direct or indirect holder of equity interests or securities in the Company (whether limited or general partners, members, stockholders or otherwise), and any Affiliate thereof, and (b) any director, officer, employee, Representative or agent of (i) the Company, or (ii) any Person who controls the Company. Except as provided in a binding agreement between any Company Affiliate and Parent, BMS and/or Merger Sub, no Company Affiliate shall have any liability or obligation to Parent, BMS and Merger Sub of any nature whatsoever in connection with or under this Agreement or the Transactions contemplated hereby or thereby, and Parent, BMS and Merger Sub hereby waive and release all claims of any such liability and obligation. Each of the following is herein referred to as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 (x) any direct or indirect holder of equity interests or securities in Parent (whether stockholders or otherwise) and any Affiliate thereof, and (y) any director, officer, employee, Representative or agent of (i) Parent or (ii) any Person who controls Parent. No Parent Affiliate shall have any liability or obligation to the Company of any nature whatsoever in connection with or under this Agreement or the transactions contemplated hereby or thereby, and the Company hereby waive and release all claims of any such liability and obligation.</w:t>
      </w:r>
    </w:p>
    <w:p>
      <w:pPr>
        <w:spacing w:after="0" w:line="11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Any Party may simultaneously pursue both the payment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the Parent Termination Fee, as applicable, and a grant of specific performance to consummate the Closing, but under no circumstances shall a Party be permitted or entitled to receive both the indefeasible payment in full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the Parent Termination Fee, as applicable, and a grant of specific performance to consummate the Closing.</w:t>
      </w:r>
    </w:p>
    <w:p>
      <w:pPr>
        <w:spacing w:after="0" w:line="13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9.13 Extension; Waiver. At any time prior to the Effective Time, the Company and Parent may, by action taken or authorized by their respective boards of directors, to the extent legally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8445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74" w:lineRule="exact"/>
        <w:rPr>
          <w:sz w:val="20"/>
          <w:szCs w:val="20"/>
          <w:color w:val="auto"/>
        </w:rPr>
      </w:pPr>
    </w:p>
    <w:p>
      <w:pPr>
        <w:ind w:left="2400" w:hanging="668"/>
        <w:spacing w:after="0"/>
        <w:tabs>
          <w:tab w:leader="none" w:pos="24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hereunder;</w:t>
      </w:r>
    </w:p>
    <w:p>
      <w:pPr>
        <w:spacing w:after="0" w:line="13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 hereto; or</w:t>
      </w:r>
    </w:p>
    <w:p>
      <w:pPr>
        <w:spacing w:after="0" w:line="80" w:lineRule="exact"/>
        <w:rPr>
          <w:rFonts w:ascii="Times New Roman" w:cs="Times New Roman" w:eastAsia="Times New Roman" w:hAnsi="Times New Roman"/>
          <w:sz w:val="18"/>
          <w:szCs w:val="18"/>
          <w:color w:val="auto"/>
        </w:rPr>
      </w:pPr>
    </w:p>
    <w:p>
      <w:pPr>
        <w:ind w:left="2420" w:hanging="688"/>
        <w:spacing w:after="0"/>
        <w:tabs>
          <w:tab w:leader="none" w:pos="24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one or more of Parent, Company, BMS or Merger Sub under this Agreement (whether for indemnification or otherwise) or of or for any claim based on, arising out of, or related to this Agreement or the transactions contemplated by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6"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all entities under common control with any Person within the meaning of Section 414 of the Code or Section 4001 of ERISA.</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Toronto, Ontario, Canada, the State of New York or the State of Delaware are authorized or obligated to be closed.</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B&amp;M Note</w:t>
      </w:r>
      <w:r>
        <w:rPr>
          <w:rFonts w:ascii="Times New Roman" w:cs="Times New Roman" w:eastAsia="Times New Roman" w:hAnsi="Times New Roman"/>
          <w:sz w:val="18"/>
          <w:szCs w:val="18"/>
          <w:color w:val="auto"/>
        </w:rPr>
        <w:t>” means that certain Promissory Note, dated as of March 28, 2023, between Stronghold Digital Mining Holdings, LLC, a Delaware limited liability company, and Bruce-Merrilees Electric Co.</w:t>
      </w:r>
    </w:p>
    <w:p>
      <w:pPr>
        <w:spacing w:after="0" w:line="10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means the securities Laws of each province and territory of Canada and the respective rules, regulations, instruments, blanket orders and blanket rulings and published policies, policy statements and notices of the Canadian Securities Regulators made thereunder.</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Regulators</w:t>
      </w:r>
      <w:r>
        <w:rPr>
          <w:rFonts w:ascii="Times New Roman" w:cs="Times New Roman" w:eastAsia="Times New Roman" w:hAnsi="Times New Roman"/>
          <w:sz w:val="18"/>
          <w:szCs w:val="18"/>
          <w:color w:val="auto"/>
        </w:rPr>
        <w:t>” means the securities commission or other similar regulatory authority of each province and territory of Canada.</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ATM Agreement</w:t>
      </w:r>
      <w:r>
        <w:rPr>
          <w:rFonts w:ascii="Times New Roman" w:cs="Times New Roman" w:eastAsia="Times New Roman" w:hAnsi="Times New Roman"/>
          <w:sz w:val="18"/>
          <w:szCs w:val="18"/>
          <w:color w:val="auto"/>
        </w:rPr>
        <w:t>” means that certain at-the-market offering agreement, dated May 23, 2023, by and between the Company and H.C. Wainwright &amp; Co., LLC.</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V Common Stock</w:t>
      </w:r>
      <w:r>
        <w:rPr>
          <w:rFonts w:ascii="Times New Roman" w:cs="Times New Roman" w:eastAsia="Times New Roman" w:hAnsi="Times New Roman"/>
          <w:sz w:val="18"/>
          <w:szCs w:val="18"/>
          <w:color w:val="auto"/>
        </w:rPr>
        <w:t>” means the Class V common stock, par value $0.0001 per share, of the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V Common Stock.</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October 27, 2022 (as amended by the First Amendment to Credit Agreement, dated as of February 6, 2023, the Second Amendment to Credit Agreement, dated as of March 28, 2023, and the Third Amendment to Credit Agreement, dated as of February 15, 2024), by and among Company Holdco, as borrower, the Company, Whitehawk Capital Partners LP, as administrative agent and collateral agent, and the other parties and lenders party thereto from time to time.</w:t>
      </w:r>
    </w:p>
    <w:p>
      <w:pPr>
        <w:spacing w:after="0" w:line="12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(i) the Company Omnibus Incentive Plan and (ii) the Company Amended and Restated 2021 Long Term Incentive Plan.</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w:t>
      </w:r>
      <w:r>
        <w:rPr>
          <w:rFonts w:ascii="Times New Roman" w:cs="Times New Roman" w:eastAsia="Times New Roman" w:hAnsi="Times New Roman"/>
          <w:sz w:val="18"/>
          <w:szCs w:val="18"/>
          <w:color w:val="auto"/>
        </w:rPr>
        <w:t>” means Stronghold Digital Mining Holdings LLC, a Delaware limited liability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LLC Agreement</w:t>
      </w:r>
      <w:r>
        <w:rPr>
          <w:rFonts w:ascii="Times New Roman" w:cs="Times New Roman" w:eastAsia="Times New Roman" w:hAnsi="Times New Roman"/>
          <w:sz w:val="18"/>
          <w:szCs w:val="18"/>
          <w:color w:val="auto"/>
        </w:rPr>
        <w:t>” means that certain Fifth Amended and Restated Limited Liability Company Agreement of Company Holdco.</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Units</w:t>
      </w:r>
      <w:r>
        <w:rPr>
          <w:rFonts w:ascii="Times New Roman" w:cs="Times New Roman" w:eastAsia="Times New Roman" w:hAnsi="Times New Roman"/>
          <w:sz w:val="18"/>
          <w:szCs w:val="18"/>
          <w:color w:val="auto"/>
        </w:rPr>
        <w:t>” means those certain Common Units, as defined in the Company Holdco LLC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the Company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“Company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“Company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w:t>
      </w:r>
    </w:p>
    <w:p>
      <w:pPr>
        <w:spacing w:after="0" w:line="8" w:lineRule="exact"/>
        <w:rPr>
          <w:sz w:val="20"/>
          <w:szCs w:val="20"/>
          <w:color w:val="auto"/>
        </w:rPr>
      </w:pPr>
    </w:p>
    <w:p>
      <w:pPr>
        <w:jc w:val="both"/>
        <w:ind w:left="460" w:right="459" w:hanging="6"/>
        <w:spacing w:after="0" w:line="251" w:lineRule="auto"/>
        <w:tabs>
          <w:tab w:leader="none" w:pos="81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Company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“Company Material Adverse Effect” has occurred or is reasonably expected to occur solely to the extent they are disproportionate.</w:t>
      </w:r>
    </w:p>
    <w:p>
      <w:pPr>
        <w:spacing w:after="0" w:line="12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Company Class A Common Stock that was issued under a Company Equity Plan.</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mean any restricted stock units and deferred restricted stock units granted under a Company Equity Plan.</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CoD</w:t>
      </w:r>
      <w:r>
        <w:rPr>
          <w:rFonts w:ascii="Times New Roman" w:cs="Times New Roman" w:eastAsia="Times New Roman" w:hAnsi="Times New Roman"/>
          <w:sz w:val="18"/>
          <w:szCs w:val="18"/>
          <w:color w:val="auto"/>
        </w:rPr>
        <w:t>” means the Certificate of Designations of the Company Series 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Preferred Stock</w:t>
      </w:r>
      <w:r>
        <w:rPr>
          <w:rFonts w:ascii="Times New Roman" w:cs="Times New Roman" w:eastAsia="Times New Roman" w:hAnsi="Times New Roman"/>
          <w:sz w:val="18"/>
          <w:szCs w:val="18"/>
          <w:color w:val="auto"/>
        </w:rPr>
        <w:t>” means the Series C Convertible Preferred Stock of the Company, par value $0.0001 per share.</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means the Series D Convertible Preferred Stock of the Company, par value $0.0001 per share.</w:t>
      </w:r>
    </w:p>
    <w:p>
      <w:pPr>
        <w:spacing w:after="0" w:line="81"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$5,000,000,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(i) those certain Stock Purchase Warrants, dated as of June 30, 2021, March 28, 2022, August 3, 2022 and October 27, 2022, respectively, by and between the Company and WhiteHawk Finance LLC; (ii) that certain Amended and Restated Class A Common Stock Warrant, dated as of May 15, 2022, amended as of August 16, 2022, by and between the Company and Parallaxes Capital Opportunity Fund IV, L.P.; (iii) that certain Common Stock Purchase Warrant, dated as of September 19, 2022, as amended as of April 20, 2023 and December 22, 2023, by and between the Company and Armistice Capital Master Fund Ltd.; (iv) that certain Pre-funded Common Stock Purchase Warrant, dated as of April 21, 2023, as amended as of December 22, 2023, by and between the Company and Armistice Capital Master Fund Ltd.; (v) that certain Pre-funded Common Stock Purchase Warrant, dated as of December 22, 2023, by and between the Company and Armistice Capital Master Fund Ltd.; (vi) that certain Common Stock Purchase Warrant, dated as of June 22, 2024, by and between the Company and Armistice Capital Master Fund Ltd.; (vii) that certain Series A Preferred Stock Warrant, dated as of April 1, 2021, by and between Company, B. Riley Securities, Inc. and American Stock Transfer &amp; Trust Company, LLC; (viii) that certain Series B Preferred Stock Warrant, dated as of May 14, 2021, by and between Company, B. Riley Securities, Inc. and American Stock Transfer &amp; Trust Company, LLC; (ix) that certain Common Stock Purchase Warrant, dated as of October 21, 2023, as amended as of January 29, 2024, by and between the Company and Gregory A. Beard; and (x) that certain Common Stock Purchase Warrant, dated as if September 19, 2022, as amended as of April 20, 2023 and January 29, 2024, by and between the Company and Gregory A. Beard.</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contract, proposal, offer or indication of interest relating to any transaction or series of related transactions (other than transactions only with Parent or any of its Subsidiaries) involving, directly or indirectly: (a) any acquisition (by asset purchase, stock purchase, merger, or otherwise) by any Person or group of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 or any license, lease or long-term supply agreement having a similar economic effect, (b) any acquisition of beneficial ownership by any Person or group of 15% or more of the outstanding shares of Company Common Stock or any other securities entitled to vote on the election of directors or any tender or exchange offer that if consummated would result in any Person or group beneficially owning 15% or more of the outstanding shares of Company Common Stock or any other securities entitled to vote on the election of directors or (c) any merger, consolidation, share exchange, business combination, recapitalization, liquidation, dissolution or similar transaction involving the Company or any of its Subsidiaries which is structured to permit any Person or group to acquire beneficial ownership of at least 15% of the Company’s equity interests or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w:t>
      </w:r>
    </w:p>
    <w:p>
      <w:pPr>
        <w:spacing w:after="0" w:line="11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filing, notice, report, registration, approval, consent, ratification, permission, waiver or authorization.</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w:t>
      </w:r>
    </w:p>
    <w:p>
      <w:pPr>
        <w:spacing w:after="0" w:line="12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right of first offer, purchase options, right of way, easements, encroachments, defects in title or other burdens, options or encumbrances of any kind or any other adverse rights or interests or claims of a similar nature in or on any asset, property or equity interests.</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pollution or protection of the environment, natural resource damages or Hazardous Materials.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14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multinational or supranational body exercising legislative, judicial or regulatory powers, (b) any nation, state, commonwealth, province, territory, county, municipality, district or other jurisdiction of any nature, (c) any federal, state, local, municipal, foreign or other government, governmental, regulatory or administrative division, department, agency, commission or other governmental authority or instrumentality, legislature, court or judicial or arbitral body, or (d) quasi-governmental, professional association or organization or private body exercising any executive, legislative, judicial, regulatory, taxing or other governmental functions or any stock exchange or self-regulatory organization, including PJM.</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158"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substance, waste, pollutant, or contaminant that is defined or listed as hazardous, toxic, a pollutant, a contaminant or words of similar import or that could otherwise form the basis of liability under any Environmental Law; and (b) any petroleum, petroleum by-products, per- and polyfluoroalkyl substances (including PFAs, PFOA, PFOS, Gen X, and PFBs), asbestos containing materials, whether in a friable or non-friable condition, polychlorinated biphenyls, urea formaldehyde or radon.</w:t>
      </w:r>
    </w:p>
    <w:p>
      <w:pPr>
        <w:spacing w:after="0" w:line="10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w:t>
      </w:r>
    </w:p>
    <w:p>
      <w:pPr>
        <w:spacing w:after="0" w:line="3" w:lineRule="exact"/>
        <w:rPr>
          <w:sz w:val="20"/>
          <w:szCs w:val="20"/>
          <w:color w:val="auto"/>
        </w:rPr>
      </w:pPr>
    </w:p>
    <w:p>
      <w:pPr>
        <w:jc w:val="both"/>
        <w:ind w:left="460" w:right="459" w:hanging="6"/>
        <w:spacing w:after="0" w:line="252" w:lineRule="auto"/>
        <w:tabs>
          <w:tab w:leader="none" w:pos="7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 any jurisdiction, any and all intellectual property, including</w:t>
      </w:r>
    </w:p>
    <w:p>
      <w:pPr>
        <w:spacing w:after="0" w:line="27" w:lineRule="exact"/>
        <w:rPr>
          <w:sz w:val="20"/>
          <w:szCs w:val="20"/>
          <w:color w:val="auto"/>
        </w:rPr>
      </w:pPr>
    </w:p>
    <w:p>
      <w:pPr>
        <w:jc w:val="both"/>
        <w:ind w:left="460" w:right="459" w:hanging="6"/>
        <w:spacing w:after="0" w:line="250" w:lineRule="auto"/>
        <w:tabs>
          <w:tab w:leader="none" w:pos="76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all related divisionals, continuations, continuations-in-part, reissues, extensions, substitutions and reexaminations, (b) trademarks, service marks, trade names, domain names and trade dress, and all registrations and applications for registration of the foregoing, together with the goodwill symbolized by any of the foregoing, (c) copyrights and copyrightable subject matter (whether registered or unregistered), and all registrations and applications for registration of the foregoing, (d) rights in software and</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other confidential or proprietary know-how, information, ideas, inventions, processes, formulae, models, data and methodologies.</w:t>
      </w:r>
    </w:p>
    <w:p>
      <w:pPr>
        <w:spacing w:after="0" w:line="11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development or change in circumstances that was not known to the Company Board, or if known, the consequences of which were not reasonably foreseeable as of the date of this Agreement, which event, change or development, or any consequence thereof, becomes known to the Company Board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or terms of a Competing Proposal or any matter relating thereto or consequence thereof constitute an Intervening Event.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computers, computer software, hardware, firmware, middleware, servers, workstations, routers, hubs, switches, data communications lines and all other information technology infrastructure, and all associated documentation used by the Company or its Subsidiaries in the operation of their respective businesses.</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Company Disclosure Letter and (b) in the case of Parent,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Parent Disclosure Letter, in each case, after reasonable investigation and inquiry by each such individual.</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rule, regulation, ordinance, code, judgment, order, treaty, convention, governmental directive or other legally enforceable requirement, U.S. or non-U.S., of any Governmental Entity, including common law.</w:t>
      </w:r>
    </w:p>
    <w:p>
      <w:pPr>
        <w:spacing w:after="0" w:line="95"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Value</w:t>
      </w:r>
      <w:r>
        <w:rPr>
          <w:rFonts w:ascii="Times New Roman" w:cs="Times New Roman" w:eastAsia="Times New Roman" w:hAnsi="Times New Roman"/>
          <w:sz w:val="18"/>
          <w:szCs w:val="18"/>
          <w:color w:val="auto"/>
        </w:rPr>
        <w:t>” means an amount in cash equal to the product of (a) the Exchange Ratio and (b) the volume-weighted average price of a Parent Common Share on the Nasdaq for the five (5) consecutive trading day period ending on the trading day immediately preceding (but not including) the Closing Date (as reported by Bloomberg L.P. or, if not reported therein, in another authoritative source mutually selected by Parent and the Company).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National Association of Securities Dealers Automated Quotations.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20"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means (a) when used with respect to the Company, Parent, BMS and Merger Sub, and (b) when used with respect to Parent, BMS or Merger Sub,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Plant</w:t>
      </w:r>
      <w:r>
        <w:rPr>
          <w:rFonts w:ascii="Times New Roman" w:cs="Times New Roman" w:eastAsia="Times New Roman" w:hAnsi="Times New Roman"/>
          <w:sz w:val="18"/>
          <w:szCs w:val="18"/>
          <w:color w:val="auto"/>
        </w:rPr>
        <w:t>” means the 80 MW coal refuse burning electric power generation facility located on a 33-acre site in the Borough of Nesquehoning, Carbon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ATM Agreement</w:t>
      </w:r>
      <w:r>
        <w:rPr>
          <w:rFonts w:ascii="Times New Roman" w:cs="Times New Roman" w:eastAsia="Times New Roman" w:hAnsi="Times New Roman"/>
          <w:sz w:val="18"/>
          <w:szCs w:val="18"/>
          <w:color w:val="auto"/>
        </w:rPr>
        <w:t>” means that certain at-the-market offering agreement, dated March 8, 2024, by and between Parent and H.C. Wainwright &amp; Co., LLC.</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the Parent Long-Term Incentive Plan dated effective April 16,</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124" w:lineRule="exact"/>
        <w:rPr>
          <w:sz w:val="20"/>
          <w:szCs w:val="20"/>
          <w:color w:val="auto"/>
        </w:rPr>
      </w:pPr>
    </w:p>
    <w:p>
      <w:pPr>
        <w:jc w:val="both"/>
        <w:ind w:left="460" w:right="459"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No Violations; Consents and Approvals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Parent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“Parent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“Parent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w:t>
      </w:r>
    </w:p>
    <w:p>
      <w:pPr>
        <w:spacing w:after="0" w:line="3" w:lineRule="exact"/>
        <w:rPr>
          <w:sz w:val="20"/>
          <w:szCs w:val="20"/>
          <w:color w:val="auto"/>
        </w:rPr>
      </w:pPr>
    </w:p>
    <w:p>
      <w:pPr>
        <w:jc w:val="both"/>
        <w:ind w:left="460" w:right="459" w:hanging="6"/>
        <w:spacing w:after="0" w:line="251" w:lineRule="auto"/>
        <w:tabs>
          <w:tab w:leader="none" w:pos="77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Parent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“Parent Material Adverse Effect” has occurred or is reasonably expected to occur solely to the extent they are disproportionate.</w:t>
      </w:r>
    </w:p>
    <w:p>
      <w:pPr>
        <w:spacing w:after="0" w:line="122"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any outstanding stock options to purchase Parent Common Shares issued under the Parent Equity Plan.</w:t>
      </w:r>
    </w:p>
    <w:p>
      <w:pPr>
        <w:spacing w:after="0" w:line="9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means all of the material Employee Benefit Plans sponsored, maintained, or contributed to by the Parent as of the date hereof.</w:t>
      </w:r>
    </w:p>
    <w:p>
      <w:pPr>
        <w:spacing w:after="0" w:line="81"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means any restricted share units and deferred restricted share units granted under the Parent Equity Plan.</w:t>
      </w:r>
    </w:p>
    <w:p>
      <w:pPr>
        <w:spacing w:after="0" w:line="9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$12,500,000,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w:t>
      </w:r>
    </w:p>
    <w:p>
      <w:pPr>
        <w:spacing w:after="0" w:line="139"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both"/>
        <w:ind w:left="460" w:right="459" w:firstLine="1938"/>
        <w:spacing w:after="0" w:line="258" w:lineRule="auto"/>
        <w:tabs>
          <w:tab w:leader="none" w:pos="30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waived by beneficiaries thereof prior to the Effective Time, preferential purchase rights, rights of first refusal, purchase options and similar rights granted pursuant to any contracts, including joint operating agreements, joint ownership agreements, participation agreements, development agreements, stockholders agreements, consents, organizational documents and other similar agreements and documents;</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vendor’s, repairmen’s, construction and carrier’s liens and other similar liens arising in the ordinary course of business for amounts not yet delinquent;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for Taxes or assessments or other governmental charges that are not yet delinquent or, if delinquent, that are being contested in good faith by appropriate Proceedings and for which adequate reserves have been established in accordance with GAAP;</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have expressly waived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300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Effective Time (including Encumbrances securing any Indebtedness (including, without limitation, Indebtedness under the Company Credit Agreement) that will be paid off in connection with Closing);</w:t>
      </w:r>
    </w:p>
    <w:p>
      <w:pPr>
        <w:spacing w:after="0" w:line="108"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entered into in the ordinary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zoning or other land use Laws to which the applicable real property is subject that are imposed or promulgated by any Governmental Entity and that are not materially violated by an existing improvement on such real property and do not materially and adversely interfere with the use thereof as presently used in the ordinary course;</w:t>
      </w:r>
    </w:p>
    <w:p>
      <w:pPr>
        <w:spacing w:after="0" w:line="98"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and without limiting the foregoing:</w:t>
      </w:r>
    </w:p>
    <w:p>
      <w:pPr>
        <w:spacing w:after="0" w:line="157" w:lineRule="exact"/>
        <w:rPr>
          <w:rFonts w:ascii="Times New Roman" w:cs="Times New Roman" w:eastAsia="Times New Roman" w:hAnsi="Times New Roman"/>
          <w:sz w:val="18"/>
          <w:szCs w:val="18"/>
          <w:color w:val="auto"/>
        </w:rPr>
      </w:pPr>
    </w:p>
    <w:p>
      <w:pPr>
        <w:jc w:val="both"/>
        <w:ind w:left="2400" w:right="459" w:firstLine="646"/>
        <w:spacing w:after="0" w:line="261" w:lineRule="auto"/>
        <w:tabs>
          <w:tab w:leader="none" w:pos="3662"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easements, rights of way, restrictions, restrictive covenants, encroachments, protrusions and other similar charges or encumbrances, defects and other irregularities in title that do not, and would not reasonably be expected to, materially impair the current use or occupancy of the real property;</w:t>
      </w:r>
    </w:p>
    <w:p>
      <w:pPr>
        <w:spacing w:after="0" w:line="112" w:lineRule="exact"/>
        <w:rPr>
          <w:rFonts w:ascii="Times New Roman" w:cs="Times New Roman" w:eastAsia="Times New Roman" w:hAnsi="Times New Roman"/>
          <w:sz w:val="18"/>
          <w:szCs w:val="18"/>
          <w:color w:val="auto"/>
        </w:rPr>
      </w:pPr>
    </w:p>
    <w:p>
      <w:pPr>
        <w:jc w:val="both"/>
        <w:ind w:left="2400" w:right="479" w:firstLine="646"/>
        <w:spacing w:after="0" w:line="258" w:lineRule="auto"/>
        <w:tabs>
          <w:tab w:leader="none" w:pos="369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that is occupied by a Party or its Subsidiaries pursuant to a lease, sublease, license or similar occupancy arrangement, any Encumbrance created by the applicable fee owner of such real property (provided that such fee owner is neither such Party nor any Subsidiary thereof) affecting solely such fee owner’s interest in such real property; and</w:t>
      </w:r>
    </w:p>
    <w:p>
      <w:pPr>
        <w:spacing w:after="0" w:line="102" w:lineRule="exact"/>
        <w:rPr>
          <w:rFonts w:ascii="Times New Roman" w:cs="Times New Roman" w:eastAsia="Times New Roman" w:hAnsi="Times New Roman"/>
          <w:sz w:val="18"/>
          <w:szCs w:val="18"/>
          <w:color w:val="auto"/>
        </w:rPr>
      </w:pPr>
    </w:p>
    <w:p>
      <w:pPr>
        <w:jc w:val="both"/>
        <w:ind w:left="2400" w:right="479" w:firstLine="646"/>
        <w:spacing w:after="0" w:line="261" w:lineRule="auto"/>
        <w:tabs>
          <w:tab w:leader="none" w:pos="369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disclosed on any survey or any title insurance commitment, report or policy as a specific exception from coverage, provided that</w:t>
      </w:r>
    </w:p>
    <w:p>
      <w:pPr>
        <w:jc w:val="both"/>
        <w:ind w:left="240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such survey or title insurance commitment, report or policy is disclosed on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of the Company Disclosure Letter and has been made available (including any applicable underlying documents referenced therein) to the other Parties prior to the date of this Agreement and (2) such Encumbrance would not reasonably be expected to materially interfere, either individually or in the aggregate, with the conduct of the respective businesses of the Company and its Subsidiaries in the ordinary course.</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 Delaware limited liability company, or any successor entity performing similar functions.</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Manual 14D</w:t>
      </w:r>
      <w:r>
        <w:rPr>
          <w:rFonts w:ascii="Times New Roman" w:cs="Times New Roman" w:eastAsia="Times New Roman" w:hAnsi="Times New Roman"/>
          <w:sz w:val="18"/>
          <w:szCs w:val="18"/>
          <w:color w:val="auto"/>
        </w:rPr>
        <w:t>” means PJM Manual 14D: Generator Operational Requirements, as may be revised by PJM from time to time.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Tariff</w:t>
      </w:r>
      <w:r>
        <w:rPr>
          <w:rFonts w:ascii="Times New Roman" w:cs="Times New Roman" w:eastAsia="Times New Roman" w:hAnsi="Times New Roman"/>
          <w:sz w:val="18"/>
          <w:szCs w:val="18"/>
          <w:color w:val="auto"/>
        </w:rPr>
        <w:t>” means the PJM Open Access Transmission Tariff as accepted for filing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FERC.</w:t>
      </w:r>
    </w:p>
    <w:p>
      <w:pPr>
        <w:spacing w:after="0" w:line="13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or notice of a violation of applicable Law), action, audit, litigation, suit, proceeding, demand, investigation, summons, subpoena, hearing, complaint, petition, grievance, citation, arbitration or other proceeding at law or in equity or order or ruling, in each case whether civil, criminal, administrative, investigative or otherwise, whether in contract, in tort or otherwise, and whether or not such claim, action, audit, litigation, suit, proceeding, demand, investigation, summons, subpoena, hearing, complaint, petition, grievance, citation, arbitration or other proceeding or order or ruling results in a formal civil or criminal litigation or regulatory action.</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as amended.</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 of Hazardous Materials into the indoor or outdoor environment.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person or entity identified on the U.S. Department of Commerce’s Denied Persons List, Unverified List or Entity List or the U.S. Department of State’s Debarred Parties List.</w:t>
      </w:r>
    </w:p>
    <w:p>
      <w:pPr>
        <w:spacing w:after="0" w:line="108"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or the United Nations Security Council; (b) any Person listed on any Sanctions-related list maintained by the Government of Canada, including the Consolidated Canadian Autonomous Sanctions List and List of Terrorist Entities; (c) the Government of Venezuela or any Person that is located, organized, or resident in a Sanctioned Territory; (d) any Person otherwise subject to Sanctions; or (e) any Person owned or controlled by any such Person or Persons described in the foregoing clauses (a)-(d).</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comprehensive Sanctions (at the time of this Agreement, Cuba, Iran, North Korea, Syria, and the Crimea, Donetsk, Luhansk, Kherson, or Zaporizhzhia regions of Ukraine).</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but not limited to OFAC, the U.S. Department of State, Global Affairs Canada or Public Safety Canada.</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Plant</w:t>
      </w:r>
      <w:r>
        <w:rPr>
          <w:rFonts w:ascii="Times New Roman" w:cs="Times New Roman" w:eastAsia="Times New Roman" w:hAnsi="Times New Roman"/>
          <w:sz w:val="18"/>
          <w:szCs w:val="18"/>
          <w:color w:val="auto"/>
        </w:rPr>
        <w:t>” means the 85 MW coal refuse burning electric power generation facility located on a 670-acre site in Scrubgrass Township, Venango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the System for Electronic Document Analysis and Retrieval + maintained by the Canadian Securities Regulators.</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means (i) that certain Master Equipment Financing Agreement, dated as of June 25, 2021, by and between Stronghold Digital Mining LLC, a Delaware limited liability company, and NYDIG ABL LLC, a Delaware limited liability company and (ii) that certain Master Equipment Financing Agreement, dated as of December 15, 2021, by and between Stronghold Digital Mining BT, LLC, a Delaware limited liability company, and NYDIG ABL LLC, a Delaware limited liability company, each as amended, restated, amended and restated, supplemented, refinanced or otherwise modified from time to time.</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00"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Competing Proposal submitted to the Company after the date hereof by any Person or group (other than Parent or any of its Affiliates) that in the good faith determination of the Company Board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the Company’s stockholders than the Transactions. For purposes of the reference to a “Competing Proposal” in this definition, all references to “15%” in the definition of “Competing Proposal” will be deemed to refer to “50%.”</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assessments, and other governmental charges in the nature of a tax imposed by any Governmental Entity, including income, profits, gross receipts, employment, stamp, occupation, premium, alternative or add-on minimum, ad valorem, property, transfer, value added, sales, use, customs, duties, capital stock, franchise, excise, withholding, social security (or similar), unemployment, disability, payroll, windfall profit, severance, production, estimated or other tax, duty or assessment in the nature of a tax imposed by a Governmental Entity, including any interest, penalty or addition thereto.</w:t>
      </w:r>
    </w:p>
    <w:p>
      <w:pPr>
        <w:spacing w:after="0" w:line="120"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entered into between the Company, Q Power LLC and an agent named by Q Power LLC, dated April 1, 2021, as amended by that certain Joinder to Tax Receivable Agreement effective as of November 9, 2022, whereby William Spence became a party thereto.</w:t>
      </w:r>
    </w:p>
    <w:p>
      <w:pPr>
        <w:spacing w:after="0" w:line="9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any amendment thereof, filed or required to be filed with any Taxing Authority.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U.S. Internal Revenue Service and any other Governmental Entity responsible for the imposition, administration or collection of Taxes.</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 and each other agreement to be executed and delivered in connection herewith and therewith.</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of a Person means bonds, debentures, notes or other Indebtedness having the right to vote (or convertible into securities having the right to vote) on any matters on which stockholders of such Person may vote.</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(or the committing of a material breach) of this Agreement that is a consequence of a purposeful act or failure to take an act by the breaching party with the knowledge that the taking of such act (or the failure to take such act) may constitute a material breach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w:t>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with and into</w:t>
      </w:r>
    </w:p>
    <w:p>
      <w:pPr>
        <w:spacing w:after="0" w:line="1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 Section 251 of the General Corporation Law of the State of Delaware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2024</w:t>
      </w:r>
    </w:p>
    <w:p>
      <w:pPr>
        <w:spacing w:after="0" w:line="15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HPC &amp; AI Megacorp,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does hereby certify:</w:t>
      </w:r>
    </w:p>
    <w:p>
      <w:pPr>
        <w:spacing w:after="0" w:line="108"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jurisdiction of organization, state of domicile and type of entity of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entities to the Merger are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Jurisdiction of Organization and State of Domicile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Entity</w:t>
            </w:r>
          </w:p>
        </w:tc>
      </w:tr>
      <w:tr>
        <w:trPr>
          <w:trHeight w:val="47"/>
        </w:trPr>
        <w:tc>
          <w:tcPr>
            <w:tcW w:w="2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HPC &amp; AI Megacorp, Inc.</w:t>
            </w:r>
          </w:p>
        </w:tc>
        <w:tc>
          <w:tcPr>
            <w:tcW w:w="1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r>
        <w:trPr>
          <w:trHeight w:val="27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194"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An Agreement and Plan of Merger by and among Bitfarms Ltd., Backbone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LLC, Merger Sub and the Company, dated as of August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executed and acknowledged by each constituent entity with respect to the Merger in accordance with Section 251 of the DGCL.</w:t>
      </w:r>
    </w:p>
    <w:p>
      <w:pPr>
        <w:spacing w:after="0" w:line="109"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Upon the effectiveness of the Merger the separate existence of Merger Sub shall cease,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the surviving corporation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The name of the Surviving Entity shall be “Stronghold Digital Mining, Inc.”</w:t>
      </w:r>
    </w:p>
    <w:p>
      <w:pPr>
        <w:spacing w:after="0" w:line="103"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Upon the effectiveness of the Merger, the certificate of incorporation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shall be amended and restated in its 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An executed copy of the Merger Agreement is on file at the office of the Surviving Entity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850 New Burton Road, Suite 201, County of Kent, Dover, DE 19904.</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An executed copy of the Merger Agreement will be furnished by the Surviving Entity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without cost, to any stockholder of the constituent corporations.</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upon the filing of this Certificate of Merger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Delaware in accordance with the DGCL.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Certificate of Merger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51435</wp:posOffset>
            </wp:positionV>
            <wp:extent cx="21863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name of the corporation is Stronghold Digital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850 New Burton Road, Suite 201, County of Kent, Dover DE, 19904. The name of the Corporation’s registered agent at that address is Cogeny Global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cs="Times New Roman" w:eastAsia="Times New Roman" w:hAnsi="Times New Roman"/>
          <w:sz w:val="18"/>
          <w:szCs w:val="18"/>
          <w:u w:val="single" w:color="auto"/>
          <w:color w:val="auto"/>
        </w:rPr>
        <w:t>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all of which shall be Common Stock, $ 0.01 par value per share.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Corporation shall have the power to adopt, amend or repeal Bylaws of the Corporation.</w:t>
      </w:r>
    </w:p>
    <w:p>
      <w:pPr>
        <w:spacing w:after="0" w:line="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Election of directors need not be by written ballot unless the Bylaws of the Corporation shall so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GCL; or (iv) a director or Officer for any transaction from which the director or Officer derived an improper personal benefit or (v) an Officer in any action by or in the right of the Corporation. Any amendment, repeal or elimination of this Article VII shall not affect its application with respect to an act or omission by a director or Officer occurring before such amendment, repeal or elimination. All references in this Article VII to an “Officer” shall mean only a person who, at the time of an act or omission as to which liability is asserted, falls within the meaning of the term “officer,” as defined in Section 102(b)(7) of the GCL.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any of its subsidiaries or is or was serving at the request of the Corporation or any of its subsidiaries as a director or officer of another corporation, partnership, limited liability company, joint venture, trust or other enterprise, as applicable, or by reason of anything done or not done by such person in any such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shall be indemnified and held harmless by the Corporation to the fullest extent authorized or permitted by applicable law, as the same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exists or may hereafter be amended, against all losses, claims, damages, costs, fines, penalties, expenses (including attorneys’ and other professionals’ fees and expenses), liabilities or judgments or amounts that are paid in settlement, of or incurred by such Covered Person in connection with such proceeding, and such right to indemnification shall continue as to a person who has ceased to be a director or officer; provided, however, that, except for proceedings to enforce rights to indemnification, the Corporation shall indemnify a Covered Person in connection with a proceeding (or part thereof) initiated by such Covered Person only if such proceeding (or part thereof) was authorized by the Board of Directors of the Corporation. The right to indemnification conferred by this Article VIII shall be a contract right and shall include the right to be paid by the Corporation the expenses incurred in defending or otherwise participating in any such proceeding in advance of its final disposition.</w:t>
      </w:r>
    </w:p>
    <w:p>
      <w:pPr>
        <w:spacing w:after="0" w:line="127"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on any Covered Person by this Article VIII shall not be exclusive of any other rights which any Covered Person may have or hereafter acquire under law, this Certificate of Incorporation, the Bylaws of the Corporation, an agreement, vote of stockholders or disinterested directors, or otherwise.</w:t>
      </w:r>
    </w:p>
    <w:p>
      <w:pPr>
        <w:spacing w:after="0" w:line="10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provide broader indemnification rights on a retroactive basis than permitted prior thereto), and will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This Article VIII shall not limit the right of the Corporation, to the extent and in the manner authorized or permitted by law, to indemnify and to advance expenses to persons other than Covered Persons.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A-2</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NO. 1 TO THE AGREEMENT AND PLAN OF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AMENDMENT NO. 1 TO THE AGREEMENT AND PLAN OF MERGER, dated as of September 12,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Bitfarms Ltd., a corporation organized under the Business Corporations Act (Ontario)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of Parent, BMS, Merger Sub, and the Company are referred to herein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together as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on August 21, 2024, the Parties entered into the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9.12 of the Merger Agreement, the Parties desire to amend the Merger Agreement as set forth herein.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hereby agree as follows:</w:t>
      </w:r>
    </w:p>
    <w:p>
      <w:pPr>
        <w:spacing w:after="0" w:line="90" w:lineRule="exact"/>
        <w:rPr>
          <w:sz w:val="20"/>
          <w:szCs w:val="20"/>
          <w:color w:val="auto"/>
        </w:rPr>
      </w:pPr>
    </w:p>
    <w:p>
      <w:pPr>
        <w:ind w:left="460" w:right="479" w:firstLine="1290"/>
        <w:spacing w:after="0" w:line="286" w:lineRule="auto"/>
        <w:tabs>
          <w:tab w:leader="none" w:pos="239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Each capitalized term used but not otherwise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ascribed to such term in the Merger Agreement, as amended hereby.</w:t>
      </w:r>
    </w:p>
    <w:p>
      <w:pPr>
        <w:spacing w:after="0" w:line="87"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u w:val="single" w:color="auto"/>
          <w:color w:val="auto"/>
        </w:rPr>
        <w:t>.</w:t>
      </w:r>
    </w:p>
    <w:p>
      <w:pPr>
        <w:spacing w:after="0" w:line="148" w:lineRule="exact"/>
        <w:rPr>
          <w:sz w:val="20"/>
          <w:szCs w:val="20"/>
          <w:color w:val="auto"/>
        </w:rPr>
      </w:pPr>
    </w:p>
    <w:p>
      <w:pPr>
        <w:ind w:left="460" w:right="459" w:firstLine="1290"/>
        <w:spacing w:after="0" w:line="282" w:lineRule="auto"/>
        <w:tabs>
          <w:tab w:leader="none" w:pos="2361"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4.2(a) of the Merger Agreement is hereby amended and restated to read as follows:</w:t>
      </w:r>
    </w:p>
    <w:p>
      <w:pPr>
        <w:spacing w:after="0" w:line="94" w:lineRule="exact"/>
        <w:rPr>
          <w:sz w:val="20"/>
          <w:szCs w:val="20"/>
          <w:color w:val="auto"/>
        </w:rPr>
      </w:pPr>
    </w:p>
    <w:p>
      <w:pPr>
        <w:jc w:val="both"/>
        <w:ind w:left="1760" w:right="479" w:firstLine="693"/>
        <w:spacing w:after="0" w:line="258" w:lineRule="auto"/>
        <w:rPr>
          <w:sz w:val="20"/>
          <w:szCs w:val="20"/>
          <w:color w:val="auto"/>
        </w:rPr>
      </w:pPr>
      <w:r>
        <w:rPr>
          <w:rFonts w:ascii="Times New Roman" w:cs="Times New Roman" w:eastAsia="Times New Roman" w:hAnsi="Times New Roman"/>
          <w:sz w:val="18"/>
          <w:szCs w:val="18"/>
          <w:color w:val="auto"/>
        </w:rPr>
        <w:t>“As of the date of this Agreement, the authorized capital stock of the Company consists of (i) 238,000,000 shares of Company Class A Common Stock, (ii) 50,000,000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2360" w:hanging="610"/>
        <w:spacing w:after="0"/>
        <w:tabs>
          <w:tab w:leader="none" w:pos="23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6.1(b)(ii) of the Merger Agreement is hereby amended and restated to read 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follows:</w:t>
      </w:r>
    </w:p>
    <w:p>
      <w:pPr>
        <w:spacing w:after="0" w:line="126" w:lineRule="exact"/>
        <w:rPr>
          <w:sz w:val="20"/>
          <w:szCs w:val="20"/>
          <w:color w:val="auto"/>
        </w:rPr>
      </w:pPr>
    </w:p>
    <w:p>
      <w:pPr>
        <w:jc w:val="both"/>
        <w:ind w:left="1760" w:right="459" w:firstLine="621"/>
        <w:spacing w:after="0" w:line="251" w:lineRule="auto"/>
        <w:rPr>
          <w:sz w:val="20"/>
          <w:szCs w:val="20"/>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upon the exercise of any Company Options; (D) the issuance of Company Common Stock upon the conversion of any Company Preferred Stock; (E) the issuance of Company Common Stock upon the exercise of any Company Warrants in accordance with the terms of the applicable warrant agreement; (F) issuances by a wholly-owned Subsidiary of the Company or Company Holdco of such Subsidiary’s capital stock or other equity interests to the Company or Company Holdco or any other wholly-owned Subsidiary of the Company or Company Holdco; and (G) issuances of any Company Common Stock in connection with a redemption of Company Holdco Units in accordance with the Company Holdco LLC Agreement (for the avoidance of doubt, the filing of a registration statement by the Company shall not be deemed as a breach of this </w:t>
      </w:r>
      <w:r>
        <w:rPr>
          <w:rFonts w:ascii="Times New Roman" w:cs="Times New Roman" w:eastAsia="Times New Roman" w:hAnsi="Times New Roman"/>
          <w:sz w:val="18"/>
          <w:szCs w:val="18"/>
          <w:u w:val="single" w:color="auto"/>
          <w:color w:val="auto"/>
        </w:rPr>
        <w:t>Section 6.1(b)</w:t>
      </w:r>
    </w:p>
    <w:p>
      <w:pPr>
        <w:spacing w:after="0" w:line="10" w:lineRule="exact"/>
        <w:rPr>
          <w:sz w:val="20"/>
          <w:szCs w:val="20"/>
          <w:color w:val="auto"/>
        </w:rPr>
      </w:pPr>
    </w:p>
    <w:p>
      <w:pPr>
        <w:ind w:left="1760" w:right="459" w:firstLine="8"/>
        <w:spacing w:after="0" w:line="260" w:lineRule="auto"/>
        <w:tabs>
          <w:tab w:leader="none" w:pos="2038" w:val="left"/>
        </w:tabs>
        <w:numPr>
          <w:ilvl w:val="0"/>
          <w:numId w:val="3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so long as the Company does not issue any equity interests pursuant to such registration statement without Parent’s prior written consent);”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1290"/>
        <w:spacing w:after="0" w:line="282" w:lineRule="auto"/>
        <w:tabs>
          <w:tab w:leader="none" w:pos="236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in Annex A of the Merger Agreement is hereby amended and restated to read as follows:</w:t>
      </w:r>
    </w:p>
    <w:p>
      <w:pPr>
        <w:spacing w:after="0" w:line="92" w:lineRule="exact"/>
        <w:rPr>
          <w:sz w:val="20"/>
          <w:szCs w:val="20"/>
          <w:color w:val="auto"/>
        </w:rPr>
      </w:pPr>
    </w:p>
    <w:p>
      <w:pPr>
        <w:jc w:val="both"/>
        <w:ind w:left="1760" w:right="459" w:firstLine="60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$12,500,000,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the Deposit (as defined in the Hosting Agreement) held by the Company and not yet returned to Parent under the Hosting Agreement as of the date of the termination of this Agreement up to a maximum of $5,000,000, payable in cash and/or Bitcoin as elected by Parent.”</w:t>
      </w:r>
    </w:p>
    <w:p>
      <w:pPr>
        <w:spacing w:after="0" w:line="114" w:lineRule="exact"/>
        <w:rPr>
          <w:sz w:val="20"/>
          <w:szCs w:val="20"/>
          <w:color w:val="auto"/>
        </w:rPr>
      </w:pPr>
    </w:p>
    <w:p>
      <w:pPr>
        <w:ind w:left="460" w:right="479" w:firstLine="1290"/>
        <w:spacing w:after="0" w:line="282" w:lineRule="auto"/>
        <w:tabs>
          <w:tab w:leader="none" w:pos="237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is hereby added to Annex A of the Merger Agreement immediately above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to read as follows:</w:t>
      </w:r>
    </w:p>
    <w:p>
      <w:pPr>
        <w:spacing w:after="0" w:line="81" w:lineRule="exact"/>
        <w:rPr>
          <w:sz w:val="20"/>
          <w:szCs w:val="20"/>
          <w:color w:val="auto"/>
        </w:rPr>
      </w:pPr>
    </w:p>
    <w:p>
      <w:pPr>
        <w:ind w:left="1760" w:right="479" w:firstLine="60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Parent.”</w:t>
      </w:r>
    </w:p>
    <w:p>
      <w:pPr>
        <w:spacing w:after="0" w:line="94" w:lineRule="exact"/>
        <w:rPr>
          <w:sz w:val="20"/>
          <w:szCs w:val="20"/>
          <w:color w:val="auto"/>
        </w:rPr>
      </w:pPr>
    </w:p>
    <w:p>
      <w:pPr>
        <w:jc w:val="both"/>
        <w:ind w:left="460" w:right="459" w:firstLine="1290"/>
        <w:spacing w:after="0" w:line="266" w:lineRule="auto"/>
        <w:tabs>
          <w:tab w:leader="none" w:pos="236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of Schedule 6.1(b)(ii) of the Company Disclosure Letter is hereby removed in its entirety and shall be deemed null and void, as though it had never been included in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-313055</wp:posOffset>
            </wp:positionV>
            <wp:extent cx="8629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84" w:lineRule="exact"/>
        <w:rPr>
          <w:sz w:val="20"/>
          <w:szCs w:val="20"/>
          <w:color w:val="auto"/>
        </w:rPr>
      </w:pPr>
    </w:p>
    <w:p>
      <w:pPr>
        <w:jc w:val="both"/>
        <w:ind w:left="460" w:right="459" w:firstLine="1290"/>
        <w:spacing w:after="0" w:line="254" w:lineRule="auto"/>
        <w:tabs>
          <w:tab w:leader="none" w:pos="238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and Effect on the Merger Agreement</w:t>
      </w:r>
      <w:r>
        <w:rPr>
          <w:rFonts w:ascii="Times New Roman" w:cs="Times New Roman" w:eastAsia="Times New Roman" w:hAnsi="Times New Roman"/>
          <w:sz w:val="18"/>
          <w:szCs w:val="18"/>
          <w:color w:val="auto"/>
        </w:rPr>
        <w:t>. On and after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reference in the Merger Agreement to “this Agreement,” “herein,” “hereby,” “hereunder,” “hereof,” or words of similar import referring to the Merger Agreement, and any reference to the Merger Agreement in any other agreements, instruments and documents executed and delivered in connection therewith, shall mean the Merger Agreement as amended by this Amendment. The provisions set forth in this Amendment shall be deemed to be and shall be construed as part of the Merger Agreement to the same extent as if fully set forth verbatim therein. All references in the Merger Agreement, as amended by this Amendment, to “the date hereof,” “the date of this Agreement” and words of similar import, and all references to the date of the Merger Agreement in any other agreements, instruments and documents executed and delivered in connection therewith, shall in all instances continue to refer to August 21, 2024.</w:t>
      </w:r>
    </w:p>
    <w:p>
      <w:pPr>
        <w:spacing w:after="0" w:line="104" w:lineRule="exact"/>
        <w:rPr>
          <w:rFonts w:ascii="Times New Roman" w:cs="Times New Roman" w:eastAsia="Times New Roman" w:hAnsi="Times New Roman"/>
          <w:sz w:val="18"/>
          <w:szCs w:val="18"/>
          <w:color w:val="auto"/>
        </w:rPr>
      </w:pPr>
    </w:p>
    <w:p>
      <w:pPr>
        <w:ind w:left="460" w:right="479" w:firstLine="1290"/>
        <w:spacing w:after="0" w:line="286" w:lineRule="auto"/>
        <w:tabs>
          <w:tab w:leader="none" w:pos="242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Except as expressly amended by this Amendment,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shall remain unchanged and continue in full force and effect.</w:t>
      </w:r>
    </w:p>
    <w:p>
      <w:pPr>
        <w:spacing w:after="0" w:line="87" w:lineRule="exact"/>
        <w:rPr>
          <w:rFonts w:ascii="Times New Roman" w:cs="Times New Roman" w:eastAsia="Times New Roman" w:hAnsi="Times New Roman"/>
          <w:sz w:val="18"/>
          <w:szCs w:val="18"/>
          <w:color w:val="auto"/>
        </w:rPr>
      </w:pPr>
    </w:p>
    <w:p>
      <w:pPr>
        <w:jc w:val="both"/>
        <w:ind w:left="460" w:right="479" w:firstLine="1290"/>
        <w:spacing w:after="0" w:line="268" w:lineRule="auto"/>
        <w:tabs>
          <w:tab w:leader="none" w:pos="238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Miscellaneous Terms</w:t>
      </w:r>
      <w:r>
        <w:rPr>
          <w:rFonts w:ascii="Times New Roman" w:cs="Times New Roman" w:eastAsia="Times New Roman" w:hAnsi="Times New Roman"/>
          <w:sz w:val="18"/>
          <w:szCs w:val="18"/>
          <w:color w:val="auto"/>
        </w:rPr>
        <w:t>. The provisions of Article IX of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and to the Merger Agreement as modified by this Amendment, taken together as a single agreement, reflecting the terms therein as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-314325</wp:posOffset>
            </wp:positionV>
            <wp:extent cx="13411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BITFARMS LTD.</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HPC &amp; AI MEGACORP,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Class A common stock, par value $0.0001 per share, and/or Class V common stock, par value $0.0001 per share (collectively,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WHEREAS, each Holder is the beneficial owner (as defined in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of the number of shares of Company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 together with any additional shares of Company Common Stock over which such Holder acquires record or beneficial ownership (as defined in Rule 13d-3 under the Exchange Act) after the date hereof by means of purchase, dividend or distribution, issuance upon the exercise of any warrants, options or other rights to acquire Company Common Stock or the conversion of any convertible securities, vesting of equity awards or otherwise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1"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inducement to Parent’s willingness to enter into the Merger Agreement, the Holders have agreed to enter into this Agreement.</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Holder hereby irrevocably and unconditionally agrees that, from the date of this Agreement and until the Expiration Time (as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at any meeting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however called, or in connection with any written consent of the Company Stockholders, each Holder (in such capacity and not in any other capacity) will (i) appear at the Company Stockholders Meeting or otherwise cause all of the Shares owned by such Holder (whether beneficially (as defined in Rule 13d-3 under the Exchange Act) or of record) to be counted as present for purposes of calculating a quorum and (ii) vote or cause to be voted (including by proxy or written consent, if applicable) all of the Shares owned by such Holder (whether beneficially (as defined in Rule 13d-3 under the Exchange Act) or of record):</w:t>
      </w:r>
    </w:p>
    <w:p>
      <w:pPr>
        <w:spacing w:after="0" w:line="127" w:lineRule="exact"/>
        <w:rPr>
          <w:sz w:val="20"/>
          <w:szCs w:val="20"/>
          <w:color w:val="auto"/>
        </w:rPr>
      </w:pPr>
    </w:p>
    <w:p>
      <w:pPr>
        <w:ind w:left="460" w:right="479" w:firstLine="1335"/>
        <w:spacing w:after="0" w:line="282" w:lineRule="auto"/>
        <w:tabs>
          <w:tab w:leader="none" w:pos="2405"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460" w:right="459" w:firstLine="1308"/>
        <w:spacing w:after="0" w:line="261" w:lineRule="auto"/>
        <w:tabs>
          <w:tab w:leader="none" w:pos="238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such Company Stockholders Meeting to a later date if there are not sufficient votes to approve the Merger and the other transactions contemplated by the Merger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308"/>
        <w:spacing w:after="0" w:line="266" w:lineRule="auto"/>
        <w:tabs>
          <w:tab w:leader="none" w:pos="2378"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66" w:lineRule="auto"/>
        <w:tabs>
          <w:tab w:leader="none" w:pos="2362"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(clauses (a) through (d)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Votes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require any Holder to be present (in person or by proxy) or vote (or cause to be voted), or give written consent (or cause written consent to be given) covering, any of the Shares to amend, modify or waive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Notwithstanding anything to the contrary in this Agreement, each Holder shall remain free to vote (or execute consents or proxies with respect to) the Shares with respect to any matter other than the Required Votes in any manner such Holder deems appropriate, including in connection with the election of directors of the Company.</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it shall not, directly or indirectly, except in connection with the consummation of the Merger or the Exchanges, (a) sell, transfer, assign, tender in any tender or exchange offer, pledge, encumber, hypothecate or similarly dispose of (by merger, by testamentary disposition, by operation of law or otherwise), either voluntarily or involuntarily, or enter into any contract, option or other arrangement or understanding with respect to the sale, transfer, assignment, pledge, lien, hypothecation, rehypothecation or other disposition of (by merger, by testamentary disposition, by operation of Law or otherwise) (together, “Transfer”), any Shares owned by such Holder (whether beneficially (as defined in Rule 13d-3 under the Exchange Act) or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-984885</wp:posOffset>
            </wp:positionV>
            <wp:extent cx="1153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jc w:val="both"/>
        <w:ind w:left="460" w:right="459" w:hanging="6"/>
        <w:spacing w:after="0" w:line="251" w:lineRule="auto"/>
        <w:tabs>
          <w:tab w:leader="none" w:pos="75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Shares owned by such Holder (whether beneficially (as defined in Rule 13d-3 under the Exchange Act) or of record) into a voting trust or enter into a voting agreement or arrangement or grant any proxy, consent or power of attorney with respect thereto other than, and that is inconsistent with, this Agreement, (c) agree (regardless of whether in writing) to take any of the actions referred to in the foregoing clause (a) or (b), or (d) take any action or agree to take any action that is otherwise inconsistent with, or would interfere with, or prohibit or prevent such Holder from satisfying, its obligations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Holder may: (x) Transfer Shares to one or more Affiliates or a trust established for the benefit of the Holder or any of its Affiliates who (i) is a party to an agreement with Parent with substantially identical terms as this Agreement or (ii) if, as a condition to such Transfer, the recipient agrees in writing to be bound by this Agreement and delivers a copy of such executed written agreement to Parent prior to the consummation of such transfer; or (y) Transfer Shares with Parent’s prior written consent. Nothing in this Agreement shall prohibit direct or indirect transfers of equity or other interests in a Holder as long as such Holder continues to be bound by this Agreement following any such transfer. Any Transfer or attempted Transfer of any Shares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to the fullest extent permissible under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Shares shall occur, the transferee (which term, as used herein, shall include any and all transferees and subsequent transferees of the initial transferee) shall take and hold such Shares subject to all of the restrictions, liabilities and rights under this Agreement, which shall continue in full force and effect until the valid termination of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SOLICITATION; CAPACITY; CHANGES IN CAPITAL STOCK</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Holder will (and it shall cause its Subsidiaries and controlled Affiliates and shall instruct and use its reasonable commercial efforts to cause its and their respective Representatives to), immediately cease and cause to be terminated any discussions or negotiations with any Person (other than Parent) conducted heretofore with respect to a Competing Proposal. Prior to the Expiration Time, no Holder shall (and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shall cause its Subsidiaries and controlled Affiliates and shall instruct and use its reasonable commercial efforts to cause its and their respective Representatives not to) directly or indirectly, (a) initiate, solicit, knowingly encourage or knowingly facilitate the submission of any Competing Proposal, (b) participate in any negotiations regarding, or furnish to any Person (other than Parent, Merger Sub or any of their respective designees) any non-public information with respect to a Competing Proposal or (c) otherwise take any action that would violate Section 6.3 of the Merger Agreement if such Holder were deemed to be the Company for purposes of Section 6.3 of the Merger Agreement. Nothing in this Agreement shall prohibit any Holder or any of its Representatives from taking any action that the Company or its Representatives are permitted to take under Section 6.3 of the Merger Agreement. For purposes of this Agreement, the term “Affiliate” shall have the meaning assigned to it in the Merger Agreement, but, for the avoidance of doubt, for purposes of this Agreement, none of the Company, any of its Subsidiaries, Parent and Merger Sub shall be deemed to be an Affiliate of any Holder.</w:t>
      </w:r>
    </w:p>
    <w:p>
      <w:pPr>
        <w:spacing w:after="0" w:line="12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Each Holder is entering into this Agreement solely in its capacity as the record or beneficial owner (as defined in Rule 13d-3 under the Exchange Act) of the Shares and nothing herein is intended to or shall limit or affect any actions taken by such Holder or any of such Holder’s designees serving in his or her capacity as a director of the Company (or a Subsidiary of the Company). The taking of any actions (or failures to act) by each Holder or such Holder’s designees serving as a director of the Company (in such capacity as a director) shall not be deemed to constitute a breach of this Agreement.</w:t>
      </w:r>
    </w:p>
    <w:p>
      <w:pPr>
        <w:spacing w:after="0" w:line="120"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Changes in Capital Stock</w:t>
      </w:r>
      <w:r>
        <w:rPr>
          <w:rFonts w:ascii="Times New Roman" w:cs="Times New Roman" w:eastAsia="Times New Roman" w:hAnsi="Times New Roman"/>
          <w:sz w:val="18"/>
          <w:szCs w:val="18"/>
          <w:color w:val="auto"/>
        </w:rPr>
        <w:t>. In the event of any change in the Company’s capital stock by reason of any stock split, reverse stock split, subdivision, combination, recapitalization, reclassification, exchange of shares or the like, the terms “Shares” with respect to a Holder shall be deemed to refer to and include the Shares initially subject to this Agreement as well as all such additional shares of Company Common Stock acquired or received by such Holder in connection with any such transaction referred to above and any securities into which or for which any or all of the Shares may be changed or exchanged or which are received in such transaction. Each Holder hereby agrees to promptly notify Parent in writing of any acquisition of New Shares by such Holder (including notice of the number of any New Shares acquired) after the date of this Agreement and prior to the Expiration Date and that any New Shares shall automatically be subject to the applicable terms of this Agreement as though owned by such Holder on the date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HOLDERS; APPRAISAL RIGHTS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3.1 Representations and Warranties. Each Holder severally and not jointly represents and warrants to Parent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27"/>
        <w:spacing w:after="0" w:line="282" w:lineRule="auto"/>
        <w:tabs>
          <w:tab w:leader="none" w:pos="2388"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80" w:lineRule="exact"/>
        <w:rPr>
          <w:rFonts w:ascii="Times New Roman" w:cs="Times New Roman" w:eastAsia="Times New Roman" w:hAnsi="Times New Roman"/>
          <w:sz w:val="18"/>
          <w:szCs w:val="18"/>
          <w:color w:val="auto"/>
        </w:rPr>
      </w:pPr>
    </w:p>
    <w:p>
      <w:pPr>
        <w:jc w:val="both"/>
        <w:ind w:left="460" w:right="459" w:firstLine="1227"/>
        <w:spacing w:after="0" w:line="253" w:lineRule="auto"/>
        <w:tabs>
          <w:tab w:leader="none" w:pos="235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has, and at all times during the term of this Agreement will continue to have, (i) sole record or beneficial ownership (as defined in Rule 13d-3 under the Exchange Act) of and good and valid title to the Shares and (ii) with respect to the Shares, full and exclusive power to vote, issue instructions with respect to the matters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agree to all of the matters set forth in this Agreement. The Existing Shares constitute all of the shares of Company Common Stock owned of record or beneficially (as defined in Rule 13d-3 under the Exchange Act) by such Holder as of the date hereof. Other than this Agreement, (i) there are no agreements or arrangements of any kind, contingent or otherwise, to which such Holder is a party obligating the Holder to Transfer or cause to be Transferred to any Person any of the Shares and (ii) no Person has any contractual or other right or obligation to purchase or otherwise acquire any of the Shares.</w:t>
      </w:r>
    </w:p>
    <w:p>
      <w:pPr>
        <w:spacing w:after="0" w:line="12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40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340" w:hanging="653"/>
        <w:spacing w:after="0"/>
        <w:tabs>
          <w:tab w:leader="none" w:pos="23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27"/>
        <w:spacing w:after="0" w:line="266" w:lineRule="auto"/>
        <w:tabs>
          <w:tab w:leader="none" w:pos="238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27"/>
        <w:spacing w:after="0" w:line="256" w:lineRule="auto"/>
        <w:tabs>
          <w:tab w:leader="none" w:pos="236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 as contemplated by this Agreement, such Holder has not (i) entered into any voting agreement, voting trust or similar agreement with respect to any Shares or other equity securities of the Company beneficially owned (as defined in Rule 13d-3 under the Exchange Act) by such Holder, (ii) granted any proxy, consent or power of attorney with respect to any Shares, or (iii) entered into any agreement or undertaking that is inconsistent with, or would interfere with, or prohibit or prevent it from satisfying, its obligations pursuant to this Agreement.</w:t>
      </w:r>
    </w:p>
    <w:p>
      <w:pPr>
        <w:spacing w:after="0" w:line="10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35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 sophisticated investor and has adequate information concerning the business and financial condition of Parent and the Company to make an informed decision regarding this Agreement and the transactions contemplated by the Merger Agreement and has independently and without reliance upon Parent or the Company and based on such information as such Holder has deemed appropriate, made its own analysis and decision to enter into this Agreement. Such Holder understands and acknowledges that Parent is entering into the Merger Agreement in reliance upon such Holder’s execution, delivery and performance of this Agreement.</w:t>
      </w:r>
    </w:p>
    <w:p>
      <w:pPr>
        <w:spacing w:after="0" w:line="121"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on behalf of itself and its Affiliates, hereby</w:t>
      </w:r>
    </w:p>
    <w:p>
      <w:pPr>
        <w:spacing w:after="0" w:line="27" w:lineRule="exact"/>
        <w:rPr>
          <w:sz w:val="20"/>
          <w:szCs w:val="20"/>
          <w:color w:val="auto"/>
        </w:rPr>
      </w:pPr>
    </w:p>
    <w:p>
      <w:pPr>
        <w:jc w:val="both"/>
        <w:ind w:left="460" w:right="459" w:hanging="6"/>
        <w:spacing w:after="0" w:line="251" w:lineRule="auto"/>
        <w:tabs>
          <w:tab w:leader="none" w:pos="70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and agrees not to exercise any appraisal rights (including pursuant to Section 262 of the DGCL) in respect of the Shares owned by such Holder (whether beneficially (as defined in Rule 13d-3 under the Exchange Act) or of record) that may arise with respect to the Merger under the Merger Agreement, and (b) agrees not to commence or participate in, and to take all actions necessary to opt out of any class in any class action with respect to, any action or claim, derivative or otherwise, against Parent, Parent’s Affiliates, the Company, the Company’s Subsidiaries or any of their respective successors and assigns relating to the negotiation, execution or delivery of this Agreement, the Merger Agreement (including the Per Share Merger Consideration) or the consummation of the transactions contemplated hereby and thereby.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PARENT</w:t>
      </w:r>
    </w:p>
    <w:p>
      <w:pPr>
        <w:spacing w:after="0" w:line="126" w:lineRule="exact"/>
        <w:rPr>
          <w:sz w:val="20"/>
          <w:szCs w:val="20"/>
          <w:color w:val="auto"/>
        </w:rPr>
      </w:pPr>
    </w:p>
    <w:p>
      <w:pPr>
        <w:ind w:left="11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color w:val="auto"/>
        </w:rPr>
        <w:t>Representations and Warranties of Parent. Parent represents and warrants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-7620</wp:posOffset>
            </wp:positionV>
            <wp:extent cx="1965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 as follows as of the date of this Agreement:</w:t>
      </w:r>
    </w:p>
    <w:p>
      <w:pPr>
        <w:spacing w:after="0" w:line="139" w:lineRule="exact"/>
        <w:rPr>
          <w:sz w:val="20"/>
          <w:szCs w:val="20"/>
          <w:color w:val="auto"/>
        </w:rPr>
      </w:pPr>
    </w:p>
    <w:p>
      <w:pPr>
        <w:jc w:val="both"/>
        <w:ind w:left="460" w:right="459" w:firstLine="1240"/>
        <w:spacing w:after="0" w:line="266" w:lineRule="auto"/>
        <w:tabs>
          <w:tab w:leader="none" w:pos="2428"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duly incorporated and validly existing in good standing under the laws of the jurisdiction in which it is incorporated or constituted. Parent has all requisite power and authority to execute and deliver, and perform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67"/>
        <w:spacing w:after="0" w:line="261" w:lineRule="auto"/>
        <w:tabs>
          <w:tab w:leader="none" w:pos="2434"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Parent. Assuming the due authorization, execution and delivery by the other parties of this Agreement, this Agreement constitutes a valid and binding agreement of Parent, enforceable against Parent in accordance with its terms, subject, as to enforceability, to Creditors’ Rights.</w:t>
      </w:r>
    </w:p>
    <w:p>
      <w:pPr>
        <w:spacing w:after="0" w:line="98" w:lineRule="exact"/>
        <w:rPr>
          <w:rFonts w:ascii="Times New Roman" w:cs="Times New Roman" w:eastAsia="Times New Roman" w:hAnsi="Times New Roman"/>
          <w:sz w:val="18"/>
          <w:szCs w:val="18"/>
          <w:color w:val="auto"/>
        </w:rPr>
      </w:pPr>
    </w:p>
    <w:p>
      <w:pPr>
        <w:jc w:val="both"/>
        <w:ind w:left="460" w:right="459" w:firstLine="1227"/>
        <w:spacing w:after="0" w:line="261" w:lineRule="auto"/>
        <w:tabs>
          <w:tab w:leader="none" w:pos="238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there is no Proceeding pending against, or threatened in writing against Parent that would prevent, materially delay or materially impair the consummation by Parent of the transactions contemplated by this Agreement, or otherwise materially impair its ability to perform its respective obligations 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DISCLOSURE</w:t>
      </w:r>
    </w:p>
    <w:p>
      <w:pPr>
        <w:spacing w:after="0" w:line="139"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be of no further force or effect upon the earliest to occur of: (a) the Effective Time; (b) the termination of the Merger Agreement in accordance with its terms; (c) the date of any modification or amendment to, or the waiver of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and (d)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survive any termination of this Agreement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Expiration Time if it is triggered by the consummation of the Merger; (ii) if the Exchanges and the Merger are consummated,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shall survive the Effective Time until performed in accordance with their terms; and (iii)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relieve or otherwise limit any party of liability for any willful breach of this Agreement occurring prior to such termination or for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-1534795</wp:posOffset>
            </wp:positionV>
            <wp:extent cx="368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the Holder’s identity and holding of Shares, and the terms of this Agreement (including, for avoidance of doubt, the disclosure of this Agreement), in any press release, the Proxy Statement/Prospectus and any other disclosure document required in connection with the Merger Agreement, the Merger and the transactions contemplated by the Merger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39"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Pre-Closing Flow-Through Tax Returns</w:t>
      </w:r>
      <w:r>
        <w:rPr>
          <w:rFonts w:ascii="Times New Roman" w:cs="Times New Roman" w:eastAsia="Times New Roman" w:hAnsi="Times New Roman"/>
          <w:sz w:val="18"/>
          <w:szCs w:val="18"/>
          <w:color w:val="auto"/>
        </w:rPr>
        <w:t>. Parent shall prepare, or cause to be prepared, each Tax Return relating to U.S. federal income taxes and any other Taxes determined on a flow-through basis (i.e., reported at the entity level but with respect to which items of income, gain, loss or deduction or other Tax attributes or Taxes are allocated to the direct or indirect beneficial owners of the entity) with respect to Company Holdco and its Subsidiaries relating to any Tax period (or portion of any Tax period) ending on or prior to the Closing Date (each such Tax Return, a “</w:t>
      </w:r>
      <w:r>
        <w:rPr>
          <w:rFonts w:ascii="Times New Roman" w:cs="Times New Roman" w:eastAsia="Times New Roman" w:hAnsi="Times New Roman"/>
          <w:sz w:val="18"/>
          <w:szCs w:val="18"/>
          <w:u w:val="single" w:color="auto"/>
          <w:color w:val="auto"/>
        </w:rPr>
        <w:t>Pre-Closing Flow-Through Tax Return</w:t>
      </w:r>
      <w:r>
        <w:rPr>
          <w:rFonts w:ascii="Times New Roman" w:cs="Times New Roman" w:eastAsia="Times New Roman" w:hAnsi="Times New Roman"/>
          <w:sz w:val="18"/>
          <w:szCs w:val="18"/>
          <w:color w:val="auto"/>
        </w:rPr>
        <w:t>”) required to be filed after the Closing Date with respect to Company Holdco, and each material Pre-Closing Flow-Through Tax Return required to be filed after the Closing Date with respect to each of its Subsidiaries, in a manner consistent with past practice, except to the extent otherwise required by applicable Law, this Agreement or the Merger Agreement. Not later than 10 days prior to the due date (including extensions) for filing any such Pre-Closing Flow-Through Tax Return, Parent shall deliver a draft of each such Pre-Closing Flow-Through Tax Return, together with any supporting documentation and workpapers reasonably requested by any Holder holding Company Holdco Units immediately prior to the Exchanges (the “</w:t>
      </w:r>
      <w:r>
        <w:rPr>
          <w:rFonts w:ascii="Times New Roman" w:cs="Times New Roman" w:eastAsia="Times New Roman" w:hAnsi="Times New Roman"/>
          <w:sz w:val="18"/>
          <w:szCs w:val="18"/>
          <w:u w:val="single" w:color="auto"/>
          <w:color w:val="auto"/>
        </w:rPr>
        <w:t>Legacy Unitholder</w:t>
      </w:r>
      <w:r>
        <w:rPr>
          <w:rFonts w:ascii="Times New Roman" w:cs="Times New Roman" w:eastAsia="Times New Roman" w:hAnsi="Times New Roman"/>
          <w:sz w:val="18"/>
          <w:szCs w:val="18"/>
          <w:color w:val="auto"/>
        </w:rPr>
        <w:t>”) that may be necessary to understand such Pre-Closing Flow-Through Tax Return, to the Legacy Unitholder for its review and reasonable comment. Parent shall consider in good faith any reasonable comments timely received from the Legacy Unitholder prior to filing. Parent shall not, and shall cause its Subsidiaries (including, after the Effective Time, the Company and Company Holdco) not to, file or amend any Pre-Closing Flow-Through Tax Return with respect to Company Holdco or any of its Subsidiaries in a manner that would reasonably be expected to have a material and disproportionate adverse impact on the Legacy Unitholder (or its direct or indirect owners) without the prior written consent of the Legacy Unitholder (such consent not to be unreasonably withheld, conditioned or delayed), except to the extent otherwise required by applicable Law, this Agreement or the Merger Agreement.</w:t>
      </w:r>
    </w:p>
    <w:p>
      <w:pPr>
        <w:spacing w:after="0" w:line="13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After the Closing, the Legacy Unitholder shall, at its sole cost, be entitled to participate in any audit, examination, contest, litigation or other Proceeding relating to Pre-Closing Flow-Through Tax Returns with respect to Company Holdco or any of its Subsidiaries that would reasonably be expected to have a material and disproportionate adverse impact on the Legacy Unitholder (or its direct or indirect owners), and none of Parent, the Company, Company Holdco or any of their Affiliates shall settle or compromise any such proceeding in a manner that is reasonably expected to have a material and disproportionate adverse impact on the Legacy Unitholder (or its direct or indirect owners) without the prior written consent of the Legacy Unitholder (such consent not to be unreasonably withheld, conditioned or delayed).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After the Closing, the parties shall cooperate as and to the extent reasonably requested by any other party in connection with the filing of any Tax Returns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or any Proceeding with respect to the Taxes or Tax Returns of Company Holdco or any of its Subsidiaries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Such cooperation shall include the retention and (upon the other party’s request) the provision of records and information that are reasonably relevant to any such Tax Return or Proceeding and making employees available on a mutually convenient basis to provide additional information and explanation of any material provided hereunder.</w:t>
      </w:r>
    </w:p>
    <w:p>
      <w:pPr>
        <w:spacing w:after="0" w:line="121"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IRS Form W-9</w:t>
      </w:r>
      <w:r>
        <w:rPr>
          <w:rFonts w:ascii="Times New Roman" w:cs="Times New Roman" w:eastAsia="Times New Roman" w:hAnsi="Times New Roman"/>
          <w:sz w:val="18"/>
          <w:szCs w:val="18"/>
          <w:color w:val="auto"/>
        </w:rPr>
        <w:t>. At or prior to the Closing, the Legacy Unitholder will provide the Company with a valid IRS Form W-9.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w:t>
      </w:r>
    </w:p>
    <w:p>
      <w:pPr>
        <w:jc w:val="both"/>
        <w:ind w:left="460" w:right="459" w:hanging="6"/>
        <w:spacing w:after="0" w:line="253" w:lineRule="auto"/>
        <w:tabs>
          <w:tab w:leader="none" w:pos="72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in person; (b) if transmitted by facsimile (but only upon confirmation of transmission by the transmitting equipment); (c) if transmitted by electronic mail (“e-mail”) (but only if confirmation of receipt of such e-mail is requested and received; provided that each notice party shall use reasonable best efforts to confirm receipt of any such email correspondence promptly upon receipt of such request); or (d) if transmitted by national overnight courier, in each case as addressed as follows: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Holders, to the contact information set forth on such Holder’s signature page hereto.</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11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7.3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or Joint Venture.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-582930</wp:posOffset>
            </wp:positionV>
            <wp:extent cx="7753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95"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-7620</wp:posOffset>
            </wp:positionV>
            <wp:extent cx="20491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460" w:right="479" w:firstLine="1227"/>
        <w:spacing w:after="0" w:line="256" w:lineRule="auto"/>
        <w:tabs>
          <w:tab w:leader="none" w:pos="238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460" w:right="459" w:firstLine="1267"/>
        <w:spacing w:after="0" w:line="251" w:lineRule="auto"/>
        <w:tabs>
          <w:tab w:leader="none" w:pos="2444" w:val="left"/>
        </w:tabs>
        <w:numPr>
          <w:ilvl w:val="1"/>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SUCH OTHER MANNER AS MAY BE PERMITTED BY LAW SHALL BE VALID AND SUFFICIENT SERVICE THEREOF.</w:t>
      </w:r>
    </w:p>
    <w:p>
      <w:pPr>
        <w:spacing w:after="0" w:line="138" w:lineRule="exact"/>
        <w:rPr>
          <w:sz w:val="20"/>
          <w:szCs w:val="20"/>
          <w:color w:val="auto"/>
        </w:rPr>
      </w:pPr>
    </w:p>
    <w:p>
      <w:pPr>
        <w:jc w:val="both"/>
        <w:ind w:left="460" w:right="459" w:firstLine="1227"/>
        <w:spacing w:after="0" w:line="270" w:lineRule="auto"/>
        <w:tabs>
          <w:tab w:leader="none" w:pos="2388" w:val="left"/>
        </w:tabs>
        <w:numPr>
          <w:ilvl w:val="0"/>
          <w:numId w:val="3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 (b) 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all references to prices, values or monetary amounts refer to United States dollars; (h) wherever used herein, any pronoun or pronouns will be deemed to include both the singular and plural and to cover all genders; (i) this Agreement has been jointly prepared by the parties hereto, and this Agreement will not be construed against any Person as the principal draftsperson hereof or thereof and no consideration may be given to any fact or presumption that any party had a greater or lesser hand in drafting this Agreement; (j) the captions of the articles, sections or subsections appearing in this Agreement are inserted only as a matter of convenience and in no way define, limit, construe or describe the scope or extent of such section, or in any way affect this Agreement; (k) any references herein to a particular Section, Article or Exhibit means a Section or Article of, or an Exhibit to, this Agreement unless otherwise expressly stated herein; the Exhibit attached hereto is incorporated herein by reference and will be considered part of this Agreement; (l) all references to days mean calendar days unless otherwise provided; and (m) all references to time mean U.S. Eastern time.</w:t>
      </w:r>
    </w:p>
    <w:p>
      <w:pPr>
        <w:spacing w:after="0" w:line="125"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party under this Agreement (whether for indemnification or otherwise) or of or for any claim based on, arising out of, or related to this Agreement or the transactions contemplated by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Section 7.14 No Ownership Interest. Nothing contained in this Agreement shall be deemed to vest in Parent any direct or indirect ownership or incidence of ownership of or with respect to the Shares. All rights, ownership and economic benefits of and relating to the Shares shall remain vested in and belong to each applicable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-448310</wp:posOffset>
            </wp:positionV>
            <wp:extent cx="10407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Gregory A. Beard</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6"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5717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Holder and Address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46"/>
        </w:trPr>
        <w:tc>
          <w:tcPr>
            <w:tcW w:w="25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 Power, LLC</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3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223,710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160,241</w:t>
            </w:r>
          </w:p>
        </w:tc>
      </w:tr>
      <w:tr>
        <w:trPr>
          <w:trHeight w:val="432"/>
        </w:trPr>
        <w:tc>
          <w:tcPr>
            <w:tcW w:w="2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Annex B-13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 WAIVER AND TERMINATION AGREEMENT</w:t>
      </w:r>
    </w:p>
    <w:p>
      <w:pPr>
        <w:spacing w:after="0" w:line="158" w:lineRule="exact"/>
        <w:rPr>
          <w:sz w:val="20"/>
          <w:szCs w:val="20"/>
          <w:color w:val="auto"/>
        </w:rPr>
      </w:pPr>
    </w:p>
    <w:p>
      <w:pPr>
        <w:jc w:val="both"/>
        <w:ind w:left="460" w:right="459" w:firstLine="1260"/>
        <w:spacing w:after="0" w:line="257" w:lineRule="auto"/>
        <w:rPr>
          <w:sz w:val="20"/>
          <w:szCs w:val="20"/>
          <w:color w:val="auto"/>
        </w:rPr>
      </w:pPr>
      <w:r>
        <w:rPr>
          <w:rFonts w:ascii="Times New Roman" w:cs="Times New Roman" w:eastAsia="Times New Roman" w:hAnsi="Times New Roman"/>
          <w:sz w:val="18"/>
          <w:szCs w:val="18"/>
          <w:color w:val="auto"/>
        </w:rPr>
        <w:t>This TRA Waiver and Termination Agreement (this “</w:t>
      </w:r>
      <w:r>
        <w:rPr>
          <w:rFonts w:ascii="Times New Roman" w:cs="Times New Roman" w:eastAsia="Times New Roman" w:hAnsi="Times New Roman"/>
          <w:sz w:val="18"/>
          <w:szCs w:val="18"/>
          <w:b w:val="1"/>
          <w:bCs w:val="1"/>
          <w:color w:val="auto"/>
        </w:rPr>
        <w:t>Waiver Agreement</w:t>
      </w:r>
      <w:r>
        <w:rPr>
          <w:rFonts w:ascii="Times New Roman" w:cs="Times New Roman" w:eastAsia="Times New Roman" w:hAnsi="Times New Roman"/>
          <w:sz w:val="18"/>
          <w:szCs w:val="18"/>
          <w:color w:val="auto"/>
        </w:rPr>
        <w:t>”) is dated as of August 21, 2024, and is by and among Stronghold Digital Mining,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undersigned Persons under the heading “Holders” on the signature pages hereto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Bitfarms Ltd., a corporation organized under the Business Corporations Act (Ontario)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Each of the Company, the Holders and Parent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1260"/>
        <w:spacing w:after="0" w:line="261" w:lineRule="auto"/>
        <w:rPr>
          <w:sz w:val="20"/>
          <w:szCs w:val="20"/>
          <w:color w:val="auto"/>
        </w:rPr>
      </w:pPr>
      <w:r>
        <w:rPr>
          <w:rFonts w:ascii="Times New Roman" w:cs="Times New Roman" w:eastAsia="Times New Roman" w:hAnsi="Times New Roman"/>
          <w:sz w:val="18"/>
          <w:szCs w:val="18"/>
          <w:color w:val="auto"/>
        </w:rPr>
        <w:t>WHEREAS, the Company, the Holders and the Agent are parties to that certain Tax Receivable Agreement, dated April 1, 2021, as amended by that certain Joinder to Tax Receivable Agreement effective as of November 9, 2022, whereby William Spence became a party thereto (such joinder,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both"/>
        <w:ind w:left="460" w:right="479" w:firstLine="1260"/>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that certain Agreement and Plan of Merger, by and among Parent, Backbone Mining Solutions LLC, a Delaware limited liability company and a wholly owned, indirect subsidiary of Parent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and HPC &amp; AI Megacorp, Inc., a Delaware corporation and wholly owned, direct subsidiary of BMS, and the Company,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the Company and the Holders desire to terminate the Company’s and the Holders’ rights and obligations in respect of the Tax Receivable Agreement, subject to and effective upon the consummation of the transactions contemplated by the Merger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jc w:val="both"/>
        <w:ind w:left="460" w:right="459" w:firstLine="12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hereby agree as follows:</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the Tax Receivable Agreement.</w:t>
      </w:r>
    </w:p>
    <w:p>
      <w:pPr>
        <w:spacing w:after="0" w:line="8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2. Acknowledgment of Change of Control. The Parties acknowledge and agree that the consummation of the transactions contemplated by the Merger Agreement shall constitute a Change of Control, which Change of Control would, but for this Waiver Agreement, at the Effective Time (as defined in the Merger Agreement), accelerate the Company’s obligations under the Tax Receivable Agreement in accordance with Section 4.2 of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-582930</wp:posOffset>
            </wp:positionV>
            <wp:extent cx="18408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96"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Waiver of Early Termination Payment; Termination of Tax Receivable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59" w:firstLine="1281"/>
        <w:spacing w:after="0" w:line="253" w:lineRule="auto"/>
        <w:tabs>
          <w:tab w:leader="none" w:pos="235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by the Merger Agreement, and notwithstanding anything to the contrary in the Tax Receivable Agreement, (i) each of the Holders hereby absolutely, irrevocably and unconditionally waives in full all or any portion of the Early Termination Payment, which such Early Termination Payment would, but for this Waiver Agreement, be required to be paid by the Company to such Holder, or any other amounts that may be payable pursuant to the Tax Receivable Agreement, and (ii) none of the Company or its Subsidiaries, or any successors thereof, shall be required to pay all or any portion of the Early Termination Payment, or any other amounts pursuant to the Tax Receivable Agreement, at any time. The Parties further agree that, subject to and effective upon the consummation of the transactions contemplated by the Merger Agreement, the Tax Receivable Agreement shall be terminated in its entirety, and no party thereto or Parent or any of their respective successors or Affiliates shall have any further obligations under the Tax Receivable Agreement other than those obligations set forth in this Waiver Agreement.</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54" w:lineRule="auto"/>
        <w:tabs>
          <w:tab w:leader="none" w:pos="236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in the Merger Agreement: (i) each Holder hereby absolutely, irrevocably and unconditionally terminates, waives and releases all of its rights under the Tax Receivable Agreement, (ii) each Holder hereby rescinds, annuls, cancels, repeals and eliminates any and all representations, covenants, agreements, obligations, responsibilities or liabilities of the Company, its Subsidiaries or any of its Affiliates contained in or existing under the Tax Receivable Agreement to the extent relating to or in favor of such Holder, and (iii) the Company hereby rescinds, annuls, cancels, repeals and eliminates any and all representations, covenants, agreements, obligations, responsibilities or liabilities of the 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contained in or existing under the Tax Receivable Agreement to the extent relating to or in favor of the Company, its Subsidiaries or its Affiliates, in each case, without any continuing liability of any of the Holders, the Company, Parent or any of their respective successors or Affiliates, as applicable. Subject to and effective upon the consummation of the transactions contemplated in the Merger Agreement, each of the Holders hereby absolutely, irrevocably and unconditionally agrees not to bring any claims, directly or indirectly, against the Company, Parent or any of their respective successors or Affiliates relating to or in respect of the Tax Receivable Agreement.</w:t>
      </w:r>
    </w:p>
    <w:p>
      <w:pPr>
        <w:spacing w:after="0" w:line="121" w:lineRule="exact"/>
        <w:rPr>
          <w:sz w:val="20"/>
          <w:szCs w:val="20"/>
          <w:color w:val="auto"/>
        </w:rPr>
      </w:pPr>
    </w:p>
    <w:p>
      <w:pPr>
        <w:jc w:val="both"/>
        <w:ind w:left="460" w:right="459" w:firstLine="1321"/>
        <w:spacing w:after="0" w:line="258" w:lineRule="auto"/>
        <w:tabs>
          <w:tab w:leader="none" w:pos="239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7.6 of the Tax Receivable Agreement, none of the Holders shall directly or indirectly assign all or any portion of such Holder’s interest in the Tax Receivable Agreement. For the avoidance of doubt, nothing in this Waiver Agreement shall restrict any Holder from exercising its Redemption Right and participating in the Exchanges (as defined in the Merger Agreement) at or prior to the Closing (as defined in the Merger Agreement).</w:t>
      </w:r>
    </w:p>
    <w:p>
      <w:pPr>
        <w:spacing w:after="0" w:line="116"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Section 4. Representations and Warranties of the Parties. Each Party hereby represents and warrants to the other Parties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-185420</wp:posOffset>
            </wp:positionV>
            <wp:extent cx="22040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59" w:lineRule="exact"/>
        <w:rPr>
          <w:sz w:val="20"/>
          <w:szCs w:val="20"/>
          <w:color w:val="auto"/>
        </w:rPr>
      </w:pPr>
    </w:p>
    <w:p>
      <w:pPr>
        <w:jc w:val="both"/>
        <w:ind w:left="460" w:right="459" w:firstLine="1281"/>
        <w:spacing w:after="0" w:line="252" w:lineRule="auto"/>
        <w:tabs>
          <w:tab w:leader="none" w:pos="235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Organization; Binding Agreement</w:t>
      </w:r>
      <w:r>
        <w:rPr>
          <w:rFonts w:ascii="Times New Roman" w:cs="Times New Roman" w:eastAsia="Times New Roman" w:hAnsi="Times New Roman"/>
          <w:sz w:val="18"/>
          <w:szCs w:val="18"/>
          <w:color w:val="auto"/>
        </w:rPr>
        <w:t>. Such Party has full power and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and deliver this Waiver Agreement, to perform its obligations hereunder and to consummate the transactions contemplated hereby (including to terminate the Tax Receivable Agreement). The execution and delivery by such Party of this Waiver Agreement, the performance by such Party of its obligations hereunder and the consummation by such Party of the transactions contemplated hereby (including the termination of the Tax Receivable Agreement) have been duly and validly authorized by all necessary corporate or similar action on the part of such Party and no other actions or proceedings on the part of such Party are necessary to authorize the execution and delivery by such Party of this Waiver Agreement, the performance by such Party of its obligations hereunder or the consummation by such Party of the transactions contemplated hereby (including the termination of the Tax Receivable Agreement). If such Party is not a natural person, such Party is duly organized, validly existing and, to the extent such concept is applicable, in good standing under the laws of its jurisdiction of incorporation, organization or formation. This Waiver Agreement has been duly executed and delivered by such Party, and, assuming this Waiver Agreement constitutes a valid and binding obligation of the other Parties, constitutes a valid and binding obligation of such Party, enforceable against such Party in accordance with its terms.</w:t>
      </w:r>
    </w:p>
    <w:p>
      <w:pPr>
        <w:spacing w:after="0" w:line="128" w:lineRule="exact"/>
        <w:rPr>
          <w:rFonts w:ascii="Times New Roman" w:cs="Times New Roman" w:eastAsia="Times New Roman" w:hAnsi="Times New Roman"/>
          <w:sz w:val="18"/>
          <w:szCs w:val="18"/>
          <w:color w:val="auto"/>
        </w:rPr>
      </w:pPr>
    </w:p>
    <w:p>
      <w:pPr>
        <w:jc w:val="both"/>
        <w:ind w:left="460" w:right="459" w:firstLine="1294"/>
        <w:spacing w:after="0" w:line="253" w:lineRule="auto"/>
        <w:tabs>
          <w:tab w:leader="none" w:pos="2375"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No filing with, and no permit, authorization, consent, or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authority or other Person is necessary for the execution and delivery by such Party of this Waiver Agreement, the performance by such Party of its obligations hereunder, and the consummation by such Party of the transactions contemplated hereby (including the termination of the Tax Receivable Agreement). None of the execution and delivery by such Party of this Waiver Agreement, the performance by such Party of its obligations hereunder or the consummation by such Party of the transactions contemplated hereby (including the termination of the Tax Receivable Agreement) will (i) contravene, conflict with or result in a violation or breach of, or constitute (with or without notice or lapse of time or both) a default (or give rise to any third party right of termination, cancellation, material modification or acceleration) under any of the terms, conditions or provisions of any note, loan agreement, bond, mortgage, indenture, commitment, arrangement, understanding or other agreement to which such Party is a party or by which such Party or any of such Party’s properties or assets may be bound, including any voting agreement or voting trust, (ii) contravene, conflict with or result in a violation of any law, rule or regulation or order applicable to such Party or (iii) contravene, conflict with or result in a violation of any provision of the constituent or organizational documents of such Party.</w:t>
      </w:r>
    </w:p>
    <w:p>
      <w:pPr>
        <w:spacing w:after="0" w:line="117" w:lineRule="exact"/>
        <w:rPr>
          <w:rFonts w:ascii="Times New Roman" w:cs="Times New Roman" w:eastAsia="Times New Roman" w:hAnsi="Times New Roman"/>
          <w:sz w:val="18"/>
          <w:szCs w:val="18"/>
          <w:color w:val="auto"/>
        </w:rPr>
      </w:pPr>
    </w:p>
    <w:p>
      <w:pPr>
        <w:jc w:val="both"/>
        <w:ind w:left="460" w:right="459" w:firstLine="1321"/>
        <w:spacing w:after="0" w:line="254" w:lineRule="auto"/>
        <w:tabs>
          <w:tab w:leader="none" w:pos="2392"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Parent</w:t>
      </w:r>
      <w:r>
        <w:rPr>
          <w:rFonts w:ascii="Times New Roman" w:cs="Times New Roman" w:eastAsia="Times New Roman" w:hAnsi="Times New Roman"/>
          <w:sz w:val="18"/>
          <w:szCs w:val="18"/>
          <w:color w:val="auto"/>
        </w:rPr>
        <w:t>. In the case of the Holders and the Company, such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understands and acknowledges that Parent is entering into the Merger Agreement in reliance upon such Party’s execution and delivery of this Waiver Agreement. Such Party has been represented by or had the opportunity to be represented by, independent counsel of its own choosing, and it has had the full right and opportunity to consult with its attorney and its tax advisor, that to the extent, if any, that it desired, it availed itself of this right and opportunity, that it or its authorized officers (as the case may be) have carefully read and fully understand this Waiver Agreement and have had it fully explained to them by counsel (including tax counsel), that it is fully aware of the contents thereof and its meaning, intent and legal and tax effect, and that it or its authorized officers (as the case may be) is competent to execute this Waiver Agreement and has executed this Waiver Agreement free from coercion, duress and undue influence.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1281"/>
        <w:spacing w:after="0" w:line="267" w:lineRule="auto"/>
        <w:tabs>
          <w:tab w:leader="none" w:pos="236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in Tax Receivable Agreement. </w:t>
      </w:r>
      <w:r>
        <w:rPr>
          <w:rFonts w:ascii="Times New Roman" w:cs="Times New Roman" w:eastAsia="Times New Roman" w:hAnsi="Times New Roman"/>
          <w:sz w:val="18"/>
          <w:szCs w:val="18"/>
          <w:color w:val="auto"/>
        </w:rPr>
        <w:t>In the case of a Holder, such Holder is a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Receivable Agreement, and other than pursuant to the Joinder, such Holder has not assigned or otherwise transferred any of its rights or interests pursuant to the Tax Receivable Agreement.</w:t>
      </w:r>
    </w:p>
    <w:p>
      <w:pPr>
        <w:spacing w:after="0" w:line="105" w:lineRule="exact"/>
        <w:rPr>
          <w:rFonts w:ascii="Times New Roman" w:cs="Times New Roman" w:eastAsia="Times New Roman" w:hAnsi="Times New Roman"/>
          <w:sz w:val="18"/>
          <w:szCs w:val="18"/>
          <w:color w:val="auto"/>
        </w:rPr>
      </w:pPr>
    </w:p>
    <w:p>
      <w:pPr>
        <w:jc w:val="both"/>
        <w:ind w:left="460" w:right="479" w:firstLine="1308"/>
        <w:spacing w:after="0" w:line="267" w:lineRule="auto"/>
        <w:tabs>
          <w:tab w:leader="none" w:pos="2378"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Proceeding</w:t>
      </w:r>
      <w:r>
        <w:rPr>
          <w:rFonts w:ascii="Times New Roman" w:cs="Times New Roman" w:eastAsia="Times New Roman" w:hAnsi="Times New Roman"/>
          <w:sz w:val="18"/>
          <w:szCs w:val="18"/>
          <w:color w:val="auto"/>
        </w:rPr>
        <w:t>. As of the date hereof, there is no proceeding pending against,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in writing against, such Party that would prevent, materially delay, or materially impair the ability of such Party with respect to, the performance by such Party of its obligations under this Waiver Agreement.</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Entire Agreement; Supersedure</w:t>
      </w:r>
      <w:r>
        <w:rPr>
          <w:rFonts w:ascii="Times New Roman" w:cs="Times New Roman" w:eastAsia="Times New Roman" w:hAnsi="Times New Roman"/>
          <w:sz w:val="18"/>
          <w:szCs w:val="18"/>
          <w:color w:val="auto"/>
        </w:rPr>
        <w:t>. This Waiver Agreement (together with any other documents and instruments executed pursuant hereto) constitutes the entire agreement of the Parties in respect of the subject matter hereof and supersedes all prior contracts, agreements or understandings, whether written or oral, between or among the Parties in respect of such subject matter hereof (including but not limited to the Tax Receivable Agreement, except as otherwise set forth herein).</w:t>
      </w:r>
    </w:p>
    <w:p>
      <w:pPr>
        <w:spacing w:after="0" w:line="10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Section 6. Governing Law. This Waiver Agreement and any claim, cause of action or Proceeding (as defined in the Merger Agreement) (whether at law, in contract or in tort) that may directly or indirectly be based upon, relate to or arise out of this Waiver Agreement or any transaction contemplated hereby, or the negotiation, execution or performance hereunder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-854075</wp:posOffset>
            </wp:positionV>
            <wp:extent cx="763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in connection with any claim, action, proceeding or other Proceeding (as defined in the Merger Agreement) between the Parties (whether in contract, tort or otherwise) that arises out of or relating to this Waiver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Waiver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PURSUANT TO THIS WAIVER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WAIVER AGREEMENT OR THE TRANSACTIONS CONTEMPLATED HEREBY. EACH PARTY (I) CERTIFIES THAT NO REPRESENTATIVE, AGENT OR ATTORNEY OF ANY OTHER PARTY HAS REPRESENTED, EXPRESSLY OR OTHERWISE, THAT SUCH OTHER PARTY WOULD NOT, IN THE EVENT OF LITIGATION, SEEK TO ENFORCE THE FOREGOING WAIVER, (II) ACKNOWLEDGES THAT IT HAS BEEN INDUCED TO ENTER INTO THIS WAIVER AGREEMENT, BY, AMONG OTHER THINGS, THE MUTUAL WAIVERS AND CERTIFICATIONS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(III) UNDERSTANDS AND HAS CONSIDERED THE IMPLICATIONS OF THIS WAIVER, AND (IV) MAKES THIS WAIVER VOLUNTARILY.</w:t>
      </w:r>
    </w:p>
    <w:p>
      <w:pPr>
        <w:spacing w:after="0" w:line="115" w:lineRule="exact"/>
        <w:rPr>
          <w:sz w:val="20"/>
          <w:szCs w:val="20"/>
          <w:color w:val="auto"/>
        </w:rPr>
      </w:pPr>
    </w:p>
    <w:p>
      <w:pPr>
        <w:jc w:val="both"/>
        <w:ind w:left="460" w:right="4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Waiver Agreement were not performed in accordance with their specific terms or were otherwise breached by the Parties. Prior to the termination of this Waiver Agreement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it is accordingly agreed that the Parties shall be entitled to an injunction or injunctions, or any other appropriate form of specific performance or equitable relief,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to prevent breaches of this Waiver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being in addition to any other remedy to which they are entitled under the terms of this Waiver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Waiver Agreement and will not plead in defense thereto that there are adequate remedies at Law (as defined in the Merger Agreement), all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Waiver Agreement shall be deemed severable and the invalidity or unenforceability of any provision shall not affect the validity or enforceability of the other provisions hereof. If any provision of this Waiver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Waiver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Waiver Agreement and the transactions contemplated hereby, and without further consideration, each Party shall execute and deliver all such future instruments and take such other and further action as may be reasonably necessary or appropriate to carry out the provisions of this Waiver Agreement and the intention of the Parties as expressed herein.</w:t>
      </w:r>
    </w:p>
    <w:p>
      <w:pPr>
        <w:spacing w:after="0" w:line="9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provisions of applicable Law (as defined in the Merger Agreement), this Waiver Agreement may be amended, modified or waived if, and only if, such amendment, modification or waiver is in writing and signed, in the case of an amendment or modification by each of the Company, the Holders and Parent, or in the case of a waiver, by the Party against whom the waiver is to be effective.</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Effectiveness; Termination. The waivers and releases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subject to and effective upon the consummation of the transactions contemplated by the Merger Agreement. This Waiver Agreement, and all rights and obligations of the Parties hereunder, shall terminate and shall have no further force or effect as of such date and time as the Merger Agreement is validly terminated pursuant to Article VIII thereof,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-582930</wp:posOffset>
            </wp:positionV>
            <wp:extent cx="12388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Parties to this Waiver Agreement shall be in writing and</w:t>
      </w:r>
    </w:p>
    <w:p>
      <w:pPr>
        <w:jc w:val="both"/>
        <w:ind w:left="460" w:right="479" w:hanging="6"/>
        <w:spacing w:after="0" w:line="255" w:lineRule="auto"/>
        <w:tabs>
          <w:tab w:leader="none" w:pos="70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by personal delivery by hand upon the Party for whom it is intended, (b) served by an internationally-recognized overnight courier service upon the Party for whom it is intended, (c) delivered by registered or certified mail, return receipt requested or (d) sent by email:</w:t>
      </w:r>
    </w:p>
    <w:p>
      <w:pPr>
        <w:spacing w:after="0" w:line="10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2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980"/>
        <w:spacing w:after="0"/>
        <w:tabs>
          <w:tab w:leader="none" w:pos="3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1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2980"/>
        <w:spacing w:after="0"/>
        <w:tabs>
          <w:tab w:leader="none" w:pos="3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to the Holders to, to the contact information set forth on such Holder’s signature page hereto.</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or to such other Person or addressees as has or have been designated in writing by the Party to receive such notice provided above. Any notice, request, instruction or other communications or document given as provided above shall be deemed given to the receiving Party (w) upon actual receipt, if delivered personally, (x) on the next Business Day after deposit with an overnight courier, if sent by an overnight courier, (y) three Business Days after deposit in the mail, if sent by registered or certified mail or (z) upon confirmation of transmission if sent by email. Copies to outside counsel are for convenience only and failure to provide a copy to outside counsel does not alter the effectiveness of any notice, request, instruction or other communication otherwise given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Rejection or other refusal to accept, or the inability to deliver because of changed address or other details of which no notice is given, will be deemed to be receipt of any notice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as of the date of rejection, refusal or inability to deliver.</w:t>
      </w:r>
    </w:p>
    <w:p>
      <w:pPr>
        <w:spacing w:after="0" w:line="113"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Waiver Agreement shall be binding upon and shall inure to the benefit of the Parties and their respective heirs, permitted successors, permitted assigns, permitted distributes, and legal representatives. Nothing expressed or mentioned in this Waiver Agreement is intended or shall be construed to give any Person other than the Parties and Parent and their respective permitted successors and assigns any legal or equitable right, remedy or claim under, in or in respect of this Waiver Agreement or any provision herein contained. No Party may assign any of its rights or obligations under this Waiver Agreement without the prior written consent of the other Parties; provided that, the Company may assign its rights or obligations to Parent or any of its Affiliates but shall remain liable in respect of such obligations except to the extent performed by Parent or such Affiliate.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Waiver Agreement are for reference purposes only and shall not affect in any way the meaning or interpretation of this Waiver Agreement.</w:t>
      </w:r>
    </w:p>
    <w:p>
      <w:pPr>
        <w:spacing w:after="0" w:line="94" w:lineRule="exact"/>
        <w:rPr>
          <w:sz w:val="20"/>
          <w:szCs w:val="20"/>
          <w:color w:val="auto"/>
        </w:rPr>
      </w:pPr>
    </w:p>
    <w:p>
      <w:pPr>
        <w:jc w:val="both"/>
        <w:ind w:left="460" w:right="4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Agreement and any amendments to this Waiver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Waiver Agreement by facsimile transmission or by email of a .pdf attachment shall be effective as delivery of a manually executed counterpart of this Waiver Agreement.</w:t>
      </w:r>
    </w:p>
    <w:p>
      <w:pPr>
        <w:spacing w:after="0" w:line="121"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of any conflict between the terms of the Tax Receivable Agreement (other than with respect to the defined terms set forth therein, which defined terms shall control) and the terms of this Waiver Agreement, the terms of this Waiver Agreement shall control.</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have executed this Waiver Agreement as of the date set forth</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Matthew C. Usdin</w:t>
            </w:r>
          </w:p>
        </w:tc>
        <w:tc>
          <w:tcPr>
            <w:tcW w:w="0" w:type="dxa"/>
            <w:vAlign w:val="bottom"/>
          </w:tcPr>
          <w:p>
            <w:pPr>
              <w:spacing w:after="0"/>
              <w:rPr>
                <w:sz w:val="1"/>
                <w:szCs w:val="1"/>
                <w:color w:val="auto"/>
              </w:rPr>
            </w:pPr>
          </w:p>
        </w:tc>
      </w:tr>
      <w:tr>
        <w:trPr>
          <w:trHeight w:val="5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Matthew C. Usdin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SVP &amp; General Counsel</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0" w:type="dxa"/>
            <w:vAlign w:val="bottom"/>
          </w:tcPr>
          <w:p>
            <w:pPr>
              <w:spacing w:after="0"/>
              <w:rPr>
                <w:sz w:val="1"/>
                <w:szCs w:val="1"/>
                <w:color w:val="auto"/>
              </w:rPr>
            </w:pPr>
          </w:p>
        </w:tc>
      </w:tr>
      <w:tr>
        <w:trPr>
          <w:trHeight w:val="4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02"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Gregory A. Beard</w:t>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-119380</wp:posOffset>
            </wp:positionV>
            <wp:extent cx="17487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7"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William Spence</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William Spence</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William Spence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-127635</wp:posOffset>
            </wp:positionV>
            <wp:extent cx="21170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8"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Company Series C Convertible Preferred Stock of the Company,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each Holder is the record holder of the number of shares of Company Preferred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Series C Preferred Shares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Certificate of Designations of the Company Preferred Stock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each Holder shall be entitled to convert all or a portion of such Holder’s Series C Preferred Shares, at any time and from time to time, into a number of shares of Company Class A Common Stock, by submitting an Optional Conversion Notice (as defined therein) to the Company; and</w:t>
      </w:r>
    </w:p>
    <w:p>
      <w:pPr>
        <w:spacing w:after="0" w:line="11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willingness to enter into the Merger Agreement, the Holders have agreed to enter into this Agreement.</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CONSENT</w:t>
      </w:r>
    </w:p>
    <w:p>
      <w:pPr>
        <w:spacing w:after="0" w:line="139"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8" w:lineRule="auto"/>
        <w:tabs>
          <w:tab w:leader="none" w:pos="236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irrevocably elects to convert all of the Series C Preferred Shares owned by such Holder into a number of shares of Company Class A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conditioned upon and immediately prior to the Effective Time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and the parties agrees that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constitute an Optional Conversion Notice in accordance with Section 4.2(b) of the Series C Certificate of Designations.</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37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Conversion, (i) the Series C Preferred Shares converted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 longer be deemed to be outstanding, and all rights of the applicable Holder with respect to such Series C Preferred Shares shall immediately terminate, except the right to receive the shares of Company Class A Common Stock issuable pursuant to the Conversion and (ii) no shares of Company Preferred Stock shall remain outstanding.</w:t>
      </w:r>
    </w:p>
    <w:p>
      <w:pPr>
        <w:spacing w:after="0" w:line="11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(as defined below), it shall not, directly or indirectly, except in connection with the consummation of the Merger, sell, transfer or assign any of its Series C Preferred Shares, unless the applicable transferee agrees in writing to be bound by this Agreement and delivers a copy of such executed written agreement to Parent and the Company prior to the consummation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-582930</wp:posOffset>
            </wp:positionV>
            <wp:extent cx="115316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 to the Merger</w:t>
      </w:r>
      <w:r>
        <w:rPr>
          <w:rFonts w:ascii="Times New Roman" w:cs="Times New Roman" w:eastAsia="Times New Roman" w:hAnsi="Times New Roman"/>
          <w:sz w:val="18"/>
          <w:szCs w:val="18"/>
          <w:color w:val="auto"/>
        </w:rPr>
        <w:t>. To the extent that the Merger Agreement, the Merger or any other transactions contemplated by the Merger Agreement require approval of the Holders under the Series C Certificate of Designations, each Holder hereby irrevocably consents to the execution of the Merger Agreement and the consummation of the Merger and other transactions contemplated by the Merger Agreement on the terms and subject to the conditions set forth in the Merger Agreement.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6"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2.1 Representations and Warranties. Each Holder severally and not jointly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90"/>
        <w:spacing w:after="0" w:line="282" w:lineRule="auto"/>
        <w:tabs>
          <w:tab w:leader="none" w:pos="236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7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and at all times during the term of this Agreement will continue to be, the sole record holder of the Series C Preferred Shares. The Series C Preferred Shares constitute all of the shares of Company Preferred Stock owned of record by such Holder. Other than this Agreement, (i) there are no agreements or arrangements of any kind, contingent or otherwise, to which such Holder is a party obligating the Holder to Transfer or cause to be Transferred to any Person any of the Series C Preferred Shares and (ii) no Person has any contractual or other right or obligation to purchase or otherwise acquire any of the Series C Preferred Shares.</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6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and the Company)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21"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361"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be of no further force or effect upon the earliest to occur of: (a) </w:t>
      </w:r>
      <w:r>
        <w:rPr>
          <w:rFonts w:ascii="Times New Roman" w:cs="Times New Roman" w:eastAsia="Times New Roman" w:hAnsi="Times New Roman"/>
          <w:sz w:val="18"/>
          <w:szCs w:val="18"/>
          <w:b w:val="1"/>
          <w:bCs w:val="1"/>
          <w:color w:val="auto"/>
        </w:rPr>
        <w:t>the Effective Time;</w:t>
      </w:r>
      <w:r>
        <w:rPr>
          <w:rFonts w:ascii="Times New Roman" w:cs="Times New Roman" w:eastAsia="Times New Roman" w:hAnsi="Times New Roman"/>
          <w:sz w:val="18"/>
          <w:szCs w:val="18"/>
          <w:color w:val="auto"/>
        </w:rPr>
        <w:t xml:space="preserve"> (b) the termination of the Merger Agreement; and (c)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no party shall have any further obligations or liabilities under this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4.1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void.</w:t>
      </w:r>
    </w:p>
    <w:p>
      <w:pPr>
        <w:spacing w:after="0" w:line="10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Section 4.5 Governing Law. 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-717550</wp:posOffset>
            </wp:positionV>
            <wp:extent cx="7461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Counterpart</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Series C Preferred Shares. All rights, ownership and economic benefits of and relating to the Series C Preferred Shares shall remain vested in and belong to each applicable Holder.</w:t>
      </w:r>
    </w:p>
    <w:p>
      <w:pPr>
        <w:spacing w:after="0" w:line="11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PARALLAXES CAPITAL OPPORTUNITY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FUND IV, L.P.</w:t>
      </w:r>
    </w:p>
    <w:p>
      <w:pPr>
        <w:spacing w:after="0" w:line="180"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Andy Lee</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Andy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18770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CIO</w:t>
      </w:r>
    </w:p>
    <w:p>
      <w:pPr>
        <w:spacing w:after="0" w:line="2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CONTINENTAL GENERAL INSURANCE</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6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Conversion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2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C Preferred Shares</w:t>
            </w:r>
          </w:p>
        </w:tc>
        <w:tc>
          <w:tcPr>
            <w:tcW w:w="2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Shares of Company Class A</w:t>
            </w: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 After Conversion</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Parallaxes Capital Opportunity Fund IV, L.P.</w:t>
            </w:r>
          </w:p>
        </w:tc>
        <w:tc>
          <w:tcPr>
            <w:tcW w:w="8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1,711.259</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427,814.75</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Continental General Insurance Company</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4,278.148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1,069,537.00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0.75 Class A fractional shares will be cashed out in accordance with Section 4.7 of the Series C Certificate of Designations.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Annex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FAIRNESS OPINION OF COHEN &amp; CO. CAPITAL MARKETS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20,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4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 wholly-owned,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and HPC &amp; AI Megacorp, Inc., a Delaware corporation and a wholly-owned,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transactions contemplated by the Merger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each outstanding share of Class A common stock, par value $0.0001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other than shares of Company Class A Common Stock held in the treasury of the Company (or any subsidiaries thereof) or owned by Parent or Merger Sub or any wholly-owned subsidiary of Parent or Merger Sub, will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common shares of Parent (the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The terms and conditions of the Transaction are more fully set forth in the Merger Agreement.</w:t>
      </w:r>
    </w:p>
    <w:p>
      <w:pPr>
        <w:spacing w:after="0" w:line="7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engaged J.V.B. Financial Group, LLC acting through Cohen &amp; Company Capital Markets division (“</w:t>
      </w:r>
      <w:r>
        <w:rPr>
          <w:rFonts w:ascii="Times New Roman" w:cs="Times New Roman" w:eastAsia="Times New Roman" w:hAnsi="Times New Roman"/>
          <w:sz w:val="18"/>
          <w:szCs w:val="18"/>
          <w:u w:val="single" w:color="auto"/>
          <w:color w:val="auto"/>
        </w:rPr>
        <w:t>CCM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to serve as financial advisor to the Board of Directors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of the Company and to provide an opinion (the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as of the date hereof as to the fairness, from a financial point of view, to the holders of the Company Class A Common Stock (other than Parent, Merger Sub and their respective affiliates), of the Exchange Ratio.</w:t>
      </w:r>
    </w:p>
    <w:p>
      <w:pPr>
        <w:spacing w:after="0" w:line="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this opinion, we have, among other things:</w:t>
      </w:r>
    </w:p>
    <w:p>
      <w:pPr>
        <w:spacing w:after="0" w:line="117" w:lineRule="exact"/>
        <w:rPr>
          <w:sz w:val="20"/>
          <w:szCs w:val="20"/>
          <w:color w:val="auto"/>
        </w:rPr>
      </w:pPr>
    </w:p>
    <w:p>
      <w:pPr>
        <w:ind w:left="1300" w:hanging="306"/>
        <w:spacing w:after="0"/>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1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17"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about the Company and Parent;</w:t>
      </w:r>
    </w:p>
    <w:p>
      <w:pPr>
        <w:spacing w:after="0" w:line="11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7"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the Company’s management, including financial forecasts and analyses, relating to the business, operations and prospects of the Company and Parent; and</w:t>
      </w:r>
    </w:p>
    <w:p>
      <w:pPr>
        <w:spacing w:after="0" w:line="67"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Parent’s management, including financial forecasts and analyses, relating to the business, operations and prospects of Parent and the Company’s management analysis of Parent’s financial forecasts and analysis;</w:t>
      </w:r>
    </w:p>
    <w:p>
      <w:pPr>
        <w:spacing w:after="0" w:line="68" w:lineRule="exact"/>
        <w:rPr>
          <w:sz w:val="20"/>
          <w:szCs w:val="20"/>
          <w:color w:val="auto"/>
        </w:rPr>
      </w:pPr>
    </w:p>
    <w:p>
      <w:pPr>
        <w:ind w:left="1320" w:right="479" w:hanging="326"/>
        <w:spacing w:after="0" w:line="282" w:lineRule="auto"/>
        <w:tabs>
          <w:tab w:leader="none" w:pos="13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Parent concerning the matters described in clauses (i) above;</w:t>
      </w:r>
    </w:p>
    <w:p>
      <w:pPr>
        <w:spacing w:after="0" w:line="53" w:lineRule="exact"/>
        <w:rPr>
          <w:rFonts w:ascii="Times New Roman" w:cs="Times New Roman" w:eastAsia="Times New Roman" w:hAnsi="Times New Roman"/>
          <w:sz w:val="18"/>
          <w:szCs w:val="18"/>
          <w:color w:val="auto"/>
        </w:rPr>
      </w:pPr>
    </w:p>
    <w:p>
      <w:pPr>
        <w:jc w:val="both"/>
        <w:ind w:left="1320" w:right="459" w:hanging="326"/>
        <w:spacing w:after="0" w:line="266" w:lineRule="auto"/>
        <w:tabs>
          <w:tab w:leader="none" w:pos="131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Company Class A Common Stock and the Parent Common Shares and compared them with those of certain publicly traded companies that we deemed relevant;</w:t>
      </w:r>
    </w:p>
    <w:p>
      <w:pPr>
        <w:spacing w:after="0" w:line="67" w:lineRule="exact"/>
        <w:rPr>
          <w:rFonts w:ascii="Times New Roman" w:cs="Times New Roman" w:eastAsia="Times New Roman" w:hAnsi="Times New Roman"/>
          <w:sz w:val="18"/>
          <w:szCs w:val="18"/>
          <w:color w:val="auto"/>
        </w:rPr>
      </w:pPr>
    </w:p>
    <w:p>
      <w:pPr>
        <w:ind w:left="1320" w:right="459" w:hanging="326"/>
        <w:spacing w:after="0" w:line="282" w:lineRule="auto"/>
        <w:tabs>
          <w:tab w:leader="none" w:pos="131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the financial terms of certain other transactions that we deemed relevant; and</w:t>
      </w:r>
    </w:p>
    <w:p>
      <w:pPr>
        <w:spacing w:after="0" w:line="53" w:lineRule="exact"/>
        <w:rPr>
          <w:rFonts w:ascii="Times New Roman" w:cs="Times New Roman" w:eastAsia="Times New Roman" w:hAnsi="Times New Roman"/>
          <w:sz w:val="18"/>
          <w:szCs w:val="18"/>
          <w:color w:val="auto"/>
        </w:rPr>
      </w:pPr>
    </w:p>
    <w:p>
      <w:pPr>
        <w:ind w:left="1300" w:hanging="306"/>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we deemed appropriate.</w:t>
      </w:r>
    </w:p>
    <w:p>
      <w:pPr>
        <w:spacing w:after="0" w:line="11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purposes of CCM’s analysis and in rendering this opinion, we have assumed and relied upon, but have not assumed any responsibility to independently investigate or verify, the accuracy and completeness of all financial and other information that was supplied or otherwise made available by the Company or that was publicly available to 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(including, without limitation, the information described above), or that was otherwise reviewed by us. We have relied on assurances of the management of the Company that it is not aware of any facts or circumstances that would make such information inaccurate or misleading. In CCM’s review, we did not obtain any independent evaluation or appraisal of any of the assets or liabilities of, nor did we conduct a physical inspection of any of the properties or facilities of, the Company, nor have we been furnished with any such evaluations or appraisals of such physical inspections, nor do we assume any responsibility to obtain any such evaluations or appraisals.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us, we note that projecting future results of any company is inherently subject to uncertainty. The Company has informed us, however, and we have assumed, that such financial forecasts were reasonably prepared on bases reflecting the best currently available estimates and good faith judgments of the management of the Company as to the future financial performance of the Company. We express no opinion as to the Company’s or Parent’s financial forecasts or the assumptions on which they are made.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CCM’s opinion is based on economic, monetary, regulatory, market and other conditions existing and which can be evaluated as of the date hereof. We expressly disclaim any undertaking or obligation to advise any person of any change in any fact or matter affecting CCM’s opinion of which we become aware after the date hereof.</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any legal or accounting matters affecting the Company, and we have assumed the correctness in all respects material to CCM’s analysis of all legal and accounting advice given to the Company and its Board of Directors, including, without limitation, advice as to the legal, accounting and tax consequences of the terms of, and transactions contemplated by, the Merger Agreement to the Company and its stockholders. In addition, in preparing this opinion, we have not taken into account any tax consequences of the transaction to any holder of Company Class A Common Stock or any other person. We have assumed that the final form of the Merger Agreement will be substantially similar to the last draft reviewed by us. We have also assumed that in the course of obtaining the necessary regulatory or third party approvals, consents and releases for the Transaction, no delay, limitation, restriction or condition will be imposed that would have an adverse effect on the Company, Parent or the contemplated benefits of the Transaction.</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understood that CCM’s opinion is for the use and benefit of the Board of Directors of the Company in its consideration of the Transaction, and CCM’s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Transaction or the terms of the Merger Agreement or the documents referred to therein. CCM’s opinion does not constitute a recommendation as to how any holder of shares of Company Class A Common Stock or any other person should vote or act on the Transaction or any matter related thereto. In addition, you have not asked us to address, and this opinion does not address, the fairness to, or any other consideration of, the holders of any class of securities, creditors or other constituencies of the Company, other than the holders of shares of Company Class A Common Stock. We express no opinion as to the price at which shares of Company Class A Common Stock will trade at any time. Furthermore, we do not express any view or opinion as to the fairness, financial or otherwise, of the amount or nature of any compensation payable or to be received by any of the Company’s officers, directors or employees, or any class of such persons, in connection with the Transaction relative to the Exchange Ratio to be received by holders of shares of Company Class A Common Stock. CCM’s opinion has been authorized by the Fairness Committee of J.V.B. Financial Group, LLC.</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delivery of this opinion and a significant portion of which is payable contingent upon consummation of the Transaction. The Company has agreed to reimburse CCM’s reasonable expenses and to indemnify CCM against liabilities arising out of or in connection with the services rendered and to be rendered by CCM under such engagement. Please be advised that during the two years preceding the date of this opinion, we have not provided any other material financial advisory or other material financing services to the Company, Parent or their respective affiliates. We may, however, provide such services in the future and may receive, fees for the rendering of such services. We and our affiliates may trade or hold securities of the Company or Parent and/or their respective affiliates for CCM’s own account and for the accounts of CCM’s customers and, accordingly, may at any time hold long or short positions in those securities. In addition, we may seek to, in the future, provide financial advisory and financing services to the Company, Parent or entities that are affiliated with the Company or Parent, for which we would expect to receive compensation. Except as otherwise expressly provided in CCM’s engagement letter with the Company, CCM’s opinion may not be used or referred to by the Company, or quoted or disclosed to any person by the Company in any matter, without CCM’s prior written consent.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Exchange Ratio to be received by the holders of shares of Company Class A Common Stock, in their capacity as such, pursuant to the Merger Agreement is fair, from a financial point of view, to such holders (other than Parent, Merger Sub, and their respective affiliates).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J.V.B. Financial Group, LLC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51CF49"/>
    <w:multiLevelType w:val="hybridMultilevel"/>
    <w:lvl w:ilvl="0">
      <w:lvlJc w:val="left"/>
      <w:lvlText w:val="(%1)"/>
      <w:numFmt w:val="lowerRoman"/>
      <w:start w:val="2"/>
    </w:lvl>
  </w:abstractNum>
  <w:abstractNum w:abstractNumId="1">
    <w:nsid w:val="6181EF69"/>
    <w:multiLevelType w:val="hybridMultilevel"/>
    <w:lvl w:ilvl="0">
      <w:lvlJc w:val="left"/>
      <w:lvlText w:val="%1:"/>
      <w:numFmt w:val="upperLetter"/>
      <w:start w:val="17"/>
    </w:lvl>
  </w:abstractNum>
  <w:abstractNum w:abstractNumId="2">
    <w:nsid w:val="3E6400E6"/>
    <w:multiLevelType w:val="hybridMultilevel"/>
    <w:lvl w:ilvl="0">
      <w:lvlJc w:val="left"/>
      <w:lvlText w:val="%1:"/>
      <w:numFmt w:val="upperLetter"/>
      <w:start w:val="1"/>
    </w:lvl>
  </w:abstractNum>
  <w:abstractNum w:abstractNumId="3">
    <w:nsid w:val="14217E23"/>
    <w:multiLevelType w:val="hybridMultilevel"/>
    <w:lvl w:ilvl="0">
      <w:lvlJc w:val="left"/>
      <w:lvlText w:val="%1:"/>
      <w:numFmt w:val="upperLetter"/>
      <w:start w:val="17"/>
    </w:lvl>
  </w:abstractNum>
  <w:abstractNum w:abstractNumId="4">
    <w:nsid w:val="710757D0"/>
    <w:multiLevelType w:val="hybridMultilevel"/>
    <w:lvl w:ilvl="0">
      <w:lvlJc w:val="left"/>
      <w:lvlText w:val="%1:"/>
      <w:numFmt w:val="upperLetter"/>
      <w:start w:val="1"/>
    </w:lvl>
  </w:abstractNum>
  <w:abstractNum w:abstractNumId="5">
    <w:nsid w:val="5015CD1A"/>
    <w:multiLevelType w:val="hybridMultilevel"/>
    <w:lvl w:ilvl="0">
      <w:lvlJc w:val="left"/>
      <w:lvlText w:val="%1:"/>
      <w:numFmt w:val="upperLetter"/>
      <w:start w:val="17"/>
    </w:lvl>
  </w:abstractNum>
  <w:abstractNum w:abstractNumId="6">
    <w:nsid w:val="424479DA"/>
    <w:multiLevelType w:val="hybridMultilevel"/>
    <w:lvl w:ilvl="0">
      <w:lvlJc w:val="left"/>
      <w:lvlText w:val="%1:"/>
      <w:numFmt w:val="upperLetter"/>
      <w:start w:val="1"/>
    </w:lvl>
  </w:abstractNum>
  <w:abstractNum w:abstractNumId="7">
    <w:nsid w:val="1A9A9E69"/>
    <w:multiLevelType w:val="hybridMultilevel"/>
    <w:lvl w:ilvl="0">
      <w:lvlJc w:val="left"/>
      <w:lvlText w:val="%1:"/>
      <w:numFmt w:val="upperLetter"/>
      <w:start w:val="17"/>
    </w:lvl>
  </w:abstractNum>
  <w:abstractNum w:abstractNumId="8">
    <w:nsid w:val="475E256A"/>
    <w:multiLevelType w:val="hybridMultilevel"/>
    <w:lvl w:ilvl="0">
      <w:lvlJc w:val="left"/>
      <w:lvlText w:val="%1:"/>
      <w:numFmt w:val="upperLetter"/>
      <w:start w:val="1"/>
    </w:lvl>
  </w:abstractNum>
  <w:abstractNum w:abstractNumId="9">
    <w:nsid w:val="368DB37E"/>
    <w:multiLevelType w:val="hybridMultilevel"/>
    <w:lvl w:ilvl="0">
      <w:lvlJc w:val="left"/>
      <w:lvlText w:val="%1:"/>
      <w:numFmt w:val="upperLetter"/>
      <w:start w:val="17"/>
    </w:lvl>
  </w:abstractNum>
  <w:abstractNum w:abstractNumId="10">
    <w:nsid w:val="6A3B714C"/>
    <w:multiLevelType w:val="hybridMultilevel"/>
    <w:lvl w:ilvl="0">
      <w:lvlJc w:val="left"/>
      <w:lvlText w:val="%1:"/>
      <w:numFmt w:val="upperLetter"/>
      <w:start w:val="17"/>
    </w:lvl>
  </w:abstractNum>
  <w:abstractNum w:abstractNumId="11">
    <w:nsid w:val="327B517E"/>
    <w:multiLevelType w:val="hybridMultilevel"/>
    <w:lvl w:ilvl="0">
      <w:lvlJc w:val="left"/>
      <w:lvlText w:val="%1:"/>
      <w:numFmt w:val="upperLetter"/>
      <w:start w:val="1"/>
    </w:lvl>
  </w:abstractNum>
  <w:abstractNum w:abstractNumId="12">
    <w:nsid w:val="1F461B51"/>
    <w:multiLevelType w:val="hybridMultilevel"/>
    <w:lvl w:ilvl="0">
      <w:lvlJc w:val="left"/>
      <w:lvlText w:val="%1:"/>
      <w:numFmt w:val="upperLetter"/>
      <w:start w:val="17"/>
    </w:lvl>
  </w:abstractNum>
  <w:abstractNum w:abstractNumId="13">
    <w:nsid w:val="29BACF25"/>
    <w:multiLevelType w:val="hybridMultilevel"/>
    <w:lvl w:ilvl="0">
      <w:lvlJc w:val="left"/>
      <w:lvlText w:val="%1:"/>
      <w:numFmt w:val="upperLetter"/>
      <w:start w:val="1"/>
    </w:lvl>
  </w:abstractNum>
  <w:abstractNum w:abstractNumId="14">
    <w:nsid w:val="5D5BABB3"/>
    <w:multiLevelType w:val="hybridMultilevel"/>
    <w:lvl w:ilvl="0">
      <w:lvlJc w:val="left"/>
      <w:lvlText w:val="%1:"/>
      <w:numFmt w:val="upperLetter"/>
      <w:start w:val="17"/>
    </w:lvl>
  </w:abstractNum>
  <w:abstractNum w:abstractNumId="15">
    <w:nsid w:val="51BF6B48"/>
    <w:multiLevelType w:val="hybridMultilevel"/>
    <w:lvl w:ilvl="0">
      <w:lvlJc w:val="left"/>
      <w:lvlText w:val="%1:"/>
      <w:numFmt w:val="upperLetter"/>
      <w:start w:val="1"/>
    </w:lvl>
  </w:abstractNum>
  <w:abstractNum w:abstractNumId="16">
    <w:nsid w:val="7E0F6384"/>
    <w:multiLevelType w:val="hybridMultilevel"/>
    <w:lvl w:ilvl="0">
      <w:lvlJc w:val="left"/>
      <w:lvlText w:val="%1:"/>
      <w:numFmt w:val="upperLetter"/>
      <w:start w:val="17"/>
    </w:lvl>
  </w:abstractNum>
  <w:abstractNum w:abstractNumId="17">
    <w:nsid w:val="2B4B8B53"/>
    <w:multiLevelType w:val="hybridMultilevel"/>
    <w:lvl w:ilvl="0">
      <w:lvlJc w:val="left"/>
      <w:lvlText w:val="%1:"/>
      <w:numFmt w:val="upperLetter"/>
      <w:start w:val="1"/>
    </w:lvl>
  </w:abstractNum>
  <w:abstractNum w:abstractNumId="18">
    <w:nsid w:val="72E3413A"/>
    <w:multiLevelType w:val="hybridMultilevel"/>
    <w:lvl w:ilvl="0">
      <w:lvlJc w:val="left"/>
      <w:lvlText w:val="%1:"/>
      <w:numFmt w:val="upperLetter"/>
      <w:start w:val="17"/>
    </w:lvl>
  </w:abstractNum>
  <w:abstractNum w:abstractNumId="19">
    <w:nsid w:val="116AE494"/>
    <w:multiLevelType w:val="hybridMultilevel"/>
    <w:lvl w:ilvl="0">
      <w:lvlJc w:val="left"/>
      <w:lvlText w:val="%1:"/>
      <w:numFmt w:val="upperLetter"/>
      <w:start w:val="1"/>
    </w:lvl>
  </w:abstractNum>
  <w:abstractNum w:abstractNumId="20">
    <w:nsid w:val="3494B2FB"/>
    <w:multiLevelType w:val="hybridMultilevel"/>
    <w:lvl w:ilvl="0">
      <w:lvlJc w:val="left"/>
      <w:lvlText w:val="%1:"/>
      <w:numFmt w:val="upperLetter"/>
      <w:start w:val="17"/>
    </w:lvl>
  </w:abstractNum>
  <w:abstractNum w:abstractNumId="21">
    <w:nsid w:val="B13A31"/>
    <w:multiLevelType w:val="hybridMultilevel"/>
    <w:lvl w:ilvl="0">
      <w:lvlJc w:val="left"/>
      <w:lvlText w:val="%1:"/>
      <w:numFmt w:val="upperLetter"/>
      <w:start w:val="1"/>
    </w:lvl>
    <w:lvl w:ilvl="1">
      <w:lvlJc w:val="left"/>
      <w:lvlText w:val="(%2)"/>
      <w:numFmt w:val="decimal"/>
      <w:start w:val="1"/>
    </w:lvl>
  </w:abstractNum>
  <w:abstractNum w:abstractNumId="22">
    <w:nsid w:val="64429599"/>
    <w:multiLevelType w:val="hybridMultilevel"/>
    <w:lvl w:ilvl="0">
      <w:lvlJc w:val="left"/>
      <w:lvlText w:val="%1:"/>
      <w:numFmt w:val="upperLetter"/>
      <w:start w:val="17"/>
    </w:lvl>
  </w:abstractNum>
  <w:abstractNum w:abstractNumId="23">
    <w:nsid w:val="631F1690"/>
    <w:multiLevelType w:val="hybridMultilevel"/>
    <w:lvl w:ilvl="0">
      <w:lvlJc w:val="left"/>
      <w:lvlText w:val="%1:"/>
      <w:numFmt w:val="upperLetter"/>
      <w:start w:val="1"/>
    </w:lvl>
  </w:abstractNum>
  <w:abstractNum w:abstractNumId="24">
    <w:nsid w:val="25973E32"/>
    <w:multiLevelType w:val="hybridMultilevel"/>
    <w:lvl w:ilvl="0">
      <w:lvlJc w:val="left"/>
      <w:lvlText w:val="%1:"/>
      <w:numFmt w:val="upperLetter"/>
      <w:start w:val="17"/>
    </w:lvl>
  </w:abstractNum>
  <w:abstractNum w:abstractNumId="25">
    <w:nsid w:val="EAD6F57"/>
    <w:multiLevelType w:val="hybridMultilevel"/>
    <w:lvl w:ilvl="0">
      <w:lvlJc w:val="left"/>
      <w:lvlText w:val="%1:"/>
      <w:numFmt w:val="upperLetter"/>
      <w:start w:val="1"/>
    </w:lvl>
  </w:abstractNum>
  <w:abstractNum w:abstractNumId="26">
    <w:nsid w:val="6EC9D844"/>
    <w:multiLevelType w:val="hybridMultilevel"/>
    <w:lvl w:ilvl="0">
      <w:lvlJc w:val="left"/>
      <w:lvlText w:val="%1:"/>
      <w:numFmt w:val="upperLetter"/>
      <w:start w:val="17"/>
    </w:lvl>
  </w:abstractNum>
  <w:abstractNum w:abstractNumId="27">
    <w:nsid w:val="5C49EAEE"/>
    <w:multiLevelType w:val="hybridMultilevel"/>
    <w:lvl w:ilvl="0">
      <w:lvlJc w:val="left"/>
      <w:lvlText w:val="%1:"/>
      <w:numFmt w:val="upperLetter"/>
      <w:start w:val="1"/>
    </w:lvl>
  </w:abstractNum>
  <w:abstractNum w:abstractNumId="28">
    <w:nsid w:val="64AF49B"/>
    <w:multiLevelType w:val="hybridMultilevel"/>
    <w:lvl w:ilvl="0">
      <w:lvlJc w:val="left"/>
      <w:lvlText w:val="%1:"/>
      <w:numFmt w:val="upperLetter"/>
      <w:start w:val="17"/>
    </w:lvl>
  </w:abstractNum>
  <w:abstractNum w:abstractNumId="29">
    <w:nsid w:val="397C46BC"/>
    <w:multiLevelType w:val="hybridMultilevel"/>
    <w:lvl w:ilvl="0">
      <w:lvlJc w:val="left"/>
      <w:lvlText w:val="%1:"/>
      <w:numFmt w:val="upperLetter"/>
      <w:start w:val="1"/>
    </w:lvl>
  </w:abstractNum>
  <w:abstractNum w:abstractNumId="30">
    <w:nsid w:val="7E448DE9"/>
    <w:multiLevelType w:val="hybridMultilevel"/>
    <w:lvl w:ilvl="0">
      <w:lvlJc w:val="left"/>
      <w:lvlText w:val="%1:"/>
      <w:numFmt w:val="upperLetter"/>
      <w:start w:val="17"/>
    </w:lvl>
  </w:abstractNum>
  <w:abstractNum w:abstractNumId="31">
    <w:nsid w:val="5A9CC3E5"/>
    <w:multiLevelType w:val="hybridMultilevel"/>
    <w:lvl w:ilvl="0">
      <w:lvlJc w:val="left"/>
      <w:lvlText w:val="%1:"/>
      <w:numFmt w:val="upperLetter"/>
      <w:start w:val="1"/>
    </w:lvl>
  </w:abstractNum>
  <w:abstractNum w:abstractNumId="32">
    <w:nsid w:val="1AFE3625"/>
    <w:multiLevelType w:val="hybridMultilevel"/>
    <w:lvl w:ilvl="0">
      <w:lvlJc w:val="left"/>
      <w:lvlText w:val="%1:"/>
      <w:numFmt w:val="upperLetter"/>
      <w:start w:val="17"/>
    </w:lvl>
  </w:abstractNum>
  <w:abstractNum w:abstractNumId="33">
    <w:nsid w:val="3CA88ECF"/>
    <w:multiLevelType w:val="hybridMultilevel"/>
    <w:lvl w:ilvl="0">
      <w:lvlJc w:val="left"/>
      <w:lvlText w:val="%1:"/>
      <w:numFmt w:val="upperLetter"/>
      <w:start w:val="1"/>
    </w:lvl>
  </w:abstractNum>
  <w:abstractNum w:abstractNumId="34">
    <w:nsid w:val="6EBE4208"/>
    <w:multiLevelType w:val="hybridMultilevel"/>
    <w:lvl w:ilvl="0">
      <w:lvlJc w:val="left"/>
      <w:lvlText w:val="%1:"/>
      <w:numFmt w:val="upperLetter"/>
      <w:start w:val="17"/>
    </w:lvl>
  </w:abstractNum>
  <w:abstractNum w:abstractNumId="35">
    <w:nsid w:val="C058DF5"/>
    <w:multiLevelType w:val="hybridMultilevel"/>
    <w:lvl w:ilvl="0">
      <w:lvlJc w:val="left"/>
      <w:lvlText w:val="%1:"/>
      <w:numFmt w:val="upperLetter"/>
      <w:start w:val="1"/>
    </w:lvl>
  </w:abstractNum>
  <w:abstractNum w:abstractNumId="36">
    <w:nsid w:val="CBE5BE9"/>
    <w:multiLevelType w:val="hybridMultilevel"/>
    <w:lvl w:ilvl="0">
      <w:lvlJc w:val="left"/>
      <w:lvlText w:val="%1:"/>
      <w:numFmt w:val="upperLetter"/>
      <w:start w:val="17"/>
    </w:lvl>
  </w:abstractNum>
  <w:abstractNum w:abstractNumId="37">
    <w:nsid w:val="3102BBE2"/>
    <w:multiLevelType w:val="hybridMultilevel"/>
    <w:lvl w:ilvl="0">
      <w:lvlJc w:val="left"/>
      <w:lvlText w:val="%1:"/>
      <w:numFmt w:val="upperLetter"/>
      <w:start w:val="1"/>
    </w:lvl>
  </w:abstractNum>
  <w:abstractNum w:abstractNumId="38">
    <w:nsid w:val="26A02C5E"/>
    <w:multiLevelType w:val="hybridMultilevel"/>
    <w:lvl w:ilvl="0">
      <w:lvlJc w:val="left"/>
      <w:lvlText w:val="%1:"/>
      <w:numFmt w:val="upperLetter"/>
      <w:start w:val="17"/>
    </w:lvl>
  </w:abstractNum>
  <w:abstractNum w:abstractNumId="39">
    <w:nsid w:val="541C8153"/>
    <w:multiLevelType w:val="hybridMultilevel"/>
    <w:lvl w:ilvl="0">
      <w:lvlJc w:val="left"/>
      <w:lvlText w:val="%1:"/>
      <w:numFmt w:val="upperLetter"/>
      <w:start w:val="1"/>
    </w:lvl>
  </w:abstractNum>
  <w:abstractNum w:abstractNumId="40">
    <w:nsid w:val="67906F60"/>
    <w:multiLevelType w:val="hybridMultilevel"/>
    <w:lvl w:ilvl="0">
      <w:lvlJc w:val="left"/>
      <w:lvlText w:val="%1:"/>
      <w:numFmt w:val="upperLetter"/>
      <w:start w:val="17"/>
    </w:lvl>
  </w:abstractNum>
  <w:abstractNum w:abstractNumId="41">
    <w:nsid w:val="10DB9DAA"/>
    <w:multiLevelType w:val="hybridMultilevel"/>
    <w:lvl w:ilvl="0">
      <w:lvlJc w:val="left"/>
      <w:lvlText w:val="%1:"/>
      <w:numFmt w:val="upperLetter"/>
      <w:start w:val="1"/>
    </w:lvl>
  </w:abstractNum>
  <w:abstractNum w:abstractNumId="42">
    <w:nsid w:val="697D2D2"/>
    <w:multiLevelType w:val="hybridMultilevel"/>
    <w:lvl w:ilvl="0">
      <w:lvlJc w:val="left"/>
      <w:lvlText w:val="%1:"/>
      <w:numFmt w:val="upperLetter"/>
      <w:start w:val="17"/>
    </w:lvl>
  </w:abstractNum>
  <w:abstractNum w:abstractNumId="43">
    <w:nsid w:val="6D68AB2"/>
    <w:multiLevelType w:val="hybridMultilevel"/>
    <w:lvl w:ilvl="0">
      <w:lvlJc w:val="left"/>
      <w:lvlText w:val="%1:"/>
      <w:numFmt w:val="upperLetter"/>
      <w:start w:val="1"/>
    </w:lvl>
  </w:abstractNum>
  <w:abstractNum w:abstractNumId="44">
    <w:nsid w:val="3A966CD0"/>
    <w:multiLevelType w:val="hybridMultilevel"/>
    <w:lvl w:ilvl="0">
      <w:lvlJc w:val="left"/>
      <w:lvlText w:val="%1:"/>
      <w:numFmt w:val="upperLetter"/>
      <w:start w:val="17"/>
    </w:lvl>
  </w:abstractNum>
  <w:abstractNum w:abstractNumId="45">
    <w:nsid w:val="63F37E85"/>
    <w:multiLevelType w:val="hybridMultilevel"/>
    <w:lvl w:ilvl="0">
      <w:lvlJc w:val="left"/>
      <w:lvlText w:val="%1:"/>
      <w:numFmt w:val="upperLetter"/>
      <w:start w:val="1"/>
    </w:lvl>
  </w:abstractNum>
  <w:abstractNum w:abstractNumId="46">
    <w:nsid w:val="5895F5FA"/>
    <w:multiLevelType w:val="hybridMultilevel"/>
    <w:lvl w:ilvl="0">
      <w:lvlJc w:val="left"/>
      <w:lvlText w:val="%1:"/>
      <w:numFmt w:val="upperLetter"/>
      <w:start w:val="17"/>
    </w:lvl>
  </w:abstractNum>
  <w:abstractNum w:abstractNumId="47">
    <w:nsid w:val="38A5D054"/>
    <w:multiLevelType w:val="hybridMultilevel"/>
    <w:lvl w:ilvl="0">
      <w:lvlJc w:val="left"/>
      <w:lvlText w:val="%1:"/>
      <w:numFmt w:val="upperLetter"/>
      <w:start w:val="1"/>
    </w:lvl>
  </w:abstractNum>
  <w:abstractNum w:abstractNumId="48">
    <w:nsid w:val="F3F09D8"/>
    <w:multiLevelType w:val="hybridMultilevel"/>
    <w:lvl w:ilvl="0">
      <w:lvlJc w:val="left"/>
      <w:lvlText w:val="%1:"/>
      <w:numFmt w:val="upperLetter"/>
      <w:start w:val="17"/>
    </w:lvl>
  </w:abstractNum>
  <w:abstractNum w:abstractNumId="49">
    <w:nsid w:val="4B793735"/>
    <w:multiLevelType w:val="hybridMultilevel"/>
    <w:lvl w:ilvl="0">
      <w:lvlJc w:val="left"/>
      <w:lvlText w:val="%1:"/>
      <w:numFmt w:val="upperLetter"/>
      <w:start w:val="1"/>
    </w:lvl>
  </w:abstractNum>
  <w:abstractNum w:abstractNumId="50">
    <w:nsid w:val="4A10B4E8"/>
    <w:multiLevelType w:val="hybridMultilevel"/>
    <w:lvl w:ilvl="0">
      <w:lvlJc w:val="left"/>
      <w:lvlText w:val="%1:"/>
      <w:numFmt w:val="upperLetter"/>
      <w:start w:val="17"/>
    </w:lvl>
  </w:abstractNum>
  <w:abstractNum w:abstractNumId="51">
    <w:nsid w:val="43D3BCD4"/>
    <w:multiLevelType w:val="hybridMultilevel"/>
    <w:lvl w:ilvl="0">
      <w:lvlJc w:val="left"/>
      <w:lvlText w:val="%1:"/>
      <w:numFmt w:val="upperLetter"/>
      <w:start w:val="1"/>
    </w:lvl>
  </w:abstractNum>
  <w:abstractNum w:abstractNumId="52">
    <w:nsid w:val="4C2A7166"/>
    <w:multiLevelType w:val="hybridMultilevel"/>
    <w:lvl w:ilvl="0">
      <w:lvlJc w:val="left"/>
      <w:lvlText w:val="%1:"/>
      <w:numFmt w:val="upperLetter"/>
      <w:start w:val="17"/>
    </w:lvl>
  </w:abstractNum>
  <w:abstractNum w:abstractNumId="53">
    <w:nsid w:val="2E534A82"/>
    <w:multiLevelType w:val="hybridMultilevel"/>
    <w:lvl w:ilvl="0">
      <w:lvlJc w:val="left"/>
      <w:lvlText w:val="%1:"/>
      <w:numFmt w:val="upperLetter"/>
      <w:start w:val="1"/>
    </w:lvl>
  </w:abstractNum>
  <w:abstractNum w:abstractNumId="54">
    <w:nsid w:val="26F2D364"/>
    <w:multiLevelType w:val="hybridMultilevel"/>
    <w:lvl w:ilvl="0">
      <w:lvlJc w:val="left"/>
      <w:lvlText w:val="%1:"/>
      <w:numFmt w:val="upperLetter"/>
      <w:start w:val="17"/>
    </w:lvl>
  </w:abstractNum>
  <w:abstractNum w:abstractNumId="55">
    <w:nsid w:val="71C1AF98"/>
    <w:multiLevelType w:val="hybridMultilevel"/>
    <w:lvl w:ilvl="0">
      <w:lvlJc w:val="left"/>
      <w:lvlText w:val="%1:"/>
      <w:numFmt w:val="upperLetter"/>
      <w:start w:val="1"/>
    </w:lvl>
  </w:abstractNum>
  <w:abstractNum w:abstractNumId="56">
    <w:nsid w:val="3D00B9D9"/>
    <w:multiLevelType w:val="hybridMultilevel"/>
    <w:lvl w:ilvl="0">
      <w:lvlJc w:val="left"/>
      <w:lvlText w:val="%1:"/>
      <w:numFmt w:val="upperLetter"/>
      <w:start w:val="17"/>
    </w:lvl>
  </w:abstractNum>
  <w:abstractNum w:abstractNumId="57">
    <w:nsid w:val="15BCABA8"/>
    <w:multiLevelType w:val="hybridMultilevel"/>
    <w:lvl w:ilvl="0">
      <w:lvlJc w:val="left"/>
      <w:lvlText w:val="%1:"/>
      <w:numFmt w:val="upperLetter"/>
      <w:start w:val="1"/>
    </w:lvl>
  </w:abstractNum>
  <w:abstractNum w:abstractNumId="58">
    <w:nsid w:val="4E0B9A87"/>
    <w:multiLevelType w:val="hybridMultilevel"/>
    <w:lvl w:ilvl="0">
      <w:lvlJc w:val="left"/>
      <w:lvlText w:val="%1:"/>
      <w:numFmt w:val="upperLetter"/>
      <w:start w:val="17"/>
    </w:lvl>
  </w:abstractNum>
  <w:abstractNum w:abstractNumId="59">
    <w:nsid w:val="434BAE75"/>
    <w:multiLevelType w:val="hybridMultilevel"/>
    <w:lvl w:ilvl="0">
      <w:lvlJc w:val="left"/>
      <w:lvlText w:val="%1:"/>
      <w:numFmt w:val="upperLetter"/>
      <w:start w:val="1"/>
    </w:lvl>
  </w:abstractNum>
  <w:abstractNum w:abstractNumId="60">
    <w:nsid w:val="4F38F265"/>
    <w:multiLevelType w:val="hybridMultilevel"/>
    <w:lvl w:ilvl="0">
      <w:lvlJc w:val="left"/>
      <w:lvlText w:val="%1:"/>
      <w:numFmt w:val="upperLetter"/>
      <w:start w:val="17"/>
    </w:lvl>
  </w:abstractNum>
  <w:abstractNum w:abstractNumId="61">
    <w:nsid w:val="4C502870"/>
    <w:multiLevelType w:val="hybridMultilevel"/>
    <w:lvl w:ilvl="0">
      <w:lvlJc w:val="left"/>
      <w:lvlText w:val="%1:"/>
      <w:numFmt w:val="upperLetter"/>
      <w:start w:val="1"/>
    </w:lvl>
  </w:abstractNum>
  <w:abstractNum w:abstractNumId="62">
    <w:nsid w:val="1DE8725A"/>
    <w:multiLevelType w:val="hybridMultilevel"/>
    <w:lvl w:ilvl="0">
      <w:lvlJc w:val="left"/>
      <w:lvlText w:val="%1:"/>
      <w:numFmt w:val="upperLetter"/>
      <w:start w:val="17"/>
    </w:lvl>
  </w:abstractNum>
  <w:abstractNum w:abstractNumId="63">
    <w:nsid w:val="6A37288A"/>
    <w:multiLevelType w:val="hybridMultilevel"/>
    <w:lvl w:ilvl="0">
      <w:lvlJc w:val="left"/>
      <w:lvlText w:val="%1:"/>
      <w:numFmt w:val="upperLetter"/>
      <w:start w:val="1"/>
    </w:lvl>
  </w:abstractNum>
  <w:abstractNum w:abstractNumId="64">
    <w:nsid w:val="8F8B73F"/>
    <w:multiLevelType w:val="hybridMultilevel"/>
    <w:lvl w:ilvl="0">
      <w:lvlJc w:val="left"/>
      <w:lvlText w:val="%1:"/>
      <w:numFmt w:val="upperLetter"/>
      <w:start w:val="17"/>
    </w:lvl>
  </w:abstractNum>
  <w:abstractNum w:abstractNumId="65">
    <w:nsid w:val="CA6B462"/>
    <w:multiLevelType w:val="hybridMultilevel"/>
    <w:lvl w:ilvl="0">
      <w:lvlJc w:val="left"/>
      <w:lvlText w:val="%1:"/>
      <w:numFmt w:val="upperLetter"/>
      <w:start w:val="1"/>
    </w:lvl>
  </w:abstractNum>
  <w:abstractNum w:abstractNumId="66">
    <w:nsid w:val="763CB680"/>
    <w:multiLevelType w:val="hybridMultilevel"/>
    <w:lvl w:ilvl="0">
      <w:lvlJc w:val="left"/>
      <w:lvlText w:val="%1:"/>
      <w:numFmt w:val="upperLetter"/>
      <w:start w:val="17"/>
    </w:lvl>
  </w:abstractNum>
  <w:abstractNum w:abstractNumId="67">
    <w:nsid w:val="15B71329"/>
    <w:multiLevelType w:val="hybridMultilevel"/>
    <w:lvl w:ilvl="0">
      <w:lvlJc w:val="left"/>
      <w:lvlText w:val="%1:"/>
      <w:numFmt w:val="upperLetter"/>
      <w:start w:val="1"/>
    </w:lvl>
  </w:abstractNum>
  <w:abstractNum w:abstractNumId="68">
    <w:nsid w:val="3DA97044"/>
    <w:multiLevelType w:val="hybridMultilevel"/>
    <w:lvl w:ilvl="0">
      <w:lvlJc w:val="left"/>
      <w:lvlText w:val="%1:"/>
      <w:numFmt w:val="upperLetter"/>
      <w:start w:val="17"/>
    </w:lvl>
  </w:abstractNum>
  <w:abstractNum w:abstractNumId="69">
    <w:nsid w:val="1CDCE2DE"/>
    <w:multiLevelType w:val="hybridMultilevel"/>
    <w:lvl w:ilvl="0">
      <w:lvlJc w:val="left"/>
      <w:lvlText w:val="%1:"/>
      <w:numFmt w:val="upperLetter"/>
      <w:start w:val="1"/>
    </w:lvl>
  </w:abstractNum>
  <w:abstractNum w:abstractNumId="70">
    <w:nsid w:val="69D3947C"/>
    <w:multiLevelType w:val="hybridMultilevel"/>
    <w:lvl w:ilvl="0">
      <w:lvlJc w:val="left"/>
      <w:lvlText w:val="%1:"/>
      <w:numFmt w:val="upperLetter"/>
      <w:start w:val="17"/>
    </w:lvl>
  </w:abstractNum>
  <w:abstractNum w:abstractNumId="71">
    <w:nsid w:val="2539DFA5"/>
    <w:multiLevelType w:val="hybridMultilevel"/>
    <w:lvl w:ilvl="0">
      <w:lvlJc w:val="left"/>
      <w:lvlText w:val="%1:"/>
      <w:numFmt w:val="upperLetter"/>
      <w:start w:val="1"/>
    </w:lvl>
  </w:abstractNum>
  <w:abstractNum w:abstractNumId="72">
    <w:nsid w:val="2DB88089"/>
    <w:multiLevelType w:val="hybridMultilevel"/>
    <w:lvl w:ilvl="0">
      <w:lvlJc w:val="left"/>
      <w:lvlText w:val="%1:"/>
      <w:numFmt w:val="upperLetter"/>
      <w:start w:val="17"/>
    </w:lvl>
  </w:abstractNum>
  <w:abstractNum w:abstractNumId="73">
    <w:nsid w:val="706B674E"/>
    <w:multiLevelType w:val="hybridMultilevel"/>
    <w:lvl w:ilvl="0">
      <w:lvlJc w:val="left"/>
      <w:lvlText w:val="%1:"/>
      <w:numFmt w:val="upperLetter"/>
      <w:start w:val="1"/>
    </w:lvl>
  </w:abstractNum>
  <w:abstractNum w:abstractNumId="74">
    <w:nsid w:val="2C106A57"/>
    <w:multiLevelType w:val="hybridMultilevel"/>
    <w:lvl w:ilvl="0">
      <w:lvlJc w:val="left"/>
      <w:lvlText w:val="%1:"/>
      <w:numFmt w:val="upperLetter"/>
      <w:start w:val="17"/>
    </w:lvl>
  </w:abstractNum>
  <w:abstractNum w:abstractNumId="75">
    <w:nsid w:val="684EED59"/>
    <w:multiLevelType w:val="hybridMultilevel"/>
    <w:lvl w:ilvl="0">
      <w:lvlJc w:val="left"/>
      <w:lvlText w:val="%1:"/>
      <w:numFmt w:val="upperLetter"/>
      <w:start w:val="1"/>
    </w:lvl>
  </w:abstractNum>
  <w:abstractNum w:abstractNumId="76">
    <w:nsid w:val="545EE5D3"/>
    <w:multiLevelType w:val="hybridMultilevel"/>
    <w:lvl w:ilvl="0">
      <w:lvlJc w:val="left"/>
      <w:lvlText w:val="%1:"/>
      <w:numFmt w:val="upperLetter"/>
      <w:start w:val="17"/>
    </w:lvl>
  </w:abstractNum>
  <w:abstractNum w:abstractNumId="77">
    <w:nsid w:val="4A66051"/>
    <w:multiLevelType w:val="hybridMultilevel"/>
    <w:lvl w:ilvl="0">
      <w:lvlJc w:val="left"/>
      <w:lvlText w:val="%1:"/>
      <w:numFmt w:val="upperLetter"/>
      <w:start w:val="1"/>
    </w:lvl>
  </w:abstractNum>
  <w:abstractNum w:abstractNumId="78">
    <w:nsid w:val="20F4BDAD"/>
    <w:multiLevelType w:val="hybridMultilevel"/>
    <w:lvl w:ilvl="0">
      <w:lvlJc w:val="left"/>
      <w:lvlText w:val="•"/>
      <w:numFmt w:val="bullet"/>
      <w:start w:val="1"/>
    </w:lvl>
  </w:abstractNum>
  <w:abstractNum w:abstractNumId="79">
    <w:nsid w:val="639DEFAC"/>
    <w:multiLevelType w:val="hybridMultilevel"/>
    <w:lvl w:ilvl="0">
      <w:lvlJc w:val="left"/>
      <w:lvlText w:val="•"/>
      <w:numFmt w:val="bullet"/>
      <w:start w:val="1"/>
    </w:lvl>
  </w:abstractNum>
  <w:abstractNum w:abstractNumId="80">
    <w:nsid w:val="501F9786"/>
    <w:multiLevelType w:val="hybridMultilevel"/>
    <w:lvl w:ilvl="0">
      <w:lvlJc w:val="left"/>
      <w:lvlText w:val="•"/>
      <w:numFmt w:val="bullet"/>
      <w:start w:val="1"/>
    </w:lvl>
  </w:abstractNum>
  <w:abstractNum w:abstractNumId="81">
    <w:nsid w:val="6B057295"/>
    <w:multiLevelType w:val="hybridMultilevel"/>
    <w:lvl w:ilvl="0">
      <w:lvlJc w:val="left"/>
      <w:lvlText w:val="•"/>
      <w:numFmt w:val="bullet"/>
      <w:start w:val="1"/>
    </w:lvl>
  </w:abstractNum>
  <w:abstractNum w:abstractNumId="82">
    <w:nsid w:val="2771AC80"/>
    <w:multiLevelType w:val="hybridMultilevel"/>
    <w:lvl w:ilvl="0">
      <w:lvlJc w:val="left"/>
      <w:lvlText w:val="•"/>
      <w:numFmt w:val="bullet"/>
      <w:start w:val="1"/>
    </w:lvl>
  </w:abstractNum>
  <w:abstractNum w:abstractNumId="83">
    <w:nsid w:val="1C4A08EC"/>
    <w:multiLevelType w:val="hybridMultilevel"/>
    <w:lvl w:ilvl="0">
      <w:lvlJc w:val="left"/>
      <w:lvlText w:val="•"/>
      <w:numFmt w:val="bullet"/>
      <w:start w:val="1"/>
    </w:lvl>
  </w:abstractNum>
  <w:abstractNum w:abstractNumId="84">
    <w:nsid w:val="1958BD17"/>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85">
    <w:nsid w:val="4E647FE4"/>
    <w:multiLevelType w:val="hybridMultilevel"/>
    <w:lvl w:ilvl="0">
      <w:lvlJc w:val="left"/>
      <w:lvlText w:val="•"/>
      <w:numFmt w:val="bullet"/>
      <w:start w:val="1"/>
    </w:lvl>
  </w:abstractNum>
  <w:abstractNum w:abstractNumId="86">
    <w:nsid w:val="E0BB885"/>
    <w:multiLevelType w:val="hybridMultilevel"/>
    <w:lvl w:ilvl="0">
      <w:lvlJc w:val="left"/>
      <w:lvlText w:val="•"/>
      <w:numFmt w:val="bullet"/>
      <w:start w:val="1"/>
    </w:lvl>
  </w:abstractNum>
  <w:abstractNum w:abstractNumId="87">
    <w:nsid w:val="565976F1"/>
    <w:multiLevelType w:val="hybridMultilevel"/>
    <w:lvl w:ilvl="0">
      <w:lvlJc w:val="left"/>
      <w:lvlText w:val="•"/>
      <w:numFmt w:val="bullet"/>
      <w:start w:val="1"/>
    </w:lvl>
    <w:lvl w:ilvl="1">
      <w:lvlJc w:val="left"/>
      <w:lvlText w:val="(%2)"/>
      <w:numFmt w:val="lowerRoman"/>
      <w:start w:val="2"/>
    </w:lvl>
  </w:abstractNum>
  <w:abstractNum w:abstractNumId="88">
    <w:nsid w:val="64212B8C"/>
    <w:multiLevelType w:val="hybridMultilevel"/>
    <w:lvl w:ilvl="0">
      <w:lvlJc w:val="left"/>
      <w:lvlText w:val="(%1)"/>
      <w:numFmt w:val="lowerRoman"/>
      <w:start w:val="3"/>
    </w:lvl>
  </w:abstractNum>
  <w:abstractNum w:abstractNumId="89">
    <w:nsid w:val="5C17530C"/>
    <w:multiLevelType w:val="hybridMultilevel"/>
    <w:lvl w:ilvl="0">
      <w:lvlJc w:val="left"/>
      <w:lvlText w:val="•"/>
      <w:numFmt w:val="bullet"/>
      <w:start w:val="1"/>
    </w:lvl>
  </w:abstractNum>
  <w:abstractNum w:abstractNumId="90">
    <w:nsid w:val="19A52566"/>
    <w:multiLevelType w:val="hybridMultilevel"/>
    <w:lvl w:ilvl="0">
      <w:lvlJc w:val="left"/>
      <w:lvlText w:val="(%1)"/>
      <w:numFmt w:val="lowerRoman"/>
      <w:start w:val="1"/>
    </w:lvl>
  </w:abstractNum>
  <w:abstractNum w:abstractNumId="91">
    <w:nsid w:val="335A1DF1"/>
    <w:multiLevelType w:val="hybridMultilevel"/>
    <w:lvl w:ilvl="0">
      <w:lvlJc w:val="left"/>
      <w:lvlText w:val="(%1)"/>
      <w:numFmt w:val="lowerRoman"/>
      <w:start w:val="2"/>
    </w:lvl>
  </w:abstractNum>
  <w:abstractNum w:abstractNumId="92">
    <w:nsid w:val="28677B7C"/>
    <w:multiLevelType w:val="hybridMultilevel"/>
    <w:lvl w:ilvl="0">
      <w:lvlJc w:val="left"/>
      <w:lvlText w:val="•"/>
      <w:numFmt w:val="bullet"/>
      <w:start w:val="1"/>
    </w:lvl>
  </w:abstractNum>
  <w:abstractNum w:abstractNumId="93">
    <w:nsid w:val="378D97C0"/>
    <w:multiLevelType w:val="hybridMultilevel"/>
    <w:lvl w:ilvl="0">
      <w:lvlJc w:val="left"/>
      <w:lvlText w:val="(%1)"/>
      <w:numFmt w:val="lowerRoman"/>
      <w:start w:val="3"/>
    </w:lvl>
  </w:abstractNum>
  <w:abstractNum w:abstractNumId="94">
    <w:nsid w:val="1D91467C"/>
    <w:multiLevelType w:val="hybridMultilevel"/>
    <w:lvl w:ilvl="0">
      <w:lvlJc w:val="left"/>
      <w:lvlText w:val="(%1)"/>
      <w:numFmt w:val="decimal"/>
      <w:start w:val="1"/>
    </w:lvl>
  </w:abstractNum>
  <w:abstractNum w:abstractNumId="95">
    <w:nsid w:val="316032BB"/>
    <w:multiLevelType w:val="hybridMultilevel"/>
    <w:lvl w:ilvl="0">
      <w:lvlJc w:val="left"/>
      <w:lvlText w:val="•"/>
      <w:numFmt w:val="bullet"/>
      <w:start w:val="1"/>
    </w:lvl>
  </w:abstractNum>
  <w:abstractNum w:abstractNumId="96">
    <w:nsid w:val="44344C22"/>
    <w:multiLevelType w:val="hybridMultilevel"/>
    <w:lvl w:ilvl="0">
      <w:lvlJc w:val="left"/>
      <w:lvlText w:val="•"/>
      <w:numFmt w:val="bullet"/>
      <w:start w:val="1"/>
    </w:lvl>
  </w:abstractNum>
  <w:abstractNum w:abstractNumId="97">
    <w:nsid w:val="13CDFCFC"/>
    <w:multiLevelType w:val="hybridMultilevel"/>
    <w:lvl w:ilvl="0">
      <w:lvlJc w:val="left"/>
      <w:lvlText w:val="(%1)"/>
      <w:numFmt w:val="decimal"/>
      <w:start w:val="2"/>
    </w:lvl>
  </w:abstractNum>
  <w:abstractNum w:abstractNumId="98">
    <w:nsid w:val="471745E4"/>
    <w:multiLevelType w:val="hybridMultilevel"/>
    <w:lvl w:ilvl="0">
      <w:lvlJc w:val="left"/>
      <w:lvlText w:val="(%1)"/>
      <w:numFmt w:val="decimal"/>
      <w:start w:val="4"/>
    </w:lvl>
  </w:abstractNum>
  <w:abstractNum w:abstractNumId="99">
    <w:nsid w:val="1DDBC66"/>
    <w:multiLevelType w:val="hybridMultilevel"/>
    <w:lvl w:ilvl="0">
      <w:lvlJc w:val="left"/>
      <w:lvlText w:val="(%1)"/>
      <w:numFmt w:val="decimal"/>
      <w:start w:val="2"/>
    </w:lvl>
  </w:abstractNum>
  <w:abstractNum w:abstractNumId="100">
    <w:nsid w:val="30AADFDA"/>
    <w:multiLevelType w:val="hybridMultilevel"/>
    <w:lvl w:ilvl="0">
      <w:lvlJc w:val="left"/>
      <w:lvlText w:val="(%1)"/>
      <w:numFmt w:val="decimal"/>
      <w:start w:val="1"/>
    </w:lvl>
  </w:abstractNum>
  <w:abstractNum w:abstractNumId="101">
    <w:nsid w:val="30EADA61"/>
    <w:multiLevelType w:val="hybridMultilevel"/>
    <w:lvl w:ilvl="0">
      <w:lvlJc w:val="left"/>
      <w:lvlText w:val="(%1)"/>
      <w:numFmt w:val="decimal"/>
      <w:start w:val="5"/>
    </w:lvl>
  </w:abstractNum>
  <w:abstractNum w:abstractNumId="102">
    <w:nsid w:val="27179C0B"/>
    <w:multiLevelType w:val="hybridMultilevel"/>
    <w:lvl w:ilvl="0">
      <w:lvlJc w:val="left"/>
      <w:lvlText w:val="(%1)"/>
      <w:numFmt w:val="lowerRoman"/>
      <w:start w:val="1"/>
    </w:lvl>
  </w:abstractNum>
  <w:abstractNum w:abstractNumId="103">
    <w:nsid w:val="5E636063"/>
    <w:multiLevelType w:val="hybridMultilevel"/>
    <w:lvl w:ilvl="0">
      <w:lvlJc w:val="left"/>
      <w:lvlText w:val="•"/>
      <w:numFmt w:val="bullet"/>
      <w:start w:val="1"/>
    </w:lvl>
    <w:lvl w:ilvl="1">
      <w:lvlJc w:val="left"/>
      <w:lvlText w:val="(%2)"/>
      <w:numFmt w:val="upperLetter"/>
      <w:start w:val="2"/>
    </w:lvl>
  </w:abstractNum>
  <w:abstractNum w:abstractNumId="104">
    <w:nsid w:val="215641AF"/>
    <w:multiLevelType w:val="hybridMultilevel"/>
    <w:lvl w:ilvl="0">
      <w:lvlJc w:val="left"/>
      <w:lvlText w:val="•"/>
      <w:numFmt w:val="bullet"/>
      <w:start w:val="1"/>
    </w:lvl>
    <w:lvl w:ilvl="1">
      <w:lvlJc w:val="left"/>
      <w:lvlText w:val="(%2)"/>
      <w:numFmt w:val="upperLetter"/>
      <w:start w:val="4"/>
    </w:lvl>
  </w:abstractNum>
  <w:abstractNum w:abstractNumId="105">
    <w:nsid w:val="53280662"/>
    <w:multiLevelType w:val="hybridMultilevel"/>
    <w:lvl w:ilvl="0">
      <w:lvlJc w:val="left"/>
      <w:lvlText w:val="•"/>
      <w:numFmt w:val="bullet"/>
      <w:start w:val="1"/>
    </w:lvl>
    <w:lvl w:ilvl="1">
      <w:lvlJc w:val="left"/>
      <w:lvlText w:val="(%2)"/>
      <w:numFmt w:val="upperLetter"/>
      <w:start w:val="7"/>
    </w:lvl>
  </w:abstractNum>
  <w:abstractNum w:abstractNumId="106">
    <w:nsid w:val="46B24DBC"/>
    <w:multiLevelType w:val="hybridMultilevel"/>
    <w:lvl w:ilvl="0">
      <w:lvlJc w:val="left"/>
      <w:lvlText w:val="•"/>
      <w:numFmt w:val="bullet"/>
      <w:start w:val="1"/>
    </w:lvl>
    <w:lvl w:ilvl="1">
      <w:lvlJc w:val="left"/>
      <w:lvlText w:val="(%2)"/>
      <w:numFmt w:val="upperLetter"/>
      <w:start w:val="9"/>
    </w:lvl>
  </w:abstractNum>
  <w:abstractNum w:abstractNumId="107">
    <w:nsid w:val="75B52783"/>
    <w:multiLevelType w:val="hybridMultilevel"/>
    <w:lvl w:ilvl="0">
      <w:lvlJc w:val="left"/>
      <w:lvlText w:val="•"/>
      <w:numFmt w:val="bullet"/>
      <w:start w:val="1"/>
    </w:lvl>
    <w:lvl w:ilvl="1">
      <w:lvlJc w:val="left"/>
      <w:lvlText w:val="(%2)"/>
      <w:numFmt w:val="upperLetter"/>
      <w:start w:val="11"/>
    </w:lvl>
  </w:abstractNum>
  <w:abstractNum w:abstractNumId="108">
    <w:nsid w:val="57CE66B4"/>
    <w:multiLevelType w:val="hybridMultilevel"/>
    <w:lvl w:ilvl="0">
      <w:lvlJc w:val="left"/>
      <w:lvlText w:val="•"/>
      <w:numFmt w:val="bullet"/>
      <w:start w:val="1"/>
    </w:lvl>
    <w:lvl w:ilvl="1">
      <w:lvlJc w:val="left"/>
      <w:lvlText w:val="(%2)"/>
      <w:numFmt w:val="upperLetter"/>
      <w:start w:val="1"/>
    </w:lvl>
  </w:abstractNum>
  <w:abstractNum w:abstractNumId="109">
    <w:nsid w:val="67A70B69"/>
    <w:multiLevelType w:val="hybridMultilevel"/>
    <w:lvl w:ilvl="0">
      <w:lvlJc w:val="left"/>
      <w:lvlText w:val="•"/>
      <w:numFmt w:val="bullet"/>
      <w:start w:val="1"/>
    </w:lvl>
    <w:lvl w:ilvl="1">
      <w:lvlJc w:val="left"/>
      <w:lvlText w:val="(%2)"/>
      <w:numFmt w:val="upperLetter"/>
      <w:start w:val="4"/>
    </w:lvl>
  </w:abstractNum>
  <w:abstractNum w:abstractNumId="110">
    <w:nsid w:val="5953172F"/>
    <w:multiLevelType w:val="hybridMultilevel"/>
    <w:lvl w:ilvl="0">
      <w:lvlJc w:val="left"/>
      <w:lvlText w:val="•"/>
      <w:numFmt w:val="bullet"/>
      <w:start w:val="1"/>
    </w:lvl>
  </w:abstractNum>
  <w:abstractNum w:abstractNumId="111">
    <w:nsid w:val="27EDFE3A"/>
    <w:multiLevelType w:val="hybridMultilevel"/>
    <w:lvl w:ilvl="0">
      <w:lvlJc w:val="left"/>
      <w:lvlText w:val="•"/>
      <w:numFmt w:val="bullet"/>
      <w:start w:val="1"/>
    </w:lvl>
  </w:abstractNum>
  <w:abstractNum w:abstractNumId="112">
    <w:nsid w:val="52AC7DFF"/>
    <w:multiLevelType w:val="hybridMultilevel"/>
    <w:lvl w:ilvl="0">
      <w:lvlJc w:val="left"/>
      <w:lvlText w:val="•"/>
      <w:numFmt w:val="bullet"/>
      <w:start w:val="1"/>
    </w:lvl>
  </w:abstractNum>
  <w:abstractNum w:abstractNumId="113">
    <w:nsid w:val="C4C3AF"/>
    <w:multiLevelType w:val="hybridMultilevel"/>
    <w:lvl w:ilvl="0">
      <w:lvlJc w:val="left"/>
      <w:lvlText w:val="•"/>
      <w:numFmt w:val="bullet"/>
      <w:start w:val="1"/>
    </w:lvl>
  </w:abstractNum>
  <w:abstractNum w:abstractNumId="114">
    <w:nsid w:val="44380727"/>
    <w:multiLevelType w:val="hybridMultilevel"/>
    <w:lvl w:ilvl="0">
      <w:lvlJc w:val="left"/>
      <w:lvlText w:val="•"/>
      <w:numFmt w:val="bullet"/>
      <w:start w:val="1"/>
    </w:lvl>
  </w:abstractNum>
  <w:abstractNum w:abstractNumId="115">
    <w:nsid w:val="6C053B16"/>
    <w:multiLevelType w:val="hybridMultilevel"/>
    <w:lvl w:ilvl="0">
      <w:lvlJc w:val="left"/>
      <w:lvlText w:val="(%1)"/>
      <w:numFmt w:val="lowerRoman"/>
      <w:start w:val="3"/>
    </w:lvl>
  </w:abstractNum>
  <w:abstractNum w:abstractNumId="116">
    <w:nsid w:val="4F294393"/>
    <w:multiLevelType w:val="hybridMultilevel"/>
    <w:lvl w:ilvl="0">
      <w:lvlJc w:val="left"/>
      <w:lvlText w:val="•"/>
      <w:numFmt w:val="bullet"/>
      <w:start w:val="1"/>
    </w:lvl>
  </w:abstractNum>
  <w:abstractNum w:abstractNumId="117">
    <w:nsid w:val="5243BFAC"/>
    <w:multiLevelType w:val="hybridMultilevel"/>
    <w:lvl w:ilvl="0">
      <w:lvlJc w:val="left"/>
      <w:lvlText w:val="•"/>
      <w:numFmt w:val="bullet"/>
      <w:start w:val="1"/>
    </w:lvl>
  </w:abstractNum>
  <w:abstractNum w:abstractNumId="118">
    <w:nsid w:val="425EB207"/>
    <w:multiLevelType w:val="hybridMultilevel"/>
    <w:lvl w:ilvl="0">
      <w:lvlJc w:val="left"/>
      <w:lvlText w:val="•"/>
      <w:numFmt w:val="bullet"/>
      <w:start w:val="1"/>
    </w:lvl>
  </w:abstractNum>
  <w:abstractNum w:abstractNumId="119">
    <w:nsid w:val="334A6F1F"/>
    <w:multiLevelType w:val="hybridMultilevel"/>
    <w:lvl w:ilvl="0">
      <w:lvlJc w:val="left"/>
      <w:lvlText w:val="•"/>
      <w:numFmt w:val="bullet"/>
      <w:start w:val="1"/>
    </w:lvl>
  </w:abstractNum>
  <w:abstractNum w:abstractNumId="120">
    <w:nsid w:val="2E5B12B8"/>
    <w:multiLevelType w:val="hybridMultilevel"/>
    <w:lvl w:ilvl="0">
      <w:lvlJc w:val="left"/>
      <w:lvlText w:val="•"/>
      <w:numFmt w:val="bullet"/>
      <w:start w:val="1"/>
    </w:lvl>
  </w:abstractNum>
  <w:abstractNum w:abstractNumId="121">
    <w:nsid w:val="5C03D76D"/>
    <w:multiLevelType w:val="hybridMultilevel"/>
    <w:lvl w:ilvl="0">
      <w:lvlJc w:val="left"/>
      <w:lvlText w:val="•"/>
      <w:numFmt w:val="bullet"/>
      <w:start w:val="1"/>
    </w:lvl>
    <w:lvl w:ilvl="1">
      <w:lvlJc w:val="left"/>
      <w:lvlText w:val="•"/>
      <w:numFmt w:val="bullet"/>
      <w:start w:val="1"/>
    </w:lvl>
  </w:abstractNum>
  <w:abstractNum w:abstractNumId="122">
    <w:nsid w:val="66A48D11"/>
    <w:multiLevelType w:val="hybridMultilevel"/>
    <w:lvl w:ilvl="0">
      <w:lvlJc w:val="left"/>
      <w:lvlText w:val="*"/>
      <w:numFmt w:val="bullet"/>
      <w:start w:val="1"/>
    </w:lvl>
  </w:abstractNum>
  <w:abstractNum w:abstractNumId="123">
    <w:nsid w:val="56C28E34"/>
    <w:multiLevelType w:val="hybridMultilevel"/>
    <w:lvl w:ilvl="0">
      <w:lvlJc w:val="left"/>
      <w:lvlText w:val="(%1)"/>
      <w:numFmt w:val="decimal"/>
      <w:start w:val="1"/>
    </w:lvl>
  </w:abstractNum>
  <w:abstractNum w:abstractNumId="124">
    <w:nsid w:val="13916F2D"/>
    <w:multiLevelType w:val="hybridMultilevel"/>
    <w:lvl w:ilvl="0">
      <w:lvlJc w:val="left"/>
      <w:lvlText w:val="(%1)"/>
      <w:numFmt w:val="decimal"/>
      <w:start w:val="1"/>
    </w:lvl>
  </w:abstractNum>
  <w:abstractNum w:abstractNumId="125">
    <w:nsid w:val="435D38D"/>
    <w:multiLevelType w:val="hybridMultilevel"/>
    <w:lvl w:ilvl="0">
      <w:lvlJc w:val="left"/>
      <w:lvlText w:val="(%1)"/>
      <w:numFmt w:val="decimal"/>
      <w:start w:val="2"/>
    </w:lvl>
  </w:abstractNum>
  <w:abstractNum w:abstractNumId="126">
    <w:nsid w:val="822C0EF"/>
    <w:multiLevelType w:val="hybridMultilevel"/>
    <w:lvl w:ilvl="0">
      <w:lvlJc w:val="left"/>
      <w:lvlText w:val="(%1)"/>
      <w:numFmt w:val="decimal"/>
      <w:start w:val="1"/>
    </w:lvl>
  </w:abstractNum>
  <w:abstractNum w:abstractNumId="127">
    <w:nsid w:val="57C5BB4F"/>
    <w:multiLevelType w:val="hybridMultilevel"/>
    <w:lvl w:ilvl="0">
      <w:lvlJc w:val="left"/>
      <w:lvlText w:val="•"/>
      <w:numFmt w:val="bullet"/>
      <w:start w:val="1"/>
    </w:lvl>
  </w:abstractNum>
  <w:abstractNum w:abstractNumId="128">
    <w:nsid w:val="1803D089"/>
    <w:multiLevelType w:val="hybridMultilevel"/>
    <w:lvl w:ilvl="0">
      <w:lvlJc w:val="left"/>
      <w:lvlText w:val="(%1)"/>
      <w:numFmt w:val="lowerRoman"/>
      <w:start w:val="1"/>
    </w:lvl>
  </w:abstractNum>
  <w:abstractNum w:abstractNumId="129">
    <w:nsid w:val="4F3A06D4"/>
    <w:multiLevelType w:val="hybridMultilevel"/>
    <w:lvl w:ilvl="0">
      <w:lvlJc w:val="left"/>
      <w:lvlText w:val="(%1)"/>
      <w:numFmt w:val="lowerRoman"/>
      <w:start w:val="3"/>
    </w:lvl>
  </w:abstractNum>
  <w:abstractNum w:abstractNumId="130">
    <w:nsid w:val="59A377B6"/>
    <w:multiLevelType w:val="hybridMultilevel"/>
    <w:lvl w:ilvl="0">
      <w:lvlJc w:val="left"/>
      <w:lvlText w:val="•"/>
      <w:numFmt w:val="bullet"/>
      <w:start w:val="1"/>
    </w:lvl>
  </w:abstractNum>
  <w:abstractNum w:abstractNumId="131">
    <w:nsid w:val="48AEB063"/>
    <w:multiLevelType w:val="hybridMultilevel"/>
    <w:lvl w:ilvl="0">
      <w:lvlJc w:val="left"/>
      <w:lvlText w:val="(%1)"/>
      <w:numFmt w:val="decimal"/>
      <w:start w:val="1"/>
    </w:lvl>
  </w:abstractNum>
  <w:abstractNum w:abstractNumId="132">
    <w:nsid w:val="24E135"/>
    <w:multiLevelType w:val="hybridMultilevel"/>
    <w:lvl w:ilvl="0">
      <w:lvlJc w:val="left"/>
      <w:lvlText w:val="•"/>
      <w:numFmt w:val="bullet"/>
      <w:start w:val="1"/>
    </w:lvl>
  </w:abstractNum>
  <w:abstractNum w:abstractNumId="133">
    <w:nsid w:val="BB13C1"/>
    <w:multiLevelType w:val="hybridMultilevel"/>
    <w:lvl w:ilvl="0">
      <w:lvlJc w:val="left"/>
      <w:lvlText w:val="•"/>
      <w:numFmt w:val="bullet"/>
      <w:start w:val="1"/>
    </w:lvl>
  </w:abstractNum>
  <w:abstractNum w:abstractNumId="134">
    <w:nsid w:val="271210C7"/>
    <w:multiLevelType w:val="hybridMultilevel"/>
    <w:lvl w:ilvl="0">
      <w:lvlJc w:val="left"/>
      <w:lvlText w:val="(%1)"/>
      <w:numFmt w:val="lowerRoman"/>
      <w:start w:val="2"/>
    </w:lvl>
  </w:abstractNum>
  <w:abstractNum w:abstractNumId="135">
    <w:nsid w:val="217B22E4"/>
    <w:multiLevelType w:val="hybridMultilevel"/>
    <w:lvl w:ilvl="0">
      <w:lvlJc w:val="left"/>
      <w:lvlText w:val="(%1)"/>
      <w:numFmt w:val="lowerLetter"/>
      <w:start w:val="9"/>
    </w:lvl>
  </w:abstractNum>
  <w:abstractNum w:abstractNumId="136">
    <w:nsid w:val="53E31A24"/>
    <w:multiLevelType w:val="hybridMultilevel"/>
    <w:lvl w:ilvl="0">
      <w:lvlJc w:val="left"/>
      <w:lvlText w:val="(%1)"/>
      <w:numFmt w:val="lowerLetter"/>
      <w:start w:val="3"/>
    </w:lvl>
  </w:abstractNum>
  <w:abstractNum w:abstractNumId="137">
    <w:nsid w:val="6DC45E83"/>
    <w:multiLevelType w:val="hybridMultilevel"/>
    <w:lvl w:ilvl="0">
      <w:lvlJc w:val="left"/>
      <w:lvlText w:val="•"/>
      <w:numFmt w:val="bullet"/>
      <w:start w:val="1"/>
    </w:lvl>
  </w:abstractNum>
  <w:abstractNum w:abstractNumId="138">
    <w:nsid w:val="17304A67"/>
    <w:multiLevelType w:val="hybridMultilevel"/>
    <w:lvl w:ilvl="0">
      <w:lvlJc w:val="left"/>
      <w:lvlText w:val="•"/>
      <w:numFmt w:val="bullet"/>
      <w:start w:val="1"/>
    </w:lvl>
  </w:abstractNum>
  <w:abstractNum w:abstractNumId="139">
    <w:nsid w:val="2BB180D8"/>
    <w:multiLevelType w:val="hybridMultilevel"/>
    <w:lvl w:ilvl="0">
      <w:lvlJc w:val="left"/>
      <w:lvlText w:val="•"/>
      <w:numFmt w:val="bullet"/>
      <w:start w:val="1"/>
    </w:lvl>
  </w:abstractNum>
  <w:abstractNum w:abstractNumId="140">
    <w:nsid w:val="556B69ED"/>
    <w:multiLevelType w:val="hybridMultilevel"/>
    <w:lvl w:ilvl="0">
      <w:lvlJc w:val="left"/>
      <w:lvlText w:val="(%1)"/>
      <w:numFmt w:val="upperLetter"/>
      <w:start w:val="1"/>
    </w:lvl>
  </w:abstractNum>
  <w:abstractNum w:abstractNumId="141">
    <w:nsid w:val="70836196"/>
    <w:multiLevelType w:val="hybridMultilevel"/>
    <w:lvl w:ilvl="0">
      <w:lvlJc w:val="left"/>
      <w:lvlText w:val="•"/>
      <w:numFmt w:val="bullet"/>
      <w:start w:val="1"/>
    </w:lvl>
    <w:lvl w:ilvl="1">
      <w:lvlJc w:val="left"/>
      <w:lvlText w:val="(%2)"/>
      <w:numFmt w:val="lowerLetter"/>
      <w:start w:val="26"/>
    </w:lvl>
  </w:abstractNum>
  <w:abstractNum w:abstractNumId="142">
    <w:nsid w:val="539F7F12"/>
    <w:multiLevelType w:val="hybridMultilevel"/>
    <w:lvl w:ilvl="0">
      <w:lvlJc w:val="left"/>
      <w:lvlText w:val="•"/>
      <w:numFmt w:val="bullet"/>
      <w:start w:val="1"/>
    </w:lvl>
    <w:lvl w:ilvl="1">
      <w:lvlJc w:val="left"/>
      <w:lvlText w:val="(%2)"/>
      <w:numFmt w:val="lowerLetter"/>
      <w:start w:val="35"/>
    </w:lvl>
  </w:abstractNum>
  <w:abstractNum w:abstractNumId="143">
    <w:nsid w:val="2817E7EC"/>
    <w:multiLevelType w:val="hybridMultilevel"/>
    <w:lvl w:ilvl="0">
      <w:lvlJc w:val="left"/>
      <w:lvlText w:val="•"/>
      <w:numFmt w:val="bullet"/>
      <w:start w:val="1"/>
    </w:lvl>
    <w:lvl w:ilvl="1">
      <w:lvlJc w:val="left"/>
      <w:lvlText w:val="(%2)"/>
      <w:numFmt w:val="lowerLetter"/>
      <w:start w:val="61"/>
    </w:lvl>
  </w:abstractNum>
  <w:abstractNum w:abstractNumId="144">
    <w:nsid w:val="71482545"/>
    <w:multiLevelType w:val="hybridMultilevel"/>
    <w:lvl w:ilvl="0">
      <w:lvlJc w:val="left"/>
      <w:lvlText w:val="•"/>
      <w:numFmt w:val="bullet"/>
      <w:start w:val="1"/>
    </w:lvl>
    <w:lvl w:ilvl="1">
      <w:lvlJc w:val="left"/>
      <w:lvlText w:val="(%2)"/>
      <w:numFmt w:val="lowerLetter"/>
      <w:start w:val="35"/>
    </w:lvl>
  </w:abstractNum>
  <w:abstractNum w:abstractNumId="145">
    <w:nsid w:val="17D78639"/>
    <w:multiLevelType w:val="hybridMultilevel"/>
    <w:lvl w:ilvl="0">
      <w:lvlJc w:val="left"/>
      <w:lvlText w:val="•"/>
      <w:numFmt w:val="bullet"/>
      <w:start w:val="1"/>
    </w:lvl>
    <w:lvl w:ilvl="1">
      <w:lvlJc w:val="left"/>
      <w:lvlText w:val="(%2)"/>
      <w:numFmt w:val="lowerLetter"/>
      <w:start w:val="22"/>
    </w:lvl>
  </w:abstractNum>
  <w:abstractNum w:abstractNumId="146">
    <w:nsid w:val="141D2302"/>
    <w:multiLevelType w:val="hybridMultilevel"/>
    <w:lvl w:ilvl="0">
      <w:lvlJc w:val="left"/>
      <w:lvlText w:val="•"/>
      <w:numFmt w:val="bullet"/>
      <w:start w:val="1"/>
    </w:lvl>
    <w:lvl w:ilvl="1">
      <w:lvlJc w:val="left"/>
      <w:lvlText w:val="(%2)"/>
      <w:numFmt w:val="lowerRoman"/>
      <w:start w:val="2"/>
    </w:lvl>
  </w:abstractNum>
  <w:abstractNum w:abstractNumId="147">
    <w:nsid w:val="407168D8"/>
    <w:multiLevelType w:val="hybridMultilevel"/>
    <w:lvl w:ilvl="0">
      <w:lvlJc w:val="left"/>
      <w:lvlText w:val="•"/>
      <w:numFmt w:val="bullet"/>
      <w:start w:val="1"/>
    </w:lvl>
  </w:abstractNum>
  <w:abstractNum w:abstractNumId="148">
    <w:nsid w:val="6A1B45E5"/>
    <w:multiLevelType w:val="hybridMultilevel"/>
    <w:lvl w:ilvl="0">
      <w:lvlJc w:val="left"/>
      <w:lvlText w:val="•"/>
      <w:numFmt w:val="bullet"/>
      <w:start w:val="1"/>
    </w:lvl>
  </w:abstractNum>
  <w:abstractNum w:abstractNumId="149">
    <w:nsid w:val="567BD50A"/>
    <w:multiLevelType w:val="hybridMultilevel"/>
    <w:lvl w:ilvl="0">
      <w:lvlJc w:val="left"/>
      <w:lvlText w:val="•"/>
      <w:numFmt w:val="bullet"/>
      <w:start w:val="1"/>
    </w:lvl>
  </w:abstractNum>
  <w:abstractNum w:abstractNumId="150">
    <w:nsid w:val="73BBD7F8"/>
    <w:multiLevelType w:val="hybridMultilevel"/>
    <w:lvl w:ilvl="0">
      <w:lvlJc w:val="left"/>
      <w:lvlText w:val="•"/>
      <w:numFmt w:val="bullet"/>
      <w:start w:val="1"/>
    </w:lvl>
    <w:lvl w:ilvl="1">
      <w:lvlJc w:val="left"/>
      <w:lvlText w:val="(%2)"/>
      <w:numFmt w:val="lowerRoman"/>
      <w:start w:val="5"/>
    </w:lvl>
  </w:abstractNum>
  <w:abstractNum w:abstractNumId="151">
    <w:nsid w:val="1876589D"/>
    <w:multiLevelType w:val="hybridMultilevel"/>
    <w:lvl w:ilvl="0">
      <w:lvlJc w:val="left"/>
      <w:lvlText w:val="•"/>
      <w:numFmt w:val="bullet"/>
      <w:start w:val="1"/>
    </w:lvl>
    <w:lvl w:ilvl="1">
      <w:lvlJc w:val="left"/>
      <w:lvlText w:val="(%2)"/>
      <w:numFmt w:val="lowerRoman"/>
      <w:start w:val="2"/>
    </w:lvl>
  </w:abstractNum>
  <w:abstractNum w:abstractNumId="152">
    <w:nsid w:val="327FAC77"/>
    <w:multiLevelType w:val="hybridMultilevel"/>
    <w:lvl w:ilvl="0">
      <w:lvlJc w:val="left"/>
      <w:lvlText w:val="•"/>
      <w:numFmt w:val="bullet"/>
      <w:start w:val="1"/>
    </w:lvl>
  </w:abstractNum>
  <w:abstractNum w:abstractNumId="153">
    <w:nsid w:val="5A606509"/>
    <w:multiLevelType w:val="hybridMultilevel"/>
    <w:lvl w:ilvl="0">
      <w:lvlJc w:val="left"/>
      <w:lvlText w:val="•"/>
      <w:numFmt w:val="bullet"/>
      <w:start w:val="1"/>
    </w:lvl>
  </w:abstractNum>
  <w:abstractNum w:abstractNumId="154">
    <w:nsid w:val="6F38E6D1"/>
    <w:multiLevelType w:val="hybridMultilevel"/>
    <w:lvl w:ilvl="0">
      <w:lvlJc w:val="left"/>
      <w:lvlText w:val="•"/>
      <w:numFmt w:val="bullet"/>
      <w:start w:val="1"/>
    </w:lvl>
  </w:abstractNum>
  <w:abstractNum w:abstractNumId="155">
    <w:nsid w:val="46111BA5"/>
    <w:multiLevelType w:val="hybridMultilevel"/>
    <w:lvl w:ilvl="0">
      <w:lvlJc w:val="left"/>
      <w:lvlText w:val="•"/>
      <w:numFmt w:val="bullet"/>
      <w:start w:val="1"/>
    </w:lvl>
  </w:abstractNum>
  <w:abstractNum w:abstractNumId="156">
    <w:nsid w:val="5E963896"/>
    <w:multiLevelType w:val="hybridMultilevel"/>
    <w:lvl w:ilvl="0">
      <w:lvlJc w:val="left"/>
      <w:lvlText w:val="•"/>
      <w:numFmt w:val="bullet"/>
      <w:start w:val="1"/>
    </w:lvl>
  </w:abstractNum>
  <w:abstractNum w:abstractNumId="157">
    <w:nsid w:val="775BA7C1"/>
    <w:multiLevelType w:val="hybridMultilevel"/>
    <w:lvl w:ilvl="0">
      <w:lvlJc w:val="left"/>
      <w:lvlText w:val="•"/>
      <w:numFmt w:val="bullet"/>
      <w:start w:val="1"/>
    </w:lvl>
  </w:abstractNum>
  <w:abstractNum w:abstractNumId="158">
    <w:nsid w:val="1DD6D6F4"/>
    <w:multiLevelType w:val="hybridMultilevel"/>
    <w:lvl w:ilvl="0">
      <w:lvlJc w:val="left"/>
      <w:lvlText w:val="•"/>
      <w:numFmt w:val="bullet"/>
      <w:start w:val="1"/>
    </w:lvl>
  </w:abstractNum>
  <w:abstractNum w:abstractNumId="159">
    <w:nsid w:val="769A091F"/>
    <w:multiLevelType w:val="hybridMultilevel"/>
    <w:lvl w:ilvl="0">
      <w:lvlJc w:val="left"/>
      <w:lvlText w:val="•"/>
      <w:numFmt w:val="bullet"/>
      <w:start w:val="1"/>
    </w:lvl>
  </w:abstractNum>
  <w:abstractNum w:abstractNumId="160">
    <w:nsid w:val="4695AE95"/>
    <w:multiLevelType w:val="hybridMultilevel"/>
    <w:lvl w:ilvl="0">
      <w:lvlJc w:val="left"/>
      <w:lvlText w:val="•"/>
      <w:numFmt w:val="bullet"/>
      <w:start w:val="1"/>
    </w:lvl>
  </w:abstractNum>
  <w:abstractNum w:abstractNumId="161">
    <w:nsid w:val="777A4EAA"/>
    <w:multiLevelType w:val="hybridMultilevel"/>
    <w:lvl w:ilvl="0">
      <w:lvlJc w:val="left"/>
      <w:lvlText w:val="(%1)"/>
      <w:numFmt w:val="lowerRoman"/>
      <w:start w:val="10"/>
    </w:lvl>
  </w:abstractNum>
  <w:abstractNum w:abstractNumId="162">
    <w:nsid w:val="3F48B982"/>
    <w:multiLevelType w:val="hybridMultilevel"/>
    <w:lvl w:ilvl="0">
      <w:lvlJc w:val="left"/>
      <w:lvlText w:val="•"/>
      <w:numFmt w:val="bullet"/>
      <w:start w:val="1"/>
    </w:lvl>
  </w:abstractNum>
  <w:abstractNum w:abstractNumId="163">
    <w:nsid w:val="46BA8FCA"/>
    <w:multiLevelType w:val="hybridMultilevel"/>
    <w:lvl w:ilvl="0">
      <w:lvlJc w:val="left"/>
      <w:lvlText w:val="•"/>
      <w:numFmt w:val="bullet"/>
      <w:start w:val="1"/>
    </w:lvl>
  </w:abstractNum>
  <w:abstractNum w:abstractNumId="164">
    <w:nsid w:val="7835626C"/>
    <w:multiLevelType w:val="hybridMultilevel"/>
    <w:lvl w:ilvl="0">
      <w:lvlJc w:val="left"/>
      <w:lvlText w:val="•"/>
      <w:numFmt w:val="bullet"/>
      <w:start w:val="1"/>
    </w:lvl>
  </w:abstractNum>
  <w:abstractNum w:abstractNumId="165">
    <w:nsid w:val="665ACA49"/>
    <w:multiLevelType w:val="hybridMultilevel"/>
    <w:lvl w:ilvl="0">
      <w:lvlJc w:val="left"/>
      <w:lvlText w:val="•"/>
      <w:numFmt w:val="bullet"/>
      <w:start w:val="1"/>
    </w:lvl>
  </w:abstractNum>
  <w:abstractNum w:abstractNumId="166">
    <w:nsid w:val="6835B2AE"/>
    <w:multiLevelType w:val="hybridMultilevel"/>
    <w:lvl w:ilvl="0">
      <w:lvlJc w:val="left"/>
      <w:lvlText w:val="•"/>
      <w:numFmt w:val="bullet"/>
      <w:start w:val="1"/>
    </w:lvl>
  </w:abstractNum>
  <w:abstractNum w:abstractNumId="167">
    <w:nsid w:val="4C187C90"/>
    <w:multiLevelType w:val="hybridMultilevel"/>
    <w:lvl w:ilvl="0">
      <w:lvlJc w:val="left"/>
      <w:lvlText w:val="•"/>
      <w:numFmt w:val="bullet"/>
      <w:start w:val="1"/>
    </w:lvl>
  </w:abstractNum>
  <w:abstractNum w:abstractNumId="168">
    <w:nsid w:val="541F28CD"/>
    <w:multiLevelType w:val="hybridMultilevel"/>
    <w:lvl w:ilvl="0">
      <w:lvlJc w:val="left"/>
      <w:lvlText w:val="•"/>
      <w:numFmt w:val="bullet"/>
      <w:start w:val="1"/>
    </w:lvl>
    <w:lvl w:ilvl="1">
      <w:lvlJc w:val="left"/>
      <w:lvlText w:val="(%2)"/>
      <w:numFmt w:val="lowerRoman"/>
      <w:start w:val="2"/>
    </w:lvl>
  </w:abstractNum>
  <w:abstractNum w:abstractNumId="169">
    <w:nsid w:val="7F65FD16"/>
    <w:multiLevelType w:val="hybridMultilevel"/>
    <w:lvl w:ilvl="0">
      <w:lvlJc w:val="left"/>
      <w:lvlText w:val="•"/>
      <w:numFmt w:val="bullet"/>
      <w:start w:val="1"/>
    </w:lvl>
  </w:abstractNum>
  <w:abstractNum w:abstractNumId="170">
    <w:nsid w:val="77C9FD68"/>
    <w:multiLevelType w:val="hybridMultilevel"/>
    <w:lvl w:ilvl="0">
      <w:lvlJc w:val="left"/>
      <w:lvlText w:val="•"/>
      <w:numFmt w:val="bullet"/>
      <w:start w:val="1"/>
    </w:lvl>
  </w:abstractNum>
  <w:abstractNum w:abstractNumId="171">
    <w:nsid w:val="298A92BA"/>
    <w:multiLevelType w:val="hybridMultilevel"/>
    <w:lvl w:ilvl="0">
      <w:lvlJc w:val="left"/>
      <w:lvlText w:val="•"/>
      <w:numFmt w:val="bullet"/>
      <w:start w:val="1"/>
    </w:lvl>
  </w:abstractNum>
  <w:abstractNum w:abstractNumId="172">
    <w:nsid w:val="6FE95EAC"/>
    <w:multiLevelType w:val="hybridMultilevel"/>
    <w:lvl w:ilvl="0">
      <w:lvlJc w:val="left"/>
      <w:lvlText w:val="%1"/>
      <w:numFmt w:val="decimal"/>
      <w:start w:val="112"/>
    </w:lvl>
  </w:abstractNum>
  <w:abstractNum w:abstractNumId="173">
    <w:nsid w:val="4B697C7A"/>
    <w:multiLevelType w:val="hybridMultilevel"/>
    <w:lvl w:ilvl="0">
      <w:lvlJc w:val="left"/>
      <w:lvlText w:val="%1."/>
      <w:numFmt w:val="decimal"/>
      <w:start w:val="1"/>
    </w:lvl>
  </w:abstractNum>
  <w:abstractNum w:abstractNumId="174">
    <w:nsid w:val="51A27AA6"/>
    <w:multiLevelType w:val="hybridMultilevel"/>
    <w:lvl w:ilvl="0">
      <w:lvlJc w:val="left"/>
      <w:lvlText w:val="•"/>
      <w:numFmt w:val="bullet"/>
      <w:start w:val="1"/>
    </w:lvl>
  </w:abstractNum>
  <w:abstractNum w:abstractNumId="175">
    <w:nsid w:val="613183F2"/>
    <w:multiLevelType w:val="hybridMultilevel"/>
    <w:lvl w:ilvl="0">
      <w:lvlJc w:val="left"/>
      <w:lvlText w:val="•"/>
      <w:numFmt w:val="bullet"/>
      <w:start w:val="1"/>
    </w:lvl>
  </w:abstractNum>
  <w:abstractNum w:abstractNumId="176">
    <w:nsid w:val="634102B4"/>
    <w:multiLevelType w:val="hybridMultilevel"/>
    <w:lvl w:ilvl="0">
      <w:lvlJc w:val="left"/>
      <w:lvlText w:val="•"/>
      <w:numFmt w:val="bullet"/>
      <w:start w:val="1"/>
    </w:lvl>
  </w:abstractNum>
  <w:abstractNum w:abstractNumId="177">
    <w:nsid w:val="65BF9DA8"/>
    <w:multiLevelType w:val="hybridMultilevel"/>
    <w:lvl w:ilvl="0">
      <w:lvlJc w:val="left"/>
      <w:lvlText w:val="%1."/>
      <w:numFmt w:val="decimal"/>
      <w:start w:val="2"/>
    </w:lvl>
  </w:abstractNum>
  <w:abstractNum w:abstractNumId="178">
    <w:nsid w:val="21A2ECCA"/>
    <w:multiLevelType w:val="hybridMultilevel"/>
    <w:lvl w:ilvl="0">
      <w:lvlJc w:val="left"/>
      <w:lvlText w:val="•"/>
      <w:numFmt w:val="bullet"/>
      <w:start w:val="1"/>
    </w:lvl>
  </w:abstractNum>
  <w:abstractNum w:abstractNumId="179">
    <w:nsid w:val="4D5C4899"/>
    <w:multiLevelType w:val="hybridMultilevel"/>
    <w:lvl w:ilvl="0">
      <w:lvlJc w:val="left"/>
      <w:lvlText w:val="%1."/>
      <w:numFmt w:val="decimal"/>
      <w:start w:val="3"/>
    </w:lvl>
  </w:abstractNum>
  <w:abstractNum w:abstractNumId="180">
    <w:nsid w:val="3C3B72B2"/>
    <w:multiLevelType w:val="hybridMultilevel"/>
    <w:lvl w:ilvl="0">
      <w:lvlJc w:val="left"/>
      <w:lvlText w:val="*"/>
      <w:numFmt w:val="bullet"/>
      <w:start w:val="1"/>
    </w:lvl>
  </w:abstractNum>
  <w:abstractNum w:abstractNumId="181">
    <w:nsid w:val="155EC4C2"/>
    <w:multiLevelType w:val="hybridMultilevel"/>
    <w:lvl w:ilvl="0">
      <w:lvlJc w:val="left"/>
      <w:lvlText w:val="(%1)"/>
      <w:numFmt w:val="lowerRoman"/>
      <w:start w:val="1"/>
    </w:lvl>
  </w:abstractNum>
  <w:abstractNum w:abstractNumId="182">
    <w:nsid w:val="65D2A137"/>
    <w:multiLevelType w:val="hybridMultilevel"/>
    <w:lvl w:ilvl="0">
      <w:lvlJc w:val="left"/>
      <w:lvlText w:val="*"/>
      <w:numFmt w:val="bullet"/>
      <w:start w:val="1"/>
    </w:lvl>
  </w:abstractNum>
  <w:abstractNum w:abstractNumId="183">
    <w:nsid w:val="6EBB1F2A"/>
    <w:multiLevelType w:val="hybridMultilevel"/>
    <w:lvl w:ilvl="0">
      <w:lvlJc w:val="left"/>
      <w:lvlText w:val="(%1)"/>
      <w:numFmt w:val="lowerRoman"/>
      <w:start w:val="1"/>
    </w:lvl>
  </w:abstractNum>
  <w:abstractNum w:abstractNumId="184">
    <w:nsid w:val="6FBF29CB"/>
    <w:multiLevelType w:val="hybridMultilevel"/>
    <w:lvl w:ilvl="0">
      <w:lvlJc w:val="left"/>
      <w:lvlText w:val="*"/>
      <w:numFmt w:val="bullet"/>
      <w:start w:val="1"/>
    </w:lvl>
  </w:abstractNum>
  <w:abstractNum w:abstractNumId="185">
    <w:nsid w:val="550B8808"/>
    <w:multiLevelType w:val="hybridMultilevel"/>
    <w:lvl w:ilvl="0">
      <w:lvlJc w:val="left"/>
      <w:lvlText w:val="(%1)"/>
      <w:numFmt w:val="lowerRoman"/>
      <w:start w:val="1"/>
    </w:lvl>
  </w:abstractNum>
  <w:abstractNum w:abstractNumId="186">
    <w:nsid w:val="34CC3ACF"/>
    <w:multiLevelType w:val="hybridMultilevel"/>
    <w:lvl w:ilvl="0">
      <w:lvlJc w:val="left"/>
      <w:lvlText w:val="(%1)"/>
      <w:numFmt w:val="lowerRoman"/>
      <w:start w:val="5"/>
    </w:lvl>
  </w:abstractNum>
  <w:abstractNum w:abstractNumId="187">
    <w:nsid w:val="4E556261"/>
    <w:multiLevelType w:val="hybridMultilevel"/>
    <w:lvl w:ilvl="0">
      <w:lvlJc w:val="left"/>
      <w:lvlText w:val="%1."/>
      <w:numFmt w:val="decimal"/>
      <w:start w:val="4"/>
    </w:lvl>
  </w:abstractNum>
  <w:abstractNum w:abstractNumId="188">
    <w:nsid w:val="4C672FC9"/>
    <w:multiLevelType w:val="hybridMultilevel"/>
    <w:lvl w:ilvl="0">
      <w:lvlJc w:val="left"/>
      <w:lvlText w:val="%1)"/>
      <w:numFmt w:val="lowerLetter"/>
      <w:start w:val="1"/>
    </w:lvl>
  </w:abstractNum>
  <w:abstractNum w:abstractNumId="189">
    <w:nsid w:val="52A311C3"/>
    <w:multiLevelType w:val="hybridMultilevel"/>
    <w:lvl w:ilvl="0">
      <w:lvlJc w:val="left"/>
      <w:lvlText w:val="%1)"/>
      <w:numFmt w:val="lowerLetter"/>
      <w:start w:val="2"/>
    </w:lvl>
  </w:abstractNum>
  <w:abstractNum w:abstractNumId="190">
    <w:nsid w:val="44EF6B80"/>
    <w:multiLevelType w:val="hybridMultilevel"/>
    <w:lvl w:ilvl="0">
      <w:lvlJc w:val="left"/>
      <w:lvlText w:val="%1)"/>
      <w:numFmt w:val="lowerLetter"/>
      <w:start w:val="3"/>
    </w:lvl>
  </w:abstractNum>
  <w:abstractNum w:abstractNumId="191">
    <w:nsid w:val="12FCDE5E"/>
    <w:multiLevelType w:val="hybridMultilevel"/>
    <w:lvl w:ilvl="0">
      <w:lvlJc w:val="left"/>
      <w:lvlText w:val="%1."/>
      <w:numFmt w:val="decimal"/>
      <w:start w:val="5"/>
    </w:lvl>
  </w:abstractNum>
  <w:abstractNum w:abstractNumId="192">
    <w:nsid w:val="4A1D606E"/>
    <w:multiLevelType w:val="hybridMultilevel"/>
    <w:lvl w:ilvl="0">
      <w:lvlJc w:val="left"/>
      <w:lvlText w:val="%1)"/>
      <w:numFmt w:val="lowerLetter"/>
      <w:start w:val="1"/>
    </w:lvl>
  </w:abstractNum>
  <w:abstractNum w:abstractNumId="193">
    <w:nsid w:val="4382503"/>
    <w:multiLevelType w:val="hybridMultilevel"/>
    <w:lvl w:ilvl="0">
      <w:lvlJc w:val="left"/>
      <w:lvlText w:val="%1)"/>
      <w:numFmt w:val="lowerLetter"/>
      <w:start w:val="2"/>
    </w:lvl>
  </w:abstractNum>
  <w:abstractNum w:abstractNumId="194">
    <w:nsid w:val="59B76E28"/>
    <w:multiLevelType w:val="hybridMultilevel"/>
    <w:lvl w:ilvl="0">
      <w:lvlJc w:val="left"/>
      <w:lvlText w:val="$"/>
      <w:numFmt w:val="bullet"/>
      <w:start w:val="1"/>
    </w:lvl>
  </w:abstractNum>
  <w:abstractNum w:abstractNumId="195">
    <w:nsid w:val="4252C2DA"/>
    <w:multiLevelType w:val="hybridMultilevel"/>
    <w:lvl w:ilvl="0">
      <w:lvlJc w:val="left"/>
      <w:lvlText w:val="$"/>
      <w:numFmt w:val="bullet"/>
      <w:start w:val="1"/>
    </w:lvl>
  </w:abstractNum>
  <w:abstractNum w:abstractNumId="196">
    <w:nsid w:val="6A92EF4C"/>
    <w:multiLevelType w:val="hybridMultilevel"/>
    <w:lvl w:ilvl="0">
      <w:lvlJc w:val="left"/>
      <w:lvlText w:val="$"/>
      <w:numFmt w:val="bullet"/>
      <w:start w:val="1"/>
    </w:lvl>
  </w:abstractNum>
  <w:abstractNum w:abstractNumId="197">
    <w:nsid w:val="41ED20D7"/>
    <w:multiLevelType w:val="hybridMultilevel"/>
    <w:lvl w:ilvl="0">
      <w:lvlJc w:val="left"/>
      <w:lvlText w:val="$"/>
      <w:numFmt w:val="bullet"/>
      <w:start w:val="1"/>
    </w:lvl>
  </w:abstractNum>
  <w:abstractNum w:abstractNumId="198">
    <w:nsid w:val="E6B3F6A"/>
    <w:multiLevelType w:val="hybridMultilevel"/>
    <w:lvl w:ilvl="0">
      <w:lvlJc w:val="left"/>
      <w:lvlText w:val="(%1)"/>
      <w:numFmt w:val="lowerRoman"/>
      <w:start w:val="1"/>
    </w:lvl>
  </w:abstractNum>
  <w:abstractNum w:abstractNumId="199">
    <w:nsid w:val="3EB21819"/>
    <w:multiLevelType w:val="hybridMultilevel"/>
    <w:lvl w:ilvl="0">
      <w:lvlJc w:val="left"/>
      <w:lvlText w:val="%1)"/>
      <w:numFmt w:val="lowerLetter"/>
      <w:start w:val="3"/>
    </w:lvl>
  </w:abstractNum>
  <w:abstractNum w:abstractNumId="200">
    <w:nsid w:val="41531DED"/>
    <w:multiLevelType w:val="hybridMultilevel"/>
    <w:lvl w:ilvl="0">
      <w:lvlJc w:val="left"/>
      <w:lvlText w:val="%1)"/>
      <w:numFmt w:val="lowerLetter"/>
      <w:start w:val="4"/>
    </w:lvl>
  </w:abstractNum>
  <w:abstractNum w:abstractNumId="201">
    <w:nsid w:val="6353CD2"/>
    <w:multiLevelType w:val="hybridMultilevel"/>
    <w:lvl w:ilvl="0">
      <w:lvlJc w:val="left"/>
      <w:lvlText w:val="%1)"/>
      <w:numFmt w:val="lowerLetter"/>
      <w:start w:val="6"/>
    </w:lvl>
  </w:abstractNum>
  <w:abstractNum w:abstractNumId="202">
    <w:nsid w:val="683CAAD3"/>
    <w:multiLevelType w:val="hybridMultilevel"/>
    <w:lvl w:ilvl="0">
      <w:lvlJc w:val="left"/>
      <w:lvlText w:val="%1)"/>
      <w:numFmt w:val="lowerLetter"/>
      <w:start w:val="7"/>
    </w:lvl>
    <w:lvl w:ilvl="1">
      <w:lvlJc w:val="left"/>
      <w:lvlText w:val="•"/>
      <w:numFmt w:val="bullet"/>
      <w:start w:val="1"/>
    </w:lvl>
  </w:abstractNum>
  <w:abstractNum w:abstractNumId="203">
    <w:nsid w:val="313C7C99"/>
    <w:multiLevelType w:val="hybridMultilevel"/>
    <w:lvl w:ilvl="0">
      <w:lvlJc w:val="left"/>
      <w:lvlText w:val="%1"/>
      <w:numFmt w:val="decimal"/>
      <w:start w:val="1"/>
    </w:lvl>
    <w:lvl w:ilvl="1">
      <w:lvlJc w:val="left"/>
      <w:lvlText w:val="%2)"/>
      <w:numFmt w:val="lowerLetter"/>
      <w:start w:val="11"/>
    </w:lvl>
  </w:abstractNum>
  <w:abstractNum w:abstractNumId="204">
    <w:nsid w:val="519EB94C"/>
    <w:multiLevelType w:val="hybridMultilevel"/>
    <w:lvl w:ilvl="0">
      <w:lvlJc w:val="left"/>
      <w:lvlText w:val="%1."/>
      <w:numFmt w:val="decimal"/>
      <w:start w:val="6"/>
    </w:lvl>
    <w:lvl w:ilvl="1">
      <w:lvlJc w:val="left"/>
      <w:lvlText w:val="%2"/>
      <w:numFmt w:val="lowerLetter"/>
      <w:start w:val="1"/>
    </w:lvl>
  </w:abstractNum>
  <w:abstractNum w:abstractNumId="205">
    <w:nsid w:val="39DF2579"/>
    <w:multiLevelType w:val="hybridMultilevel"/>
    <w:lvl w:ilvl="0">
      <w:lvlJc w:val="left"/>
      <w:lvlText w:val="*"/>
      <w:numFmt w:val="bullet"/>
      <w:start w:val="1"/>
    </w:lvl>
  </w:abstractNum>
  <w:abstractNum w:abstractNumId="206">
    <w:nsid w:val="126E008B"/>
    <w:multiLevelType w:val="hybridMultilevel"/>
    <w:lvl w:ilvl="0">
      <w:lvlJc w:val="left"/>
      <w:lvlText w:val="(%1)"/>
      <w:numFmt w:val="decimal"/>
      <w:start w:val="1"/>
    </w:lvl>
  </w:abstractNum>
  <w:abstractNum w:abstractNumId="207">
    <w:nsid w:val="34DFBC00"/>
    <w:multiLevelType w:val="hybridMultilevel"/>
    <w:lvl w:ilvl="0">
      <w:lvlJc w:val="left"/>
      <w:lvlText w:val="(%1)"/>
      <w:numFmt w:val="decimal"/>
      <w:start w:val="3"/>
    </w:lvl>
    <w:lvl w:ilvl="1">
      <w:lvlJc w:val="left"/>
      <w:lvlText w:val="(%2)"/>
      <w:numFmt w:val="lowerRoman"/>
      <w:start w:val="5"/>
    </w:lvl>
  </w:abstractNum>
  <w:abstractNum w:abstractNumId="208">
    <w:nsid w:val="1F9EC322"/>
    <w:multiLevelType w:val="hybridMultilevel"/>
    <w:lvl w:ilvl="0">
      <w:lvlJc w:val="left"/>
      <w:lvlText w:val="%1"/>
      <w:numFmt w:val="decimal"/>
      <w:start w:val="1"/>
    </w:lvl>
    <w:lvl w:ilvl="1">
      <w:lvlJc w:val="left"/>
      <w:lvlText w:val="(%2)"/>
      <w:numFmt w:val="lowerRoman"/>
      <w:start w:val="4"/>
    </w:lvl>
  </w:abstractNum>
  <w:abstractNum w:abstractNumId="209">
    <w:nsid w:val="3410ED56"/>
    <w:multiLevelType w:val="hybridMultilevel"/>
    <w:lvl w:ilvl="0">
      <w:lvlJc w:val="left"/>
      <w:lvlText w:val="(%1)"/>
      <w:numFmt w:val="decimal"/>
      <w:start w:val="5"/>
    </w:lvl>
    <w:lvl w:ilvl="1">
      <w:lvlJc w:val="left"/>
      <w:lvlText w:val="%2"/>
      <w:numFmt w:val="lowerRoman"/>
      <w:start w:val="1"/>
    </w:lvl>
  </w:abstractNum>
  <w:abstractNum w:abstractNumId="210">
    <w:nsid w:val="23C049A"/>
    <w:multiLevelType w:val="hybridMultilevel"/>
    <w:lvl w:ilvl="0">
      <w:lvlJc w:val="left"/>
      <w:lvlText w:val="*"/>
      <w:numFmt w:val="bullet"/>
      <w:start w:val="1"/>
    </w:lvl>
  </w:abstractNum>
  <w:abstractNum w:abstractNumId="211">
    <w:nsid w:val="5BDA35D4"/>
    <w:multiLevelType w:val="hybridMultilevel"/>
    <w:lvl w:ilvl="0">
      <w:lvlJc w:val="left"/>
      <w:lvlText w:val="(%1)"/>
      <w:numFmt w:val="decimal"/>
      <w:start w:val="1"/>
    </w:lvl>
  </w:abstractNum>
  <w:abstractNum w:abstractNumId="212">
    <w:nsid w:val="496FB218"/>
    <w:multiLevelType w:val="hybridMultilevel"/>
    <w:lvl w:ilvl="0">
      <w:lvlJc w:val="left"/>
      <w:lvlText w:val="(%1)"/>
      <w:numFmt w:val="lowerRoman"/>
      <w:start w:val="5"/>
    </w:lvl>
  </w:abstractNum>
  <w:abstractNum w:abstractNumId="213">
    <w:nsid w:val="680EA5D1"/>
    <w:multiLevelType w:val="hybridMultilevel"/>
    <w:lvl w:ilvl="0">
      <w:lvlJc w:val="left"/>
      <w:lvlText w:val="(%1)"/>
      <w:numFmt w:val="lowerRoman"/>
      <w:start w:val="7"/>
    </w:lvl>
  </w:abstractNum>
  <w:abstractNum w:abstractNumId="214">
    <w:nsid w:val="4A9554FE"/>
    <w:multiLevelType w:val="hybridMultilevel"/>
    <w:lvl w:ilvl="0">
      <w:lvlJc w:val="left"/>
      <w:lvlText w:val="•"/>
      <w:numFmt w:val="bullet"/>
      <w:start w:val="1"/>
    </w:lvl>
  </w:abstractNum>
  <w:abstractNum w:abstractNumId="215">
    <w:nsid w:val="392EDBE4"/>
    <w:multiLevelType w:val="hybridMultilevel"/>
    <w:lvl w:ilvl="0">
      <w:lvlJc w:val="left"/>
      <w:lvlText w:val="a"/>
      <w:numFmt w:val="bullet"/>
      <w:start w:val="1"/>
    </w:lvl>
  </w:abstractNum>
  <w:abstractNum w:abstractNumId="216">
    <w:nsid w:val="3D1A2DD9"/>
    <w:multiLevelType w:val="hybridMultilevel"/>
    <w:lvl w:ilvl="0">
      <w:lvlJc w:val="left"/>
      <w:lvlText w:val="(%1)"/>
      <w:numFmt w:val="lowerRoman"/>
      <w:start w:val="2"/>
    </w:lvl>
  </w:abstractNum>
  <w:abstractNum w:abstractNumId="217">
    <w:nsid w:val="7F618FCD"/>
    <w:multiLevelType w:val="hybridMultilevel"/>
    <w:lvl w:ilvl="0">
      <w:lvlJc w:val="left"/>
      <w:lvlText w:val="(%1)"/>
      <w:numFmt w:val="lowerRoman"/>
      <w:start w:val="1"/>
    </w:lvl>
  </w:abstractNum>
  <w:abstractNum w:abstractNumId="218">
    <w:nsid w:val="7843E45"/>
    <w:multiLevelType w:val="hybridMultilevel"/>
    <w:lvl w:ilvl="0">
      <w:lvlJc w:val="left"/>
      <w:lvlText w:val="(%1)"/>
      <w:numFmt w:val="lowerRoman"/>
      <w:start w:val="6"/>
    </w:lvl>
  </w:abstractNum>
  <w:abstractNum w:abstractNumId="219">
    <w:nsid w:val="9815DA3"/>
    <w:multiLevelType w:val="hybridMultilevel"/>
    <w:lvl w:ilvl="0">
      <w:lvlJc w:val="left"/>
      <w:lvlText w:val="(%1)"/>
      <w:numFmt w:val="lowerRoman"/>
      <w:start w:val="8"/>
    </w:lvl>
  </w:abstractNum>
  <w:abstractNum w:abstractNumId="220">
    <w:nsid w:val="5204A191"/>
    <w:multiLevelType w:val="hybridMultilevel"/>
    <w:lvl w:ilvl="0">
      <w:lvlJc w:val="left"/>
      <w:lvlText w:val="(%1)"/>
      <w:numFmt w:val="lowerRoman"/>
      <w:start w:val="1"/>
    </w:lvl>
  </w:abstractNum>
  <w:abstractNum w:abstractNumId="221">
    <w:nsid w:val="4C73A9C6"/>
    <w:multiLevelType w:val="hybridMultilevel"/>
    <w:lvl w:ilvl="0">
      <w:lvlJc w:val="left"/>
      <w:lvlText w:val="(%1)"/>
      <w:numFmt w:val="lowerRoman"/>
      <w:start w:val="1"/>
    </w:lvl>
  </w:abstractNum>
  <w:abstractNum w:abstractNumId="222">
    <w:nsid w:val="1C7E3C01"/>
    <w:multiLevelType w:val="hybridMultilevel"/>
    <w:lvl w:ilvl="0">
      <w:lvlJc w:val="left"/>
      <w:lvlText w:val="(%1)"/>
      <w:numFmt w:val="lowerRoman"/>
      <w:start w:val="3"/>
    </w:lvl>
  </w:abstractNum>
  <w:abstractNum w:abstractNumId="223">
    <w:nsid w:val="1C2201FF"/>
    <w:multiLevelType w:val="hybridMultilevel"/>
    <w:lvl w:ilvl="0">
      <w:lvlJc w:val="left"/>
      <w:lvlText w:val="(%1)"/>
      <w:numFmt w:val="lowerRoman"/>
      <w:start w:val="2"/>
    </w:lvl>
  </w:abstractNum>
  <w:abstractNum w:abstractNumId="224">
    <w:nsid w:val="50ABCEC9"/>
    <w:multiLevelType w:val="hybridMultilevel"/>
    <w:lvl w:ilvl="0">
      <w:lvlJc w:val="left"/>
      <w:lvlText w:val="*"/>
      <w:numFmt w:val="bullet"/>
      <w:start w:val="1"/>
    </w:lvl>
  </w:abstractNum>
  <w:abstractNum w:abstractNumId="225">
    <w:nsid w:val="7635AA2A"/>
    <w:multiLevelType w:val="hybridMultilevel"/>
    <w:lvl w:ilvl="0">
      <w:lvlJc w:val="left"/>
      <w:lvlText w:val="(%1)"/>
      <w:numFmt w:val="lowerLetter"/>
      <w:start w:val="1"/>
    </w:lvl>
  </w:abstractNum>
  <w:abstractNum w:abstractNumId="226">
    <w:nsid w:val="5E74C4D9"/>
    <w:multiLevelType w:val="hybridMultilevel"/>
    <w:lvl w:ilvl="0">
      <w:lvlJc w:val="left"/>
      <w:lvlText w:val="(%1)"/>
      <w:numFmt w:val="lowerLetter"/>
      <w:start w:val="1"/>
    </w:lvl>
  </w:abstractNum>
  <w:abstractNum w:abstractNumId="227">
    <w:nsid w:val="3B3EBE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8">
    <w:nsid w:val="3822CB01"/>
    <w:multiLevelType w:val="hybridMultilevel"/>
    <w:lvl w:ilvl="0">
      <w:lvlJc w:val="left"/>
      <w:lvlText w:val="%1"/>
      <w:numFmt w:val="lowerLetter"/>
      <w:start w:val="1"/>
    </w:lvl>
    <w:lvl w:ilvl="1">
      <w:lvlJc w:val="left"/>
      <w:lvlText w:val="(%2)"/>
      <w:numFmt w:val="lowerLetter"/>
      <w:start w:val="22"/>
    </w:lvl>
  </w:abstractNum>
  <w:abstractNum w:abstractNumId="229">
    <w:nsid w:val="6CE00443"/>
    <w:multiLevelType w:val="hybridMultilevel"/>
    <w:lvl w:ilvl="0">
      <w:lvlJc w:val="left"/>
      <w:lvlText w:val="(%1)"/>
      <w:numFmt w:val="lowerLetter"/>
      <w:start w:val="2"/>
    </w:lvl>
    <w:lvl w:ilvl="1">
      <w:lvlJc w:val="left"/>
      <w:lvlText w:val="%2"/>
      <w:numFmt w:val="lowerLetter"/>
      <w:start w:val="1"/>
    </w:lvl>
  </w:abstractNum>
  <w:abstractNum w:abstractNumId="230">
    <w:nsid w:val="79F0D6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1">
    <w:nsid w:val="7975E8E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2"/>
    </w:lvl>
  </w:abstractNum>
  <w:abstractNum w:abstractNumId="232">
    <w:nsid w:val="731541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5)"/>
      <w:numFmt w:val="lowerLetter"/>
      <w:start w:val="61"/>
    </w:lvl>
    <w:lvl w:ilvl="5">
      <w:lvlJc w:val="left"/>
      <w:lvlText w:val="%6"/>
      <w:numFmt w:val="upperLetter"/>
      <w:start w:val="1"/>
    </w:lvl>
  </w:abstractNum>
  <w:abstractNum w:abstractNumId="233">
    <w:nsid w:val="622D810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34">
    <w:nsid w:val="2AB2658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35">
    <w:nsid w:val="44B3FA61"/>
    <w:multiLevelType w:val="hybridMultilevel"/>
    <w:lvl w:ilvl="0">
      <w:lvlJc w:val="left"/>
      <w:lvlText w:val="(%1)"/>
      <w:numFmt w:val="lowerLetter"/>
      <w:start w:val="1"/>
    </w:lvl>
  </w:abstractNum>
  <w:abstractNum w:abstractNumId="236">
    <w:nsid w:val="1C0CA67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7">
    <w:nsid w:val="3D206613"/>
    <w:multiLevelType w:val="hybridMultilevel"/>
    <w:lvl w:ilvl="0">
      <w:lvlJc w:val="left"/>
      <w:lvlText w:val="(%1)"/>
      <w:numFmt w:val="lowerLetter"/>
      <w:start w:val="6"/>
    </w:lvl>
  </w:abstractNum>
  <w:abstractNum w:abstractNumId="238">
    <w:nsid w:val="7993B662"/>
    <w:multiLevelType w:val="hybridMultilevel"/>
    <w:lvl w:ilvl="0">
      <w:lvlJc w:val="left"/>
      <w:lvlText w:val="(%1)"/>
      <w:numFmt w:val="lowerLetter"/>
      <w:start w:val="1"/>
    </w:lvl>
  </w:abstractNum>
  <w:abstractNum w:abstractNumId="239">
    <w:nsid w:val="3BAB699E"/>
    <w:multiLevelType w:val="hybridMultilevel"/>
    <w:lvl w:ilvl="0">
      <w:lvlJc w:val="left"/>
      <w:lvlText w:val="(%1)"/>
      <w:numFmt w:val="lowerLetter"/>
      <w:start w:val="3"/>
    </w:lvl>
  </w:abstractNum>
  <w:abstractNum w:abstractNumId="240">
    <w:nsid w:val="71315369"/>
    <w:multiLevelType w:val="hybridMultilevel"/>
    <w:lvl w:ilvl="0">
      <w:lvlJc w:val="left"/>
      <w:lvlText w:val="(%1)"/>
      <w:numFmt w:val="lowerLetter"/>
      <w:start w:val="1"/>
    </w:lvl>
  </w:abstractNum>
  <w:abstractNum w:abstractNumId="241">
    <w:nsid w:val="7BCFBAFC"/>
    <w:multiLevelType w:val="hybridMultilevel"/>
    <w:lvl w:ilvl="0">
      <w:lvlJc w:val="left"/>
      <w:lvlText w:val="%1"/>
      <w:numFmt w:val="lowerLetter"/>
      <w:start w:val="1"/>
    </w:lvl>
    <w:lvl w:ilvl="1">
      <w:lvlJc w:val="left"/>
      <w:lvlText w:val="(%2)"/>
      <w:numFmt w:val="lowerLetter"/>
      <w:start w:val="1"/>
    </w:lvl>
  </w:abstractNum>
  <w:abstractNum w:abstractNumId="242">
    <w:nsid w:val="17859F72"/>
    <w:multiLevelType w:val="hybridMultilevel"/>
    <w:lvl w:ilvl="0">
      <w:lvlJc w:val="left"/>
      <w:lvlText w:val="(%1)"/>
      <w:numFmt w:val="lowerLetter"/>
      <w:start w:val="61"/>
    </w:lvl>
    <w:lvl w:ilvl="1">
      <w:lvlJc w:val="left"/>
      <w:lvlText w:val="%2"/>
      <w:numFmt w:val="lowerLetter"/>
      <w:start w:val="1"/>
    </w:lvl>
  </w:abstractNum>
  <w:abstractNum w:abstractNumId="243">
    <w:nsid w:val="3AA10581"/>
    <w:multiLevelType w:val="hybridMultilevel"/>
    <w:lvl w:ilvl="0">
      <w:lvlJc w:val="left"/>
      <w:lvlText w:val="(%1)"/>
      <w:numFmt w:val="lowerLetter"/>
      <w:start w:val="4"/>
    </w:lvl>
  </w:abstractNum>
  <w:abstractNum w:abstractNumId="244">
    <w:nsid w:val="63DE60CD"/>
    <w:multiLevelType w:val="hybridMultilevel"/>
    <w:lvl w:ilvl="0">
      <w:lvlJc w:val="left"/>
      <w:lvlText w:val="(%1)"/>
      <w:numFmt w:val="lowerLetter"/>
      <w:start w:val="1"/>
    </w:lvl>
  </w:abstractNum>
  <w:abstractNum w:abstractNumId="245">
    <w:nsid w:val="621AF471"/>
    <w:multiLevelType w:val="hybridMultilevel"/>
    <w:lvl w:ilvl="0">
      <w:lvlJc w:val="left"/>
      <w:lvlText w:val="(%1)"/>
      <w:numFmt w:val="lowerLetter"/>
      <w:start w:val="1"/>
    </w:lvl>
  </w:abstractNum>
  <w:abstractNum w:abstractNumId="246">
    <w:nsid w:val="73CFE165"/>
    <w:multiLevelType w:val="hybridMultilevel"/>
    <w:lvl w:ilvl="0">
      <w:lvlJc w:val="left"/>
      <w:lvlText w:val="(%1)"/>
      <w:numFmt w:val="lowerLetter"/>
      <w:start w:val="2"/>
    </w:lvl>
  </w:abstractNum>
  <w:abstractNum w:abstractNumId="247">
    <w:nsid w:val="20F88EA6"/>
    <w:multiLevelType w:val="hybridMultilevel"/>
    <w:lvl w:ilvl="0">
      <w:lvlJc w:val="left"/>
      <w:lvlText w:val="%1"/>
      <w:numFmt w:val="lowerLetter"/>
      <w:start w:val="1"/>
    </w:lvl>
    <w:lvl w:ilvl="1">
      <w:lvlJc w:val="left"/>
      <w:lvlText w:val="(%2)"/>
      <w:numFmt w:val="lowerLetter"/>
      <w:start w:val="1"/>
    </w:lvl>
  </w:abstractNum>
  <w:abstractNum w:abstractNumId="248">
    <w:nsid w:val="617C843E"/>
    <w:multiLevelType w:val="hybridMultilevel"/>
    <w:lvl w:ilvl="0">
      <w:lvlJc w:val="left"/>
      <w:lvlText w:val="(%1)"/>
      <w:numFmt w:val="lowerLetter"/>
      <w:start w:val="35"/>
    </w:lvl>
    <w:lvl w:ilvl="1">
      <w:lvlJc w:val="left"/>
      <w:lvlText w:val="(%2)"/>
      <w:numFmt w:val="lowerLetter"/>
      <w:start w:val="5"/>
    </w:lvl>
  </w:abstractNum>
  <w:abstractNum w:abstractNumId="249">
    <w:nsid w:val="7B541FAB"/>
    <w:multiLevelType w:val="hybridMultilevel"/>
    <w:lvl w:ilvl="0">
      <w:lvlJc w:val="left"/>
      <w:lvlText w:val="(%1)"/>
      <w:numFmt w:val="lowerLetter"/>
      <w:start w:val="8"/>
    </w:lvl>
  </w:abstractNum>
  <w:abstractNum w:abstractNumId="250">
    <w:nsid w:val="2A79EC49"/>
    <w:multiLevelType w:val="hybridMultilevel"/>
    <w:lvl w:ilvl="0">
      <w:lvlJc w:val="left"/>
      <w:lvlText w:val="(%1)"/>
      <w:numFmt w:val="lowerLetter"/>
      <w:start w:val="1"/>
    </w:lvl>
  </w:abstractNum>
  <w:abstractNum w:abstractNumId="251">
    <w:nsid w:val="338125CF"/>
    <w:multiLevelType w:val="hybridMultilevel"/>
    <w:lvl w:ilvl="0">
      <w:lvlJc w:val="left"/>
      <w:lvlText w:val="(%1)"/>
      <w:numFmt w:val="lowerLetter"/>
      <w:start w:val="5"/>
    </w:lvl>
  </w:abstractNum>
  <w:abstractNum w:abstractNumId="252">
    <w:nsid w:val="47C7C971"/>
    <w:multiLevelType w:val="hybridMultilevel"/>
    <w:lvl w:ilvl="0">
      <w:lvlJc w:val="left"/>
      <w:lvlText w:val="(%1)"/>
      <w:numFmt w:val="lowerLetter"/>
      <w:start w:val="1"/>
    </w:lvl>
  </w:abstractNum>
  <w:abstractNum w:abstractNumId="253">
    <w:nsid w:val="46F8284B"/>
    <w:multiLevelType w:val="hybridMultilevel"/>
    <w:lvl w:ilvl="0">
      <w:lvlJc w:val="left"/>
      <w:lvlText w:val="(%1)"/>
      <w:numFmt w:val="lowerLetter"/>
      <w:start w:val="12"/>
    </w:lvl>
  </w:abstractNum>
  <w:abstractNum w:abstractNumId="254">
    <w:nsid w:val="4FA327CE"/>
    <w:multiLevelType w:val="hybridMultilevel"/>
    <w:lvl w:ilvl="0">
      <w:lvlJc w:val="left"/>
      <w:lvlText w:val="%1"/>
      <w:numFmt w:val="upperLetter"/>
      <w:start w:val="1"/>
    </w:lvl>
    <w:lvl w:ilvl="1">
      <w:lvlJc w:val="left"/>
      <w:lvlText w:val="(%2)"/>
      <w:numFmt w:val="lowerLetter"/>
      <w:start w:val="1"/>
    </w:lvl>
  </w:abstractNum>
  <w:abstractNum w:abstractNumId="255">
    <w:nsid w:val="1873983A"/>
    <w:multiLevelType w:val="hybridMultilevel"/>
    <w:lvl w:ilvl="0">
      <w:lvlJc w:val="left"/>
      <w:lvlText w:val="(%1)"/>
      <w:numFmt w:val="upperLetter"/>
      <w:start w:val="1"/>
    </w:lvl>
    <w:lvl w:ilvl="1">
      <w:lvlJc w:val="left"/>
      <w:lvlText w:val="(%2)"/>
      <w:numFmt w:val="lowerLetter"/>
      <w:start w:val="2"/>
    </w:lvl>
  </w:abstractNum>
  <w:abstractNum w:abstractNumId="256">
    <w:nsid w:val="3D2DD27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57">
    <w:nsid w:val="2E17ECA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58">
    <w:nsid w:val="53B2564F"/>
    <w:multiLevelType w:val="hybridMultilevel"/>
    <w:lvl w:ilvl="0">
      <w:lvlJc w:val="left"/>
      <w:lvlText w:val="(%1)"/>
      <w:numFmt w:val="lowerRoman"/>
      <w:start w:val="3"/>
    </w:lvl>
  </w:abstractNum>
  <w:abstractNum w:abstractNumId="259">
    <w:nsid w:val="75509D76"/>
    <w:multiLevelType w:val="hybridMultilevel"/>
    <w:lvl w:ilvl="0">
      <w:lvlJc w:val="left"/>
      <w:lvlText w:val="(%1)"/>
      <w:numFmt w:val="lowerLetter"/>
      <w:start w:val="1"/>
    </w:lvl>
  </w:abstractNum>
  <w:abstractNum w:abstractNumId="260">
    <w:nsid w:val="1AF7F0EA"/>
    <w:multiLevelType w:val="hybridMultilevel"/>
    <w:lvl w:ilvl="0">
      <w:lvlJc w:val="left"/>
      <w:lvlText w:val="(%1)"/>
      <w:numFmt w:val="lowerLetter"/>
      <w:start w:val="1"/>
    </w:lvl>
  </w:abstractNum>
  <w:abstractNum w:abstractNumId="261">
    <w:nsid w:val="4DA32C7E"/>
    <w:multiLevelType w:val="hybridMultilevel"/>
    <w:lvl w:ilvl="0">
      <w:lvlJc w:val="left"/>
      <w:lvlText w:val="(%1)"/>
      <w:numFmt w:val="lowerLetter"/>
      <w:start w:val="4"/>
    </w:lvl>
  </w:abstractNum>
  <w:abstractNum w:abstractNumId="262">
    <w:nsid w:val="6EC68664"/>
    <w:multiLevelType w:val="hybridMultilevel"/>
    <w:lvl w:ilvl="0">
      <w:lvlJc w:val="left"/>
      <w:lvlText w:val="(%1)"/>
      <w:numFmt w:val="lowerLetter"/>
      <w:start w:val="1"/>
    </w:lvl>
    <w:lvl w:ilvl="1">
      <w:lvlJc w:val="left"/>
      <w:lvlText w:val="(%2)"/>
      <w:numFmt w:val="lowerRoman"/>
      <w:start w:val="1"/>
    </w:lvl>
  </w:abstractNum>
  <w:abstractNum w:abstractNumId="263">
    <w:nsid w:val="E0D31FF"/>
    <w:multiLevelType w:val="hybridMultilevel"/>
    <w:lvl w:ilvl="0">
      <w:lvlJc w:val="left"/>
      <w:lvlText w:val="(%1)"/>
      <w:numFmt w:val="lowerRoman"/>
      <w:start w:val="11"/>
    </w:lvl>
  </w:abstractNum>
  <w:abstractNum w:abstractNumId="264">
    <w:nsid w:val="2FD0AD81"/>
    <w:multiLevelType w:val="hybridMultilevel"/>
    <w:lvl w:ilvl="0">
      <w:lvlJc w:val="left"/>
      <w:lvlText w:val="(%1)"/>
      <w:numFmt w:val="lowerRoman"/>
      <w:start w:val="2"/>
    </w:lvl>
  </w:abstractNum>
  <w:abstractNum w:abstractNumId="265">
    <w:nsid w:val="1978EBEB"/>
    <w:multiLevelType w:val="hybridMultilevel"/>
    <w:lvl w:ilvl="0">
      <w:lvlJc w:val="left"/>
      <w:lvlText w:val="(%1)"/>
      <w:numFmt w:val="lowerRoman"/>
      <w:start w:val="2"/>
    </w:lvl>
  </w:abstractNum>
  <w:abstractNum w:abstractNumId="266">
    <w:nsid w:val="52C12C61"/>
    <w:multiLevelType w:val="hybridMultilevel"/>
    <w:lvl w:ilvl="0">
      <w:lvlJc w:val="left"/>
      <w:lvlText w:val="(%1)"/>
      <w:numFmt w:val="lowerLetter"/>
      <w:start w:val="1"/>
    </w:lvl>
  </w:abstractNum>
  <w:abstractNum w:abstractNumId="267">
    <w:nsid w:val="4BDD53FD"/>
    <w:multiLevelType w:val="hybridMultilevel"/>
    <w:lvl w:ilvl="0">
      <w:lvlJc w:val="left"/>
      <w:lvlText w:val="(%1)"/>
      <w:numFmt w:val="lowerLetter"/>
      <w:start w:val="1"/>
    </w:lvl>
  </w:abstractNum>
  <w:abstractNum w:abstractNumId="268">
    <w:nsid w:val="569951FE"/>
    <w:multiLevelType w:val="hybridMultilevel"/>
    <w:lvl w:ilvl="0">
      <w:lvlJc w:val="left"/>
      <w:lvlText w:val="(%1)"/>
      <w:numFmt w:val="upperLetter"/>
      <w:start w:val="6"/>
    </w:lvl>
    <w:lvl w:ilvl="1">
      <w:lvlJc w:val="left"/>
      <w:lvlText w:val="(%2)"/>
      <w:numFmt w:val="lowerLetter"/>
      <w:start w:val="2"/>
    </w:lvl>
  </w:abstractNum>
  <w:abstractNum w:abstractNumId="269">
    <w:nsid w:val="4C54E2C3"/>
    <w:multiLevelType w:val="hybridMultilevel"/>
    <w:lvl w:ilvl="0">
      <w:lvlJc w:val="left"/>
      <w:lvlText w:val="(%1)"/>
      <w:numFmt w:val="lowerLetter"/>
      <w:start w:val="1"/>
    </w:lvl>
  </w:abstractNum>
  <w:abstractNum w:abstractNumId="270">
    <w:nsid w:val="788BD9B"/>
    <w:multiLevelType w:val="hybridMultilevel"/>
    <w:lvl w:ilvl="0">
      <w:lvlJc w:val="left"/>
      <w:lvlText w:val="(%1)"/>
      <w:numFmt w:val="lowerLetter"/>
      <w:start w:val="1"/>
    </w:lvl>
  </w:abstractNum>
  <w:abstractNum w:abstractNumId="271">
    <w:nsid w:val="47CAA567"/>
    <w:multiLevelType w:val="hybridMultilevel"/>
    <w:lvl w:ilvl="0">
      <w:lvlJc w:val="left"/>
      <w:lvlText w:val="(%1)"/>
      <w:numFmt w:val="lowerLetter"/>
      <w:start w:val="1"/>
    </w:lvl>
  </w:abstractNum>
  <w:abstractNum w:abstractNumId="272">
    <w:nsid w:val="48249DBF"/>
    <w:multiLevelType w:val="hybridMultilevel"/>
    <w:lvl w:ilvl="0">
      <w:lvlJc w:val="left"/>
      <w:lvlText w:val="(%1)"/>
      <w:numFmt w:val="lowerLetter"/>
      <w:start w:val="1"/>
    </w:lvl>
  </w:abstractNum>
  <w:abstractNum w:abstractNumId="273">
    <w:nsid w:val="1F0E5D0D"/>
    <w:multiLevelType w:val="hybridMultilevel"/>
    <w:lvl w:ilvl="0">
      <w:lvlJc w:val="left"/>
      <w:lvlText w:val="(%1)"/>
      <w:numFmt w:val="lowerLetter"/>
      <w:start w:val="1"/>
    </w:lvl>
  </w:abstractNum>
  <w:abstractNum w:abstractNumId="274">
    <w:nsid w:val="26BAAE9"/>
    <w:multiLevelType w:val="hybridMultilevel"/>
    <w:lvl w:ilvl="0">
      <w:lvlJc w:val="left"/>
      <w:lvlText w:val="(%1)"/>
      <w:numFmt w:val="lowerLetter"/>
      <w:start w:val="2"/>
    </w:lvl>
  </w:abstractNum>
  <w:abstractNum w:abstractNumId="275">
    <w:nsid w:val="2C02FE8C"/>
    <w:multiLevelType w:val="hybridMultilevel"/>
    <w:lvl w:ilvl="0">
      <w:lvlJc w:val="left"/>
      <w:lvlText w:val="(%1)"/>
      <w:numFmt w:val="lowerLetter"/>
      <w:start w:val="1"/>
    </w:lvl>
  </w:abstractNum>
  <w:abstractNum w:abstractNumId="276">
    <w:nsid w:val="129517E"/>
    <w:multiLevelType w:val="hybridMultilevel"/>
    <w:lvl w:ilvl="0">
      <w:lvlJc w:val="left"/>
      <w:lvlText w:val="(%1)"/>
      <w:numFmt w:val="lowerLetter"/>
      <w:start w:val="1"/>
    </w:lvl>
    <w:lvl w:ilvl="1">
      <w:lvlJc w:val="left"/>
      <w:lvlText w:val="(%2)"/>
      <w:numFmt w:val="lowerRoman"/>
      <w:start w:val="1"/>
    </w:lvl>
  </w:abstractNum>
  <w:abstractNum w:abstractNumId="277">
    <w:nsid w:val="763B8C4E"/>
    <w:multiLevelType w:val="hybridMultilevel"/>
    <w:lvl w:ilvl="0">
      <w:lvlJc w:val="left"/>
      <w:lvlText w:val="(%1)"/>
      <w:numFmt w:val="lowerRoman"/>
      <w:start w:val="3"/>
    </w:lvl>
  </w:abstractNum>
  <w:abstractNum w:abstractNumId="278">
    <w:nsid w:val="4CFB8D32"/>
    <w:multiLevelType w:val="hybridMultilevel"/>
    <w:lvl w:ilvl="0">
      <w:lvlJc w:val="left"/>
      <w:lvlText w:val="(%1)"/>
      <w:numFmt w:val="lowerRoman"/>
      <w:start w:val="11"/>
    </w:lvl>
  </w:abstractNum>
  <w:abstractNum w:abstractNumId="279">
    <w:nsid w:val="62A5D5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80">
    <w:nsid w:val="718FABF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81">
    <w:nsid w:val="777579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82">
    <w:nsid w:val="1626FB8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83">
    <w:nsid w:val="3957756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84">
    <w:nsid w:val="3E6DA1C7"/>
    <w:multiLevelType w:val="hybridMultilevel"/>
    <w:lvl w:ilvl="0">
      <w:lvlJc w:val="left"/>
      <w:lvlText w:val="(%1)"/>
      <w:numFmt w:val="upperLetter"/>
      <w:start w:val="3"/>
    </w:lvl>
    <w:lvl w:ilvl="1">
      <w:lvlJc w:val="left"/>
      <w:lvlText w:val="(%2)"/>
      <w:numFmt w:val="lowerLetter"/>
      <w:start w:val="6"/>
    </w:lvl>
    <w:lvl w:ilvl="2">
      <w:lvlJc w:val="left"/>
      <w:lvlText w:val="%3"/>
      <w:numFmt w:val="lowerLetter"/>
      <w:start w:val="1"/>
    </w:lvl>
  </w:abstractNum>
  <w:abstractNum w:abstractNumId="285">
    <w:nsid w:val="65CA235B"/>
    <w:multiLevelType w:val="hybridMultilevel"/>
    <w:lvl w:ilvl="0">
      <w:lvlJc w:val="left"/>
      <w:lvlText w:val="(%1)"/>
      <w:numFmt w:val="lowerLetter"/>
      <w:start w:val="1"/>
    </w:lvl>
  </w:abstractNum>
  <w:abstractNum w:abstractNumId="286">
    <w:nsid w:val="51CB0DA4"/>
    <w:multiLevelType w:val="hybridMultilevel"/>
    <w:lvl w:ilvl="0">
      <w:lvlJc w:val="left"/>
      <w:lvlText w:val="(%1)"/>
      <w:numFmt w:val="lowerLetter"/>
      <w:start w:val="1"/>
    </w:lvl>
  </w:abstractNum>
  <w:abstractNum w:abstractNumId="287">
    <w:nsid w:val="7B9B743C"/>
    <w:multiLevelType w:val="hybridMultilevel"/>
    <w:lvl w:ilvl="0">
      <w:lvlJc w:val="left"/>
      <w:lvlText w:val="(%1)"/>
      <w:numFmt w:val="lowerLetter"/>
      <w:start w:val="1"/>
    </w:lvl>
  </w:abstractNum>
  <w:abstractNum w:abstractNumId="288">
    <w:nsid w:val="13E21002"/>
    <w:multiLevelType w:val="hybridMultilevel"/>
    <w:lvl w:ilvl="0">
      <w:lvlJc w:val="left"/>
      <w:lvlText w:val="(%1)"/>
      <w:numFmt w:val="lowerLetter"/>
      <w:start w:val="1"/>
    </w:lvl>
  </w:abstractNum>
  <w:abstractNum w:abstractNumId="289">
    <w:nsid w:val="257D63F4"/>
    <w:multiLevelType w:val="hybridMultilevel"/>
    <w:lvl w:ilvl="0">
      <w:lvlJc w:val="left"/>
      <w:lvlText w:val="(%1)"/>
      <w:numFmt w:val="lowerLetter"/>
      <w:start w:val="3"/>
    </w:lvl>
  </w:abstractNum>
  <w:abstractNum w:abstractNumId="290">
    <w:nsid w:val="70EC11B2"/>
    <w:multiLevelType w:val="hybridMultilevel"/>
    <w:lvl w:ilvl="0">
      <w:lvlJc w:val="left"/>
      <w:lvlText w:val="(%1)"/>
      <w:numFmt w:val="lowerLetter"/>
      <w:start w:val="1"/>
    </w:lvl>
  </w:abstractNum>
  <w:abstractNum w:abstractNumId="291">
    <w:nsid w:val="2EDA00ED"/>
    <w:multiLevelType w:val="hybridMultilevel"/>
    <w:lvl w:ilvl="0">
      <w:lvlJc w:val="left"/>
      <w:lvlText w:val="(%1)"/>
      <w:numFmt w:val="lowerLetter"/>
      <w:start w:val="1"/>
    </w:lvl>
  </w:abstractNum>
  <w:abstractNum w:abstractNumId="292">
    <w:nsid w:val="73209072"/>
    <w:multiLevelType w:val="hybridMultilevel"/>
    <w:lvl w:ilvl="0">
      <w:lvlJc w:val="left"/>
      <w:lvlText w:val="(%1)"/>
      <w:numFmt w:val="lowerLetter"/>
      <w:start w:val="1"/>
    </w:lvl>
  </w:abstractNum>
  <w:abstractNum w:abstractNumId="293">
    <w:nsid w:val="5FB29816"/>
    <w:multiLevelType w:val="hybridMultilevel"/>
    <w:lvl w:ilvl="0">
      <w:lvlJc w:val="left"/>
      <w:lvlText w:val="%1"/>
      <w:numFmt w:val="lowerLetter"/>
      <w:start w:val="1"/>
    </w:lvl>
    <w:lvl w:ilvl="1">
      <w:lvlJc w:val="left"/>
      <w:lvlText w:val="(%2)"/>
      <w:numFmt w:val="lowerLetter"/>
      <w:start w:val="1"/>
    </w:lvl>
  </w:abstractNum>
  <w:abstractNum w:abstractNumId="294">
    <w:nsid w:val="3CE732EC"/>
    <w:multiLevelType w:val="hybridMultilevel"/>
    <w:lvl w:ilvl="0">
      <w:lvlJc w:val="left"/>
      <w:lvlText w:val="(%1)"/>
      <w:numFmt w:val="lowerLetter"/>
      <w:start w:val="5"/>
    </w:lvl>
    <w:lvl w:ilvl="1">
      <w:lvlJc w:val="left"/>
      <w:lvlText w:val="(%2)"/>
      <w:numFmt w:val="lowerLetter"/>
      <w:start w:val="3"/>
    </w:lvl>
  </w:abstractNum>
  <w:abstractNum w:abstractNumId="295">
    <w:nsid w:val="22F13DF3"/>
    <w:multiLevelType w:val="hybridMultilevel"/>
    <w:lvl w:ilvl="0">
      <w:lvlJc w:val="left"/>
      <w:lvlText w:val="(%1)"/>
      <w:numFmt w:val="lowerLetter"/>
      <w:start w:val="1"/>
    </w:lvl>
  </w:abstractNum>
  <w:abstractNum w:abstractNumId="296">
    <w:nsid w:val="792B8401"/>
    <w:multiLevelType w:val="hybridMultilevel"/>
    <w:lvl w:ilvl="0">
      <w:lvlJc w:val="left"/>
      <w:lvlText w:val="(%1)"/>
      <w:numFmt w:val="lowerLetter"/>
      <w:start w:val="1"/>
    </w:lvl>
  </w:abstractNum>
  <w:abstractNum w:abstractNumId="297">
    <w:nsid w:val="FA85F4D"/>
    <w:multiLevelType w:val="hybridMultilevel"/>
    <w:lvl w:ilvl="0">
      <w:lvlJc w:val="left"/>
      <w:lvlText w:val="(%1)"/>
      <w:numFmt w:val="lowerLetter"/>
      <w:start w:val="3"/>
    </w:lvl>
  </w:abstractNum>
  <w:abstractNum w:abstractNumId="298">
    <w:nsid w:val="6ECE91F0"/>
    <w:multiLevelType w:val="hybridMultilevel"/>
    <w:lvl w:ilvl="0">
      <w:lvlJc w:val="left"/>
      <w:lvlText w:val="(%1)"/>
      <w:numFmt w:val="lowerLetter"/>
      <w:start w:val="1"/>
    </w:lvl>
  </w:abstractNum>
  <w:abstractNum w:abstractNumId="299">
    <w:nsid w:val="4FC4D600"/>
    <w:multiLevelType w:val="hybridMultilevel"/>
    <w:lvl w:ilvl="0">
      <w:lvlJc w:val="left"/>
      <w:lvlText w:val="(%1)"/>
      <w:numFmt w:val="lowerLetter"/>
      <w:start w:val="1"/>
    </w:lvl>
    <w:lvl w:ilvl="1">
      <w:lvlJc w:val="left"/>
      <w:lvlText w:val="(%2)"/>
      <w:numFmt w:val="lowerLetter"/>
      <w:start w:val="9"/>
    </w:lvl>
  </w:abstractNum>
  <w:abstractNum w:abstractNumId="300">
    <w:nsid w:val="5BFD421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01">
    <w:nsid w:val="76574F8B"/>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02">
    <w:nsid w:val="178F7B6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03">
    <w:nsid w:val="2421DFCF"/>
    <w:multiLevelType w:val="hybridMultilevel"/>
    <w:lvl w:ilvl="0">
      <w:lvlJc w:val="left"/>
      <w:lvlText w:val="(%1)"/>
      <w:numFmt w:val="lowerLetter"/>
      <w:start w:val="1"/>
    </w:lvl>
  </w:abstractNum>
  <w:abstractNum w:abstractNumId="304">
    <w:nsid w:val="1565AC99"/>
    <w:multiLevelType w:val="hybridMultilevel"/>
    <w:lvl w:ilvl="0">
      <w:lvlJc w:val="left"/>
      <w:lvlText w:val="%1"/>
      <w:numFmt w:val="lowerLetter"/>
      <w:start w:val="1"/>
    </w:lvl>
    <w:lvl w:ilvl="1">
      <w:lvlJc w:val="left"/>
      <w:lvlText w:val="(%2)"/>
      <w:numFmt w:val="lowerLetter"/>
      <w:start w:val="1"/>
    </w:lvl>
  </w:abstractNum>
  <w:abstractNum w:abstractNumId="305">
    <w:nsid w:val="19FB2650"/>
    <w:multiLevelType w:val="hybridMultilevel"/>
    <w:lvl w:ilvl="0">
      <w:lvlJc w:val="left"/>
      <w:lvlText w:val="(%1)"/>
      <w:numFmt w:val="lowerLetter"/>
      <w:start w:val="9"/>
    </w:lvl>
    <w:lvl w:ilvl="1">
      <w:lvlJc w:val="left"/>
      <w:lvlText w:val="(%2)"/>
      <w:numFmt w:val="lowerLetter"/>
      <w:start w:val="3"/>
    </w:lvl>
  </w:abstractNum>
  <w:abstractNum w:abstractNumId="306">
    <w:nsid w:val="5024DE5B"/>
    <w:multiLevelType w:val="hybridMultilevel"/>
    <w:lvl w:ilvl="0">
      <w:lvlJc w:val="left"/>
      <w:lvlText w:val="(%1)"/>
      <w:numFmt w:val="lowerRoman"/>
      <w:start w:val="1"/>
    </w:lvl>
  </w:abstractNum>
  <w:abstractNum w:abstractNumId="307">
    <w:nsid w:val="168EFE17"/>
    <w:multiLevelType w:val="hybridMultilevel"/>
    <w:lvl w:ilvl="0">
      <w:lvlJc w:val="left"/>
      <w:lvlText w:val="(%1)"/>
      <w:numFmt w:val="lowerRoman"/>
      <w:start w:val="2"/>
    </w:lvl>
  </w:abstractNum>
  <w:abstractNum w:abstractNumId="308">
    <w:nsid w:val="1036B29F"/>
    <w:multiLevelType w:val="hybridMultilevel"/>
    <w:lvl w:ilvl="0">
      <w:lvlJc w:val="left"/>
      <w:lvlText w:val="(%1)"/>
      <w:numFmt w:val="lowerLetter"/>
      <w:start w:val="1"/>
    </w:lvl>
  </w:abstractNum>
  <w:abstractNum w:abstractNumId="309">
    <w:nsid w:val="1D206B8E"/>
    <w:multiLevelType w:val="hybridMultilevel"/>
    <w:lvl w:ilvl="0">
      <w:lvlJc w:val="left"/>
      <w:lvlText w:val="(%1)"/>
      <w:numFmt w:val="lowerLetter"/>
      <w:start w:val="3"/>
    </w:lvl>
  </w:abstractNum>
  <w:abstractNum w:abstractNumId="310">
    <w:nsid w:val="7934D3D4"/>
    <w:multiLevelType w:val="hybridMultilevel"/>
    <w:lvl w:ilvl="0">
      <w:lvlJc w:val="left"/>
      <w:lvlText w:val="(%1)"/>
      <w:numFmt w:val="lowerLetter"/>
      <w:start w:val="1"/>
    </w:lvl>
  </w:abstractNum>
  <w:abstractNum w:abstractNumId="311">
    <w:nsid w:val="1C65E98"/>
    <w:multiLevelType w:val="hybridMultilevel"/>
    <w:lvl w:ilvl="0">
      <w:lvlJc w:val="left"/>
      <w:lvlText w:val="(%1)"/>
      <w:numFmt w:val="lowerLetter"/>
      <w:start w:val="1"/>
    </w:lvl>
  </w:abstractNum>
  <w:abstractNum w:abstractNumId="312">
    <w:nsid w:val="1495E50A"/>
    <w:multiLevelType w:val="hybridMultilevel"/>
    <w:lvl w:ilvl="0">
      <w:lvlJc w:val="left"/>
      <w:lvlText w:val="(%1)"/>
      <w:numFmt w:val="lowerRoman"/>
      <w:start w:val="7"/>
    </w:lvl>
  </w:abstractNum>
  <w:abstractNum w:abstractNumId="313">
    <w:nsid w:val="F5BCF61"/>
    <w:multiLevelType w:val="hybridMultilevel"/>
    <w:lvl w:ilvl="0">
      <w:lvlJc w:val="left"/>
      <w:lvlText w:val="(%1)"/>
      <w:numFmt w:val="lowerLetter"/>
      <w:start w:val="4"/>
    </w:lvl>
  </w:abstractNum>
  <w:abstractNum w:abstractNumId="314">
    <w:nsid w:val="3B1DD403"/>
    <w:multiLevelType w:val="hybridMultilevel"/>
    <w:lvl w:ilvl="0">
      <w:lvlJc w:val="left"/>
      <w:lvlText w:val="(%1)"/>
      <w:numFmt w:val="lowerLetter"/>
      <w:start w:val="1"/>
    </w:lvl>
  </w:abstractNum>
  <w:abstractNum w:abstractNumId="315">
    <w:nsid w:val="530386D1"/>
    <w:multiLevelType w:val="hybridMultilevel"/>
    <w:lvl w:ilvl="0">
      <w:lvlJc w:val="left"/>
      <w:lvlText w:val="(%1)"/>
      <w:numFmt w:val="lowerLetter"/>
      <w:start w:val="5"/>
    </w:lvl>
  </w:abstractNum>
  <w:abstractNum w:abstractNumId="316">
    <w:nsid w:val="7525F2BC"/>
    <w:multiLevelType w:val="hybridMultilevel"/>
    <w:lvl w:ilvl="0">
      <w:lvlJc w:val="left"/>
      <w:lvlText w:val="(%1)"/>
      <w:numFmt w:val="lowerRoman"/>
      <w:start w:val="9"/>
    </w:lvl>
  </w:abstractNum>
  <w:abstractNum w:abstractNumId="317">
    <w:nsid w:val="CE8E1A7"/>
    <w:multiLevelType w:val="hybridMultilevel"/>
    <w:lvl w:ilvl="0">
      <w:lvlJc w:val="left"/>
      <w:lvlText w:val="(%1)"/>
      <w:numFmt w:val="lowerLetter"/>
      <w:start w:val="1"/>
    </w:lvl>
  </w:abstractNum>
  <w:abstractNum w:abstractNumId="318">
    <w:nsid w:val="4E9EFB0D"/>
    <w:multiLevelType w:val="hybridMultilevel"/>
    <w:lvl w:ilvl="0">
      <w:lvlJc w:val="left"/>
      <w:lvlText w:val="(%1)"/>
      <w:numFmt w:val="lowerLetter"/>
      <w:start w:val="5"/>
    </w:lvl>
    <w:lvl w:ilvl="1">
      <w:lvlJc w:val="left"/>
      <w:lvlText w:val="(%2)"/>
      <w:numFmt w:val="upperLetter"/>
      <w:start w:val="1"/>
    </w:lvl>
  </w:abstractNum>
  <w:abstractNum w:abstractNumId="319">
    <w:nsid w:val="90802BE"/>
    <w:multiLevelType w:val="hybridMultilevel"/>
    <w:lvl w:ilvl="0">
      <w:lvlJc w:val="left"/>
      <w:lvlText w:val="%1."/>
      <w:numFmt w:val="decimal"/>
      <w:start w:val="1"/>
    </w:lvl>
  </w:abstractNum>
  <w:abstractNum w:abstractNumId="320">
    <w:nsid w:val="3266459B"/>
    <w:multiLevelType w:val="hybridMultilevel"/>
    <w:lvl w:ilvl="0">
      <w:lvlJc w:val="left"/>
      <w:lvlText w:val="(%1)"/>
      <w:numFmt w:val="lowerLetter"/>
      <w:start w:val="1"/>
    </w:lvl>
  </w:abstractNum>
  <w:abstractNum w:abstractNumId="321">
    <w:nsid w:val="3F8B0CBF"/>
    <w:multiLevelType w:val="hybridMultilevel"/>
    <w:lvl w:ilvl="0">
      <w:lvlJc w:val="left"/>
      <w:lvlText w:val="(%1)"/>
      <w:numFmt w:val="lowerLetter"/>
      <w:start w:val="2"/>
    </w:lvl>
  </w:abstractNum>
  <w:abstractNum w:abstractNumId="322">
    <w:nsid w:val="37E203AB"/>
    <w:multiLevelType w:val="hybridMultilevel"/>
    <w:lvl w:ilvl="0">
      <w:lvlJc w:val="left"/>
      <w:lvlText w:val="(%1)"/>
      <w:numFmt w:val="lowerRoman"/>
      <w:start w:val="2"/>
    </w:lvl>
  </w:abstractNum>
  <w:abstractNum w:abstractNumId="323">
    <w:nsid w:val="2586D60E"/>
    <w:multiLevelType w:val="hybridMultilevel"/>
    <w:lvl w:ilvl="0">
      <w:lvlJc w:val="left"/>
      <w:lvlText w:val="(%1)"/>
      <w:numFmt w:val="lowerLetter"/>
      <w:start w:val="3"/>
    </w:lvl>
  </w:abstractNum>
  <w:abstractNum w:abstractNumId="324">
    <w:nsid w:val="1F3DA4D5"/>
    <w:multiLevelType w:val="hybridMultilevel"/>
    <w:lvl w:ilvl="0">
      <w:lvlJc w:val="left"/>
      <w:lvlText w:val="(%1)"/>
      <w:numFmt w:val="lowerLetter"/>
      <w:start w:val="4"/>
    </w:lvl>
  </w:abstractNum>
  <w:abstractNum w:abstractNumId="325">
    <w:nsid w:val="74C93698"/>
    <w:multiLevelType w:val="hybridMultilevel"/>
    <w:lvl w:ilvl="0">
      <w:lvlJc w:val="left"/>
      <w:lvlText w:val="(%1)"/>
      <w:numFmt w:val="lowerLetter"/>
      <w:start w:val="5"/>
    </w:lvl>
  </w:abstractNum>
  <w:abstractNum w:abstractNumId="326">
    <w:nsid w:val="48781401"/>
    <w:multiLevelType w:val="hybridMultilevel"/>
    <w:lvl w:ilvl="0">
      <w:lvlJc w:val="left"/>
      <w:lvlText w:val="%1."/>
      <w:numFmt w:val="decimal"/>
      <w:start w:val="3"/>
    </w:lvl>
  </w:abstractNum>
  <w:abstractNum w:abstractNumId="327">
    <w:nsid w:val="186928D6"/>
    <w:multiLevelType w:val="hybridMultilevel"/>
    <w:lvl w:ilvl="0">
      <w:lvlJc w:val="left"/>
      <w:lvlText w:val="%1"/>
      <w:numFmt w:val="lowerLetter"/>
      <w:start w:val="1"/>
    </w:lvl>
    <w:lvl w:ilvl="1">
      <w:lvlJc w:val="left"/>
      <w:lvlText w:val="(%2)"/>
      <w:numFmt w:val="lowerLetter"/>
      <w:start w:val="1"/>
    </w:lvl>
  </w:abstractNum>
  <w:abstractNum w:abstractNumId="328">
    <w:nsid w:val="47195E5"/>
    <w:multiLevelType w:val="hybridMultilevel"/>
    <w:lvl w:ilvl="0">
      <w:lvlJc w:val="left"/>
      <w:lvlText w:val="(%1)"/>
      <w:numFmt w:val="lowerLetter"/>
      <w:start w:val="2"/>
    </w:lvl>
    <w:lvl w:ilvl="1">
      <w:lvlJc w:val="left"/>
      <w:lvlText w:val="%2"/>
      <w:numFmt w:val="lowerLetter"/>
      <w:start w:val="1"/>
    </w:lvl>
  </w:abstractNum>
  <w:abstractNum w:abstractNumId="329">
    <w:nsid w:val="3746A5F2"/>
    <w:multiLevelType w:val="hybridMultilevel"/>
    <w:lvl w:ilvl="0">
      <w:lvlJc w:val="left"/>
      <w:lvlText w:val="%1"/>
      <w:numFmt w:val="lowerLetter"/>
      <w:start w:val="1"/>
    </w:lvl>
    <w:lvl w:ilvl="1">
      <w:lvlJc w:val="left"/>
      <w:lvlText w:val="(%2)"/>
      <w:numFmt w:val="lowerLetter"/>
      <w:start w:val="3"/>
    </w:lvl>
  </w:abstractNum>
  <w:abstractNum w:abstractNumId="330">
    <w:nsid w:val="682DFED6"/>
    <w:multiLevelType w:val="hybridMultilevel"/>
    <w:lvl w:ilvl="0">
      <w:lvlJc w:val="left"/>
      <w:lvlText w:val="(%1)"/>
      <w:numFmt w:val="lowerLetter"/>
      <w:start w:val="4"/>
    </w:lvl>
    <w:lvl w:ilvl="1">
      <w:lvlJc w:val="left"/>
      <w:lvlText w:val="%2"/>
      <w:numFmt w:val="lowerLetter"/>
      <w:start w:val="1"/>
    </w:lvl>
  </w:abstractNum>
  <w:abstractNum w:abstractNumId="331">
    <w:nsid w:val="606ED7F6"/>
    <w:multiLevelType w:val="hybridMultilevel"/>
    <w:lvl w:ilvl="0">
      <w:lvlJc w:val="left"/>
      <w:lvlText w:val="(%1)"/>
      <w:numFmt w:val="lowerLetter"/>
      <w:start w:val="2"/>
    </w:lvl>
  </w:abstractNum>
  <w:abstractNum w:abstractNumId="332">
    <w:nsid w:val="2D9DF57D"/>
    <w:multiLevelType w:val="hybridMultilevel"/>
    <w:lvl w:ilvl="0">
      <w:lvlJc w:val="left"/>
      <w:lvlText w:val="(%1)"/>
      <w:numFmt w:val="lowerLetter"/>
      <w:start w:val="1"/>
    </w:lvl>
  </w:abstractNum>
  <w:abstractNum w:abstractNumId="333">
    <w:nsid w:val="7FBD7A3E"/>
    <w:multiLevelType w:val="hybridMultilevel"/>
    <w:lvl w:ilvl="0">
      <w:lvlJc w:val="left"/>
      <w:lvlText w:val="%1"/>
      <w:numFmt w:val="lowerLetter"/>
      <w:start w:val="1"/>
    </w:lvl>
    <w:lvl w:ilvl="1">
      <w:lvlJc w:val="left"/>
      <w:lvlText w:val="(%2)"/>
      <w:numFmt w:val="lowerLetter"/>
      <w:start w:val="4"/>
    </w:lvl>
  </w:abstractNum>
  <w:abstractNum w:abstractNumId="334">
    <w:nsid w:val="490B7C5"/>
    <w:multiLevelType w:val="hybridMultilevel"/>
    <w:lvl w:ilvl="0">
      <w:lvlJc w:val="left"/>
      <w:lvlText w:val="(%1)"/>
      <w:numFmt w:val="lowerLetter"/>
      <w:start w:val="9"/>
    </w:lvl>
    <w:lvl w:ilvl="1">
      <w:lvlJc w:val="left"/>
      <w:lvlText w:val="(%2)"/>
      <w:numFmt w:val="lowerLetter"/>
      <w:start w:val="5"/>
    </w:lvl>
  </w:abstractNum>
  <w:abstractNum w:abstractNumId="335">
    <w:nsid w:val="4303A216"/>
    <w:multiLevelType w:val="hybridMultilevel"/>
    <w:lvl w:ilvl="0">
      <w:lvlJc w:val="left"/>
      <w:lvlText w:val="(%1)"/>
      <w:numFmt w:val="lowerLetter"/>
      <w:start w:val="1"/>
    </w:lvl>
  </w:abstractNum>
  <w:abstractNum w:abstractNumId="336">
    <w:nsid w:val="19B8A0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37">
    <w:nsid w:val="54B5962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38">
    <w:nsid w:val="5992A02E"/>
    <w:multiLevelType w:val="hybridMultilevel"/>
    <w:lvl w:ilvl="0">
      <w:lvlJc w:val="left"/>
      <w:lvlText w:val="(%1)"/>
      <w:numFmt w:val="lowerLetter"/>
      <w:start w:val="1"/>
    </w:lvl>
  </w:abstractNum>
  <w:abstractNum w:abstractNumId="339">
    <w:nsid w:val="29EF532D"/>
    <w:multiLevelType w:val="hybridMultilevel"/>
    <w:lvl w:ilvl="0">
      <w:lvlJc w:val="left"/>
      <w:lvlText w:val="(%1)"/>
      <w:numFmt w:val="lowerLetter"/>
      <w:start w:val="1"/>
    </w:lvl>
    <w:lvl w:ilvl="1">
      <w:lvlJc w:val="left"/>
      <w:lvlText w:val="(%2)"/>
      <w:numFmt w:val="lowerLetter"/>
      <w:start w:val="2"/>
    </w:lvl>
  </w:abstractNum>
  <w:abstractNum w:abstractNumId="340">
    <w:nsid w:val="71D601AF"/>
    <w:multiLevelType w:val="hybridMultilevel"/>
    <w:lvl w:ilvl="0">
      <w:lvlJc w:val="left"/>
      <w:lvlText w:val="(%1)"/>
      <w:numFmt w:val="lowerLetter"/>
      <w:start w:val="3"/>
    </w:lvl>
  </w:abstractNum>
  <w:abstractNum w:abstractNumId="341">
    <w:nsid w:val="52C77402"/>
    <w:multiLevelType w:val="hybridMultilevel"/>
    <w:lvl w:ilvl="0">
      <w:lvlJc w:val="left"/>
      <w:lvlText w:val="(%1)"/>
      <w:numFmt w:val="lowerLetter"/>
      <w:start w:val="1"/>
    </w:lvl>
  </w:abstractNum>
  <w:abstractNum w:abstractNumId="342">
    <w:nsid w:val="2BB5B1C6"/>
    <w:multiLevelType w:val="hybridMultilevel"/>
    <w:lvl w:ilvl="0">
      <w:lvlJc w:val="left"/>
      <w:lvlText w:val="(%1)"/>
      <w:numFmt w:val="lowerLetter"/>
      <w:start w:val="3"/>
    </w:lvl>
  </w:abstractNum>
  <w:abstractNum w:abstractNumId="343">
    <w:nsid w:val="66BE6B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44">
    <w:nsid w:val="62234363"/>
    <w:multiLevelType w:val="hybridMultilevel"/>
    <w:lvl w:ilvl="0">
      <w:lvlJc w:val="left"/>
      <w:lvlText w:val="(%1)"/>
      <w:numFmt w:val="lowerLetter"/>
      <w:start w:val="4"/>
    </w:lvl>
    <w:lvl w:ilvl="1">
      <w:lvlJc w:val="left"/>
      <w:lvlText w:val="(%2)"/>
      <w:numFmt w:val="lowerLetter"/>
      <w:start w:val="5"/>
    </w:lvl>
  </w:abstractNum>
  <w:abstractNum w:abstractNumId="345">
    <w:nsid w:val="66D385C9"/>
    <w:multiLevelType w:val="hybridMultilevel"/>
    <w:lvl w:ilvl="0">
      <w:lvlJc w:val="left"/>
      <w:lvlText w:val="(%1)"/>
      <w:numFmt w:val="lowerLetter"/>
      <w:start w:val="1"/>
    </w:lvl>
  </w:abstractNum>
  <w:abstractNum w:abstractNumId="346">
    <w:nsid w:val="596F6D8A"/>
    <w:multiLevelType w:val="hybridMultilevel"/>
    <w:lvl w:ilvl="0">
      <w:lvlJc w:val="left"/>
      <w:lvlText w:val="(%1)"/>
      <w:numFmt w:val="lowerLetter"/>
      <w:start w:val="1"/>
    </w:lvl>
  </w:abstractNum>
  <w:abstractNum w:abstractNumId="347">
    <w:nsid w:val="5749361F"/>
    <w:multiLevelType w:val="hybridMultilevel"/>
    <w:lvl w:ilvl="0">
      <w:lvlJc w:val="left"/>
      <w:lvlText w:val="%1"/>
      <w:numFmt w:val="lowerLetter"/>
      <w:start w:val="1"/>
    </w:lvl>
    <w:lvl w:ilvl="1">
      <w:lvlJc w:val="left"/>
      <w:lvlText w:val="(%2)"/>
      <w:numFmt w:val="lowerLetter"/>
      <w:start w:val="1"/>
    </w:lvl>
  </w:abstractNum>
  <w:abstractNum w:abstractNumId="348">
    <w:nsid w:val="73BC6770"/>
    <w:multiLevelType w:val="hybridMultilevel"/>
    <w:lvl w:ilvl="0">
      <w:lvlJc w:val="left"/>
      <w:lvlText w:val="(%1)"/>
      <w:numFmt w:val="lowerLetter"/>
      <w:start w:val="9"/>
    </w:lvl>
    <w:lvl w:ilvl="1">
      <w:lvlJc w:val="left"/>
      <w:lvlText w:val="(%2)"/>
      <w:numFmt w:val="lowerLetter"/>
      <w:start w:val="5"/>
    </w:lvl>
  </w:abstractNum>
  <w:abstractNum w:abstractNumId="349">
    <w:nsid w:val="280E6897"/>
    <w:multiLevelType w:val="hybridMultilevel"/>
    <w:lvl w:ilvl="0">
      <w:lvlJc w:val="left"/>
      <w:lvlText w:val="1"/>
      <w:numFmt w:val="bullet"/>
      <w:start w:val="1"/>
    </w:lvl>
  </w:abstractNum>
  <w:abstractNum w:abstractNumId="350">
    <w:nsid w:val="605138DE"/>
    <w:multiLevelType w:val="hybridMultilevel"/>
    <w:lvl w:ilvl="0">
      <w:lvlJc w:val="left"/>
      <w:lvlText w:val="(%1)"/>
      <w:numFmt w:val="lowerLetter"/>
      <w:start w:val="9"/>
    </w:lvl>
    <w:lvl w:ilvl="1">
      <w:lvlJc w:val="left"/>
      <w:lvlText w:val="(%2)"/>
      <w:numFmt w:val="lowerLetter"/>
      <w:start w:val="1"/>
    </w:lvl>
  </w:abstractNum>
  <w:abstractNum w:abstractNumId="351">
    <w:nsid w:val="2622AD0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61" Type="http://schemas.openxmlformats.org/officeDocument/2006/relationships/image" Target="media/image247.png"/><Relationship Id="rId285" Type="http://schemas.openxmlformats.org/officeDocument/2006/relationships/image" Target="media/image248.png"/><Relationship Id="rId289"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png"/><Relationship Id="rId445" Type="http://schemas.openxmlformats.org/officeDocument/2006/relationships/image" Target="media/image394.pn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png"/><Relationship Id="rId450" Type="http://schemas.openxmlformats.org/officeDocument/2006/relationships/image" Target="media/image399.png"/><Relationship Id="rId451" Type="http://schemas.openxmlformats.org/officeDocument/2006/relationships/image" Target="media/image400.png"/><Relationship Id="rId452" Type="http://schemas.openxmlformats.org/officeDocument/2006/relationships/image" Target="media/image401.png"/><Relationship Id="rId453" Type="http://schemas.openxmlformats.org/officeDocument/2006/relationships/image" Target="media/image402.png"/><Relationship Id="rId454" Type="http://schemas.openxmlformats.org/officeDocument/2006/relationships/image" Target="media/image403.png"/><Relationship Id="rId455" Type="http://schemas.openxmlformats.org/officeDocument/2006/relationships/image" Target="media/image404.png"/><Relationship Id="rId456" Type="http://schemas.openxmlformats.org/officeDocument/2006/relationships/image" Target="media/image405.png"/><Relationship Id="rId457" Type="http://schemas.openxmlformats.org/officeDocument/2006/relationships/image" Target="media/image406.pn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png"/><Relationship Id="rId462" Type="http://schemas.openxmlformats.org/officeDocument/2006/relationships/image" Target="media/image411.png"/><Relationship Id="rId463" Type="http://schemas.openxmlformats.org/officeDocument/2006/relationships/image" Target="media/image412.png"/><Relationship Id="rId464" Type="http://schemas.openxmlformats.org/officeDocument/2006/relationships/image" Target="media/image413.pn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0" Type="http://schemas.openxmlformats.org/officeDocument/2006/relationships/image" Target="media/image419.pn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pn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png"/><Relationship Id="rId485" Type="http://schemas.openxmlformats.org/officeDocument/2006/relationships/image" Target="media/image434.png"/><Relationship Id="rId486" Type="http://schemas.openxmlformats.org/officeDocument/2006/relationships/image" Target="media/image435.png"/><Relationship Id="rId487" Type="http://schemas.openxmlformats.org/officeDocument/2006/relationships/image" Target="media/image436.png"/><Relationship Id="rId254" Type="http://schemas.openxmlformats.org/officeDocument/2006/relationships/hyperlink" Target="http://www.sec.gov/Archives/edgar/data/1812477/000121390024020602/ea0200005-40f_bitfarms.htm" TargetMode="External"/><Relationship Id="rId255" Type="http://schemas.openxmlformats.org/officeDocument/2006/relationships/hyperlink" Target="http://www.sec.gov/Archives/edgar/data/1812477/000121390024107072/ea0223977-40fa1_bitfarms.htm" TargetMode="External"/><Relationship Id="rId256" Type="http://schemas.openxmlformats.org/officeDocument/2006/relationships/hyperlink" Target="http://www.sec.gov/Archives/edgar/data/1812477/000121390024040619/ea020544601-6k_bitfarms.htm" TargetMode="External"/><Relationship Id="rId257" Type="http://schemas.openxmlformats.org/officeDocument/2006/relationships/hyperlink" Target="http://www.sec.gov/Archives/edgar/data/1812477/000121390024097122/ea022036001ex99-2_bitfarms.htm" TargetMode="External"/><Relationship Id="rId258" Type="http://schemas.openxmlformats.org/officeDocument/2006/relationships/hyperlink" Target="http://www.sec.gov/Archives/edgar/data/1812477/000121390024097122/ea0220360-6k_bitfarms.htm" TargetMode="External"/><Relationship Id="rId259" Type="http://schemas.openxmlformats.org/officeDocument/2006/relationships/hyperlink" Target="http://www.sec.gov/Archives/edgar/data/1812477/000121390024107077/ea022396301-6ka1_bitfarms.htm" TargetMode="External"/><Relationship Id="rId260" Type="http://schemas.openxmlformats.org/officeDocument/2006/relationships/hyperlink" Target="http://www.sec.gov/Archives/edgar/data/1812477/000121390024097122/ea022036001ex99-1_bitfarms.htm" TargetMode="External"/><Relationship Id="rId262" Type="http://schemas.openxmlformats.org/officeDocument/2006/relationships/hyperlink" Target="http://www.sec.gov/Archives/edgar/data/1812477/000121390024008976/ea192649-6k_bitfarms.htm" TargetMode="External"/><Relationship Id="rId263" Type="http://schemas.openxmlformats.org/officeDocument/2006/relationships/hyperlink" Target="http://www.sec.gov/Archives/edgar/data/1812477/000121390024018987/ea0201038-6k_bitfarms.htm" TargetMode="External"/><Relationship Id="rId264" Type="http://schemas.openxmlformats.org/officeDocument/2006/relationships/hyperlink" Target="http://www.sec.gov/Archives/edgar/data/1812477/000121390024020605/ea0201279-6k_bitfarms.htm" TargetMode="External"/><Relationship Id="rId265" Type="http://schemas.openxmlformats.org/officeDocument/2006/relationships/hyperlink" Target="http://www.sec.gov/Archives/edgar/data/1812477/000121390024021176/ea0201471-6k_bitfarms.htm" TargetMode="External"/><Relationship Id="rId266" Type="http://schemas.openxmlformats.org/officeDocument/2006/relationships/hyperlink" Target="http://www.sec.gov/Archives/edgar/data/1812477/000121390024032533/ea0203802-6k_bitfarms.htm" TargetMode="External"/><Relationship Id="rId267" Type="http://schemas.openxmlformats.org/officeDocument/2006/relationships/hyperlink" Target="http://www.sec.gov/Archives/edgar/data/1812477/000121390024043172/ea0205631-6k_bitfarms.htm" TargetMode="External"/><Relationship Id="rId268" Type="http://schemas.openxmlformats.org/officeDocument/2006/relationships/hyperlink" Target="http://www.sec.gov/Archives/edgar/data/1812477/000121390024051297/ea0207585-6k_bitfarms.htm" TargetMode="External"/><Relationship Id="rId269" Type="http://schemas.openxmlformats.org/officeDocument/2006/relationships/hyperlink" Target="http://www.sec.gov/Archives/edgar/data/1812477/000121390024051719/ea0207660-6k_bitfarms.htm" TargetMode="External"/><Relationship Id="rId270" Type="http://schemas.openxmlformats.org/officeDocument/2006/relationships/hyperlink" Target="http://www.sec.gov/Archives/edgar/data/1812477/000121390024052435/ea0207833-6k_bitfarms.htm" TargetMode="External"/><Relationship Id="rId271" Type="http://schemas.openxmlformats.org/officeDocument/2006/relationships/hyperlink" Target="http://www.sec.gov/Archives/edgar/data/1812477/000121390024055714/ea0208462-6k_bitfarms.htm" TargetMode="External"/><Relationship Id="rId272" Type="http://schemas.openxmlformats.org/officeDocument/2006/relationships/hyperlink" Target="http://www.sec.gov/Archives/edgar/data/1812477/000121390024057168/ea0208716-6k_bitfarms.htm" TargetMode="External"/><Relationship Id="rId273" Type="http://schemas.openxmlformats.org/officeDocument/2006/relationships/hyperlink" Target="http://www.sec.gov/Archives/edgar/data/1812477/000121390024057867/ea0208808-6k_bitfarms.htm" TargetMode="External"/><Relationship Id="rId274" Type="http://schemas.openxmlformats.org/officeDocument/2006/relationships/hyperlink" Target="http://www.sec.gov/Archives/edgar/data/1812477/000121390024059806/ea0209093-6k_bitfarms.htm" TargetMode="External"/><Relationship Id="rId275" Type="http://schemas.openxmlformats.org/officeDocument/2006/relationships/hyperlink" Target="http://www.sec.gov/Archives/edgar/data/1812477/000121390024061020/ea0209354-6k_bitfarms.htm" TargetMode="External"/><Relationship Id="rId276" Type="http://schemas.openxmlformats.org/officeDocument/2006/relationships/hyperlink" Target="http://www.sec.gov/Archives/edgar/data/1812477/000121390024066331/ea0210444-6k_bitfarms.htm" TargetMode="External"/><Relationship Id="rId277" Type="http://schemas.openxmlformats.org/officeDocument/2006/relationships/hyperlink" Target="http://www.sec.gov/Archives/edgar/data/1812477/000121390024075300/ea0213185-6k_bitfarms.htm" TargetMode="External"/><Relationship Id="rId278" Type="http://schemas.openxmlformats.org/officeDocument/2006/relationships/hyperlink" Target="http://www.sec.gov/Archives/edgar/data/1812477/000121390024077433/ea0214058-6k_bitfarms.htm" TargetMode="External"/><Relationship Id="rId279" Type="http://schemas.openxmlformats.org/officeDocument/2006/relationships/hyperlink" Target="http://www.sec.gov/Archives/edgar/data/1812477/000121390024085653/ea0216772-6k_bitfarms.htm" TargetMode="External"/><Relationship Id="rId280" Type="http://schemas.openxmlformats.org/officeDocument/2006/relationships/hyperlink" Target="http://www.sec.gov/Archives/edgar/data/1812477/000121390024093692/ea0219478-6k_bitfarms.htm" TargetMode="External"/><Relationship Id="rId281" Type="http://schemas.openxmlformats.org/officeDocument/2006/relationships/hyperlink" Target="http://www.sec.gov/Archives/edgar/data/1812477/000121390024107524/ea0223854-6k_bitfarms.htm" TargetMode="External"/><Relationship Id="rId282" Type="http://schemas.openxmlformats.org/officeDocument/2006/relationships/hyperlink" Target="http://www.sec.gov/Archives/edgar/data/1812477/000121390024107491/ea0224300-6k_bitfarms.htm" TargetMode="External"/><Relationship Id="rId283" Type="http://schemas.openxmlformats.org/officeDocument/2006/relationships/hyperlink" Target="http://www.sec.gov/Archives/edgar/data/1812477/000121390024109907/ea0225130-6k_bitfarms.htm" TargetMode="External"/><Relationship Id="rId284" Type="http://schemas.openxmlformats.org/officeDocument/2006/relationships/hyperlink" Target="http://www.sec.gov/Archives/edgar/data/1812477/000121390025000456/ea0226566-6k_bitfarms.htm" TargetMode="External"/><Relationship Id="rId286" Type="http://schemas.openxmlformats.org/officeDocument/2006/relationships/hyperlink" Target="http://www.sec.gov/Archives/edgar/data/1856028/000162828024010049/sdig-20231231.htm" TargetMode="External"/><Relationship Id="rId287" Type="http://schemas.openxmlformats.org/officeDocument/2006/relationships/hyperlink" Target="http://www.sec.gov/Archives/edgar/data/1856028/000114036124022864/ny20021834x1_def14a.htm" TargetMode="External"/><Relationship Id="rId288" Type="http://schemas.openxmlformats.org/officeDocument/2006/relationships/hyperlink" Target="http://www.sec.gov/Archives/edgar/data/1856028/000114036124029216/ny20030755x1_defa14a.htm" TargetMode="External"/><Relationship Id="rId290" Type="http://schemas.openxmlformats.org/officeDocument/2006/relationships/hyperlink" Target="http://www.sec.gov/Archives/edgar/data/1856028/000162828024021273/sdig-20240331.htm" TargetMode="External"/><Relationship Id="rId291" Type="http://schemas.openxmlformats.org/officeDocument/2006/relationships/hyperlink" Target="http://www.sec.gov/Archives/edgar/data/1856028/000162828024037177/sdig-20240630.htm" TargetMode="External"/><Relationship Id="rId292" Type="http://schemas.openxmlformats.org/officeDocument/2006/relationships/hyperlink" Target="http://www.sec.gov/Archives/edgar/data/1856028/000162828024047680/sdig-20240930.htm" TargetMode="External"/><Relationship Id="rId293" Type="http://schemas.openxmlformats.org/officeDocument/2006/relationships/hyperlink" Target="http://www.sec.gov/Archives/edgar/data/1856028/000162828024051214/sdig-20240930.htm" TargetMode="External"/><Relationship Id="rId294" Type="http://schemas.openxmlformats.org/officeDocument/2006/relationships/hyperlink" Target="http://www.sec.gov/Archives/edgar/data/1856028/000114036124011606/ef20023407_8k.htm" TargetMode="External"/><Relationship Id="rId295" Type="http://schemas.openxmlformats.org/officeDocument/2006/relationships/hyperlink" Target="http://www.sec.gov/Archives/edgar/data/1856028/000185602824000035/sdig-20240624.htm" TargetMode="External"/><Relationship Id="rId296" Type="http://schemas.openxmlformats.org/officeDocument/2006/relationships/hyperlink" Target="http://www.sec.gov/Archives/edgar/data/1856028/000114036124044279/ef20037711_8k.htm" TargetMode="External"/><Relationship Id="rId297" Type="http://schemas.openxmlformats.org/officeDocument/2006/relationships/hyperlink" Target="http://www.sec.gov/Archives/edgar/data/1856028/000114036124044717/ef20037928_8k.htm" TargetMode="External"/><Relationship Id="rId298" Type="http://schemas.openxmlformats.org/officeDocument/2006/relationships/hyperlink" Target="http://www.sec.gov/Archives/edgar/data/1856028/000114036124049546/ef20040060_8k.htm" TargetMode="External"/><Relationship Id="rId299" Type="http://schemas.openxmlformats.org/officeDocument/2006/relationships/hyperlink" Target="http://www.sec.gov/Archives/edgar/data/1856028/000156459021051089/sdmi-8a_20211020.htm" TargetMode="External"/><Relationship Id="rId300" Type="http://schemas.openxmlformats.org/officeDocument/2006/relationships/hyperlink" Target="http://www.sec.gov/Archives/edgar/data/1856028/000162828024010049/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2025-01-28T17:43:23Z</dcterms:created>
  <dcterms:modified xsi:type="dcterms:W3CDTF">2025-01-28T17:43:23Z</dcterms:modified>
</cp:coreProperties>
</file>