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November 17,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366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622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Material Change Report dated November 17, 2022</w:t>
            </w:r>
          </w:p>
        </w:tc>
      </w:tr>
      <w:tr>
        <w:trPr>
          <w:trHeight w:val="547"/>
        </w:trPr>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660" w:type="dxa"/>
            <w:vAlign w:val="bottom"/>
            <w:tcBorders>
              <w:top w:val="single" w:sz="8" w:color="0000EE"/>
              <w:bottom w:val="single" w:sz="8" w:color="auto"/>
            </w:tcBorders>
          </w:tcPr>
          <w:p>
            <w:pPr>
              <w:spacing w:after="0"/>
              <w:rPr>
                <w:sz w:val="24"/>
                <w:szCs w:val="24"/>
                <w:color w:val="auto"/>
              </w:rPr>
            </w:pPr>
          </w:p>
        </w:tc>
        <w:tc>
          <w:tcPr>
            <w:tcW w:w="6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596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800"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17, 2022.</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17,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313131"/>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Bitfarms Appoints Edie Hofmeister to the Board of Directors</w:t>
      </w: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 Governance and ESG expert joins as new independent director -</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(November 17,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Bitfarms Ltd. (NASDAQ: BITF // TSX: BITF), a global Bitcoin self-mining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company, appointed Edie Hofmeister to its board of directors, increasing the total number of board members to six.</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Edie Hofmeister has advised large and small multinational extractive companies on legal and ESG matters for over twenty years. Most recently she served as Executive Vice President Corporate Affairs and General Counsel for Tahoe Resources where she led the Legal, Sustainability and Government Affairs departments and helped grow Tahoe from a junior exploration company to a mid-cap precious metals producer. Since 2006, Ms. Hofmeister has worked alongside rural and indigenous communities in India, Peru, Guatemala, Mexico and Canada to enhance food, work and water security. She serves as the Chair of the International Bar Association’s Business and Human Rights Committee, a group dedicated to promoting high ESG standards in multinational corporations. Ms. Hofmeister currently serves as an independent director on a number of Canadian public company boards.</w:t>
      </w:r>
    </w:p>
    <w:p>
      <w:pPr>
        <w:spacing w:after="0" w:line="208" w:lineRule="exact"/>
        <w:rPr>
          <w:sz w:val="20"/>
          <w:szCs w:val="20"/>
          <w:color w:val="auto"/>
        </w:rPr>
      </w:pPr>
    </w:p>
    <w:p>
      <w:pPr>
        <w:jc w:val="both"/>
        <w:ind w:hanging="9"/>
        <w:spacing w:after="0" w:line="277" w:lineRule="auto"/>
        <w:rPr>
          <w:sz w:val="20"/>
          <w:szCs w:val="20"/>
          <w:color w:val="auto"/>
        </w:rPr>
      </w:pPr>
      <w:r>
        <w:rPr>
          <w:rFonts w:ascii="Arial" w:cs="Arial" w:eastAsia="Arial" w:hAnsi="Arial"/>
          <w:sz w:val="18"/>
          <w:szCs w:val="18"/>
          <w:i w:val="1"/>
          <w:iCs w:val="1"/>
          <w:color w:val="auto"/>
        </w:rPr>
        <w:t>Ms. Hofmeister received a Bachelor of Arts degree in international relations from UCLA, a Master of Arts degree in international peace studies from the University of Notre Dame and a Juris Doctor degree from the University of San Francisco.</w:t>
      </w:r>
    </w:p>
    <w:p>
      <w:pPr>
        <w:spacing w:after="0" w:line="170" w:lineRule="exact"/>
        <w:rPr>
          <w:sz w:val="20"/>
          <w:szCs w:val="20"/>
          <w:color w:val="auto"/>
        </w:rPr>
      </w:pPr>
    </w:p>
    <w:p>
      <w:pPr>
        <w:jc w:val="both"/>
        <w:ind w:hanging="9"/>
        <w:spacing w:after="0" w:line="263" w:lineRule="auto"/>
        <w:rPr>
          <w:sz w:val="20"/>
          <w:szCs w:val="20"/>
          <w:color w:val="auto"/>
        </w:rPr>
      </w:pPr>
      <w:r>
        <w:rPr>
          <w:rFonts w:ascii="Arial" w:cs="Arial" w:eastAsia="Arial" w:hAnsi="Arial"/>
          <w:sz w:val="18"/>
          <w:szCs w:val="18"/>
          <w:i w:val="1"/>
          <w:iCs w:val="1"/>
          <w:color w:val="auto"/>
        </w:rPr>
        <w:t>“We are excited that Edie has accepted our invitation to join the Bitfarms’ board. With her depth of experience in public company governance and ESG, Edie’s addition strengthens our team. We look forward to her key insights as the industry continues to evolve and Bitfarms grows,” said Nicolas Bonta, Bitfarms’ Executive Chairman &amp; Founder.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Founded in 2017, Bitfarms is a global, publicly traded (NASDAQ/TSX: BITF) Bitcoin self- 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012" w:right="65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i w:val="1"/>
          <w:iCs w:val="1"/>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Website: www.bitfarms.com 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016" w:right="67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6"/>
          <w:szCs w:val="16"/>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 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00" w:right="6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+1 339-234-3332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mediarelations@bitfarms.com</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9" Type="http://schemas.openxmlformats.org/officeDocument/2006/relationships/hyperlink" Target="https://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2023-03-16T05:35:45Z</dcterms:created>
  <dcterms:modified xsi:type="dcterms:W3CDTF">2023-03-16T05:35:45Z</dcterms:modified>
</cp:coreProperties>
</file>