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BITFARMS LTD.</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STRONGHOLD DIGITAL MINING,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001-40931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X/Twitter: August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143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14312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i w:val="1"/>
          <w:iCs w:val="1"/>
          <w:color w:val="auto"/>
        </w:rPr>
        <w:t>This communication contains certain “forward-looking information” and “forward-looking statements” (collectively, “forward-looking information”) that are based on expectations, estimates and projections as at the date of this communication and are covered by safe harbors under Canadian and United States securities laws. The statements and information in this communication regarding receipt of the approval of the shareholders of Stronghold Digital Mining, Inc. (“Stronghold”) for the proposed acquisition (the “Transaction”) by Bitfarms Ltd. (“Bitfarms” or the “Company”) as well as all other applicable regulatory approvals, closing of the Transaction on a timely basis and on the terms as announced, the benefits of the Transaction, the ability to gain access to additional electrical power and grow the hashrate of the Stronghold business, performance of the plants and equipment upgrades and the impact on operating capacity including the target hashrate to take the Stronghold business to 10 EH/s in 2025, to increase the Bitfarms energy portfolio to 950 MW by year-end 2025 and multi-year expansion capacity up to 1.6 GW, the opportunities to leverage Bitfarms’ proven expertise to successfully enhance energy efficiency and hashrate, reclamation and environmental benefits in general, the synergies of the combined business, carbon capture potential, hashrate growth in general, energy efficiency and cost savings in general, and the benefits of the growth strategy including to merge HPC / AI with Bitcoin mining operations and other statements regarding future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Transaction as well as other applicable regulatory approvals; that the Transaction may not close within the timeframe anticipated or at all or may not close on the terms and conditions currently anticipated by the Company for a number of reasons including, without limitation, as a result of a failure to satisfy the conditions to closing of the Transaction; the inability of the Company to operate the plants as anticipated following consummation of the Transaction;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the Company operates and the potential adverse impact on profitability; future capital needs and the ability to complete current and future financings, including the Company’s ability to utilize an at-the-market offering program (the “ATM Program”) and the prices at which securities may be sold in the ATM Program, as well as capital market conditions in general; share dilution resulting from the ATM Program and from other equity issuances; volatile securities markets impacting security pricing unrelated to operating performance;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 and Where to Find It</w:t>
      </w:r>
    </w:p>
    <w:p>
      <w:pPr>
        <w:spacing w:after="0" w:line="22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w:t>
      </w:r>
    </w:p>
    <w:p>
      <w:pPr>
        <w:spacing w:after="0" w:line="3"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b w:val="1"/>
          <w:bCs w:val="1"/>
          <w:color w:val="auto"/>
        </w:rPr>
        <w:t>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 Relating to the Merger</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2024-08-22T05:12:03Z</dcterms:created>
  <dcterms:modified xsi:type="dcterms:W3CDTF">2024-08-22T05:12:03Z</dcterms:modified>
</cp:coreProperties>
</file>