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187960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140970</wp:posOffset>
            </wp:positionV>
            <wp:extent cx="713676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71367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71367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140970</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110 Yonge Street, Suite 1601, Toronto, Ontario, Canada M5C 1T4</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140970</wp:posOffset>
            </wp:positionV>
            <wp:extent cx="71367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3" w:lineRule="exact"/>
        <w:rPr>
          <w:sz w:val="24"/>
          <w:szCs w:val="24"/>
          <w:color w:val="auto"/>
        </w:rPr>
      </w:pPr>
    </w:p>
    <w:p>
      <w:pPr>
        <w:ind w:left="3280"/>
        <w:spacing w:after="0" w:line="196" w:lineRule="exact"/>
        <w:tabs>
          <w:tab w:leader="none" w:pos="476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177165</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201930</wp:posOffset>
            </wp:positionV>
            <wp:extent cx="713676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632460</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9019"/>
          </w:cols>
          <w:pgMar w:left="1440" w:top="49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INCLUDED AS PART OF THIS FORM 6-K</w:t>
      </w:r>
    </w:p>
    <w:p>
      <w:pPr>
        <w:spacing w:after="0" w:line="224" w:lineRule="exact"/>
        <w:rPr>
          <w:sz w:val="20"/>
          <w:szCs w:val="20"/>
          <w:color w:val="auto"/>
        </w:rPr>
      </w:pPr>
    </w:p>
    <w:p>
      <w:pPr>
        <w:jc w:val="both"/>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June 10, 2024, the Registrant filed with the Canadian Securities Regulatory Authorities on the System for Electronic Data Analysis and Retrieval + (SEDAR +) a material change report that includes a copy of a press release, a copy of which is attached hereto as Exhibit 99.1, and a shareholder rights plan agreement, a copy of which is attached hereto as Exhibit 99.2, which are incorporated by reference into the Company’s Registration Statement on </w:t>
      </w:r>
      <w:hyperlink r:id="rId19">
        <w:r>
          <w:rPr>
            <w:rFonts w:ascii="Times New Roman" w:cs="Times New Roman" w:eastAsia="Times New Roman" w:hAnsi="Times New Roman"/>
            <w:sz w:val="17"/>
            <w:szCs w:val="17"/>
            <w:u w:val="single" w:color="auto"/>
            <w:color w:val="0000EE"/>
          </w:rPr>
          <w:t>Form F-10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333-272989) and the Registration Statement of Bitfarms Ltd. on </w:t>
      </w:r>
      <w:hyperlink r:id="rId20">
        <w:r>
          <w:rPr>
            <w:rFonts w:ascii="Times New Roman" w:cs="Times New Roman" w:eastAsia="Times New Roman" w:hAnsi="Times New Roman"/>
            <w:sz w:val="17"/>
            <w:szCs w:val="17"/>
            <w:u w:val="single" w:color="auto"/>
            <w:color w:val="0000EE"/>
          </w:rPr>
          <w:t>Form S-8</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333-278868).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Exhibits listed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437"/>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Exhibit No.</w:t>
            </w:r>
          </w:p>
        </w:tc>
        <w:tc>
          <w:tcPr>
            <w:tcW w:w="1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99.1</w:t>
            </w: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100" w:type="dxa"/>
            <w:vAlign w:val="bottom"/>
            <w:tcBorders>
              <w:top w:val="single" w:sz="8" w:color="auto"/>
              <w:bottom w:val="single" w:sz="8" w:color="0000EE"/>
            </w:tcBorders>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0000EE"/>
              </w:rPr>
              <w:t>Material Change Report dated June 10, 2024</w:t>
            </w:r>
          </w:p>
        </w:tc>
        <w:tc>
          <w:tcPr>
            <w:tcW w:w="6980" w:type="dxa"/>
            <w:vAlign w:val="bottom"/>
            <w:tcBorders>
              <w:top w:val="single" w:sz="8" w:color="auto"/>
              <w:bottom w:val="single" w:sz="8" w:color="CCEEFF"/>
            </w:tcBorders>
            <w:gridSpan w:val="2"/>
            <w:shd w:val="clear" w:color="auto" w:fill="CCEEFF"/>
          </w:tcPr>
          <w:p>
            <w:pPr>
              <w:spacing w:after="0"/>
              <w:rPr>
                <w:sz w:val="16"/>
                <w:szCs w:val="16"/>
                <w:color w:val="auto"/>
              </w:rPr>
            </w:pPr>
          </w:p>
        </w:tc>
      </w:tr>
      <w:tr>
        <w:trPr>
          <w:trHeight w:val="170"/>
        </w:trPr>
        <w:tc>
          <w:tcPr>
            <w:tcW w:w="10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99.2</w:t>
            </w:r>
          </w:p>
        </w:tc>
        <w:tc>
          <w:tcPr>
            <w:tcW w:w="140" w:type="dxa"/>
            <w:vAlign w:val="bottom"/>
          </w:tcPr>
          <w:p>
            <w:pPr>
              <w:spacing w:after="0"/>
              <w:rPr>
                <w:sz w:val="14"/>
                <w:szCs w:val="14"/>
                <w:color w:val="auto"/>
              </w:rPr>
            </w:pPr>
          </w:p>
        </w:tc>
        <w:tc>
          <w:tcPr>
            <w:tcW w:w="10080" w:type="dxa"/>
            <w:vAlign w:val="bottom"/>
            <w:gridSpan w:val="3"/>
          </w:tcPr>
          <w:p>
            <w:pPr>
              <w:spacing w:after="0" w:line="170" w:lineRule="exact"/>
              <w:rPr>
                <w:sz w:val="20"/>
                <w:szCs w:val="20"/>
                <w:color w:val="auto"/>
              </w:rPr>
            </w:pPr>
            <w:r>
              <w:rPr>
                <w:rFonts w:ascii="Times New Roman" w:cs="Times New Roman" w:eastAsia="Times New Roman" w:hAnsi="Times New Roman"/>
                <w:sz w:val="17"/>
                <w:szCs w:val="17"/>
                <w:color w:val="0000EE"/>
              </w:rPr>
              <w:t>Shareholder rights plan agreement dated June 10, 2024</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color w:val="auto"/>
        </w:rPr>
        <w:t>SIGNATURE</w:t>
      </w:r>
    </w:p>
    <w:p>
      <w:pPr>
        <w:spacing w:after="0" w:line="22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By: /s/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20320</wp:posOffset>
            </wp:positionV>
            <wp:extent cx="267462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674620" cy="16510"/>
                    </a:xfrm>
                    <a:prstGeom prst="rect">
                      <a:avLst/>
                    </a:prstGeom>
                    <a:noFill/>
                  </pic:spPr>
                </pic:pic>
              </a:graphicData>
            </a:graphic>
          </wp:anchor>
        </w:drawing>
      </w:r>
    </w:p>
    <w:p>
      <w:pPr>
        <w:spacing w:after="0" w:line="2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color w:val="auto"/>
        </w:rPr>
        <w:t>Name: Nicolas Bonta</w:t>
      </w:r>
    </w:p>
    <w:p>
      <w:pPr>
        <w:spacing w:after="0" w:line="26" w:lineRule="exact"/>
        <w:rPr>
          <w:sz w:val="20"/>
          <w:szCs w:val="20"/>
          <w:color w:val="auto"/>
        </w:rPr>
      </w:pPr>
    </w:p>
    <w:p>
      <w:pPr>
        <w:ind w:left="7040"/>
        <w:spacing w:after="0"/>
        <w:tabs>
          <w:tab w:leader="none" w:pos="7560" w:val="left"/>
        </w:tabs>
        <w:rPr>
          <w:sz w:val="20"/>
          <w:szCs w:val="20"/>
          <w:color w:val="auto"/>
        </w:rPr>
      </w:pPr>
      <w:r>
        <w:rPr>
          <w:rFonts w:ascii="Times New Roman" w:cs="Times New Roman" w:eastAsia="Times New Roman" w:hAnsi="Times New Roman"/>
          <w:sz w:val="17"/>
          <w:szCs w:val="17"/>
          <w:color w:val="auto"/>
        </w:rPr>
        <w:t>Title:</w:t>
        <w:tab/>
        <w:t>Chairman and Interim CEO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10, 2024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51-102F3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Ltd. (“Bitfarms” or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 Yonge Street, Suite 1601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Ontario M5C 1T4</w:t>
      </w: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10, 2024.</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News Release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press release attached as Schedule “A” was released on June 10, 2024 by a newswire company in Canada.</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change is described in the press release attached as Schedule “A”.</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change is described in the press release attached as Schedule “A”.</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Nicolas Bonta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Ltd.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nbonta@bitfarms.com</w:t>
      </w: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433705</wp:posOffset>
            </wp:positionV>
            <wp:extent cx="713676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152400</wp:posOffset>
            </wp:positionV>
            <wp:extent cx="1962150" cy="51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962150" cy="51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Bitfarms Announces Adoption of Shareholder Rights Plan</w:t>
      </w:r>
    </w:p>
    <w:p>
      <w:pPr>
        <w:spacing w:after="0" w:line="222" w:lineRule="exact"/>
        <w:rPr>
          <w:sz w:val="20"/>
          <w:szCs w:val="20"/>
          <w:color w:val="auto"/>
        </w:rPr>
      </w:pPr>
    </w:p>
    <w:p>
      <w:pPr>
        <w:jc w:val="both"/>
        <w:ind w:left="20" w:hanging="7"/>
        <w:spacing w:after="0" w:line="247"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Toronto, Ontario and Brossard, Québec (June 10, 2024) </w:t>
      </w:r>
      <w:r>
        <w:rPr>
          <w:rFonts w:ascii="Times New Roman" w:cs="Times New Roman" w:eastAsia="Times New Roman" w:hAnsi="Times New Roman"/>
          <w:sz w:val="17"/>
          <w:szCs w:val="17"/>
          <w:color w:val="auto"/>
        </w:rPr>
        <w:t>- Bitfarms Ltd. (Nasdaq/TSX: BITF) (“Bitfarms” or the “Company”), a global Bitcoin vertically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integrated company, today announced that its Board of Directors (the “Board”) has unanimously approved the adoption of a shareholder rights plan (the “Rights Plan”) pursuant to a shareholder rights plan agreement entered into with TSX Trust Company, as rights agent, dated June 10, 2024 (the “Effective Date”). The Rights Plan is being adopted to preserve the integrity of our previously announced strategic alternatives review process (the “Strategic Alternative Review Process”) and is in the best interests of all Bitfarms’ shareholders.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Rights Plan</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previously announced, the Board formed a special committee of independent directors (the “Special Committee”) to conduct a Strategic Alternatives Review Process to consider, among other things, continuing to execute on the Company’s business plan, a business combination or other strategic transaction, or a sale of the Company.</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Riot Platforms, Inc. (“Riot”) (i) is the holder of a minimum of 47,830,440 common shares in the capital of the Company, representing 11.62% of the issued and outstanding voting securities of the Company, (ii) has made an unsolicited proposal to the Board to acquire all of the issued and outstanding common shares of the Company, and (iii) announced its intention to requisition a special meeting of shareholders of the Company in efforts to circumvent and frustrate the Strategic Alternatives Review Process being undertaken by the Special Committee.</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After receiving Riot’s proposal on April 22, 2024, at which time Riot owned 14,848,938 common shares of the Company, representing 3.61% of the issued and outstanding voting securities of the Company, the Special Committee thoroughly evaluated the proposal, and after careful consideration, determined that the proposal significantly undervalues the Company and its growth prospects. The Special Committee has welcomed Riot’s interest in the Company and participation in the ongoing Strategic Alternatives Review Process, including by agreeing to the standstill term proposed by Riot. Disappointingly, Riot declined to participate in the process and instead has continued to acquire common shares of the Company in the open market, thereby acquiring an additional 8.01% of the Company’s common shares since April 22, 2024, in an attempt to undermine the integrity of the process and thwart the interest of third parties.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Special Committee, in consultation with its financial, legal and strategic advisors, believes that the adoption of the Rights Plan is necessary at this time in order to ensure, to the extent possible, that the Board has sufficient opportunity to identify, develop and negotiate alternatives, if considered appropriate, pursuant to the Strategic Alternative Review Process, to deliver the best value for Bitfarms’ shareholders. The Special Committee has been advised that the continuing accumulation of common shares of the Company by Riot (or economic interests therein) above a 15% threshold in the short term is likely to inhibit the Strategic Alternatives Review Process and therefore prevent the Company from maximizing shareholder value. As a result, on the recommendation of the Special Committee, the Board has unanimously approved the Rights Plan in order to preserve the integrity of the Strategic Alternatives Review Process.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spacing w:after="0" w:line="294" w:lineRule="auto"/>
        <w:rPr>
          <w:sz w:val="20"/>
          <w:szCs w:val="20"/>
          <w:color w:val="auto"/>
        </w:rPr>
      </w:pPr>
      <w:r>
        <w:rPr>
          <w:rFonts w:ascii="Times New Roman" w:cs="Times New Roman" w:eastAsia="Times New Roman" w:hAnsi="Times New Roman"/>
          <w:sz w:val="17"/>
          <w:szCs w:val="17"/>
          <w:color w:val="auto"/>
        </w:rPr>
        <w:t>The Rights Plan allows Riot to proceed with an unsolicited take-over bid in accordance with applicable Canadian securities laws and does not prevent Riot from making nominations and soliciting proxies in respect of a requisition.</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the close of business on June 20, 2024 (the “Record Time”), one right (a “Right”) will be issued and attached to each common share outstanding as at that time. A Right will also be attached to each common share issued after the Record Time. The issuance of the Rights will not change the manner in which shareholders trade their common shares. Subject to the terms of the Rights Plan, the Rights issued under the Rights Plan become exercisable if a person (the “Acquiring Person”), together with certain related persons (including persons “acting jointly or in concert” as defined in the Rights Plan), becomes the beneficial owner of: (i) 15% or more of the outstanding common shares during the period beginning at the Record Time and up to and including September 10, 2024; or (ii) thereafter, 20% (the “Stipulated Percentage”), without complying with the “Permitted Bid” provisions of the Rights Plan. The Rights Plan will not be triggered solely by the beneficial ownership of the Stipulated Percentage or more of the common shares by a shareholder and its affiliates, associates and joint actors prior to the date hereof, as any such person would be “grandfathered” under to the terms of the Rights Plan; however, subsequent purchases of more than 1% of the common shares of the Company by a “grandfathered” person after the Effective Date shall cause such person to become an Acquiring Person pursuant to the terms of the Rights Plan. Following a transaction that results in a person becoming an Acquiring Person, the Rights entitle the holder thereof (other than the Acquiring Person and certain related persons) to purchase common shares at a significant discount to the market price at that time.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Rights Plan, a “Permitted Bid” is a take-over bid made in compliance with the Canadian take-over bid regime. Specifically, a Permitted Bid is a take-over bid that is made to all shareholders, that is open for 105 days (or such shorter period as is permitted under the Canadian take-over bid regime) and that contains certain conditions, including that no common shares will be taken up and paid for unless more than 50% of the common shares that are held by independent shareholders are tendered to the take-over bid.</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While the Rights Plan is effective as of the Effective Date, it is subject to shareholder ratification within six months of its adoption, failing which it will terminate</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Adoption of the Rights Plan is subject to the acceptance of the Toronto Stock Exchange (the “</w:t>
      </w:r>
      <w:r>
        <w:rPr>
          <w:rFonts w:ascii="Times New Roman" w:cs="Times New Roman" w:eastAsia="Times New Roman" w:hAnsi="Times New Roman"/>
          <w:sz w:val="17"/>
          <w:szCs w:val="17"/>
          <w:b w:val="1"/>
          <w:bCs w:val="1"/>
          <w:color w:val="auto"/>
        </w:rPr>
        <w:t>TSX</w:t>
      </w:r>
      <w:r>
        <w:rPr>
          <w:rFonts w:ascii="Times New Roman" w:cs="Times New Roman" w:eastAsia="Times New Roman" w:hAnsi="Times New Roman"/>
          <w:sz w:val="17"/>
          <w:szCs w:val="17"/>
          <w:color w:val="auto"/>
        </w:rPr>
        <w:t xml:space="preserve">”). The TSX may defer its consideration of the acceptance of the Rights Plan until such time as it is satisfied that the appropriate securities commission will not intervene pursuant to National Policy 62-202 </w:t>
      </w:r>
      <w:r>
        <w:rPr>
          <w:rFonts w:ascii="Times New Roman" w:cs="Times New Roman" w:eastAsia="Times New Roman" w:hAnsi="Times New Roman"/>
          <w:sz w:val="17"/>
          <w:szCs w:val="17"/>
          <w:i w:val="1"/>
          <w:iCs w:val="1"/>
          <w:color w:val="auto"/>
        </w:rPr>
        <w:t>Take-Over Bids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Defensive Tactics</w:t>
      </w:r>
      <w:r>
        <w:rPr>
          <w:rFonts w:ascii="Times New Roman" w:cs="Times New Roman" w:eastAsia="Times New Roman" w:hAnsi="Times New Roman"/>
          <w:sz w:val="17"/>
          <w:szCs w:val="17"/>
          <w:color w:val="auto"/>
        </w:rPr>
        <w:t>. Pursuant to TSX policies, the TSX normally defers acceptance of shareholder rights plans adopted in response to a specific or anticipated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take-over bid. The Board is not aware of any pending or threatened take-over bid for the Company, other than the proposal announced by Riot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 deferral of acceptance of the Rights Plan by the TSX will not affect the adoption or operation of the Rights Plan.</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description of the Rights Plan in this press release is qualified in its entirety by the full text of the Rights Plan, which will be available under the Company’s profile on SEDAR+ at www.sedarplus.ca or at www.sec.gov.</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About Bitfarms Ltd.</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learn more about Bitfarms’ events, developments, and online communities: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www.bitfarms.com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https://www.facebook.com/bitfarms/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https://twitter.com/Bitfarms_io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https://www.instagram.com/bitfarms/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https://www.linkedin.com/company/bitfarms/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Cautionary Statement</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issuance of Rights at the Record Time pursuant to the Rights Plan, the progress or results of the Strategic Alternatives Review Process or the maximization or enhancement of shareholder value, and the statements regarding the TSX’s possible deferral of its consideration of the acceptance of the Rights Plan is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conclude the Strategic Alternatives Review Process on a timely basis or at all;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7"/>
          <w:szCs w:val="17"/>
          <w:i w:val="1"/>
          <w:iCs w:val="1"/>
          <w:color w:val="auto"/>
          <w:highlight w:val="white"/>
        </w:rPr>
        <w:t>www.sedarplus.ca</w:t>
      </w:r>
      <w:r>
        <w:rPr>
          <w:rFonts w:ascii="Times New Roman" w:cs="Times New Roman" w:eastAsia="Times New Roman" w:hAnsi="Times New Roman"/>
          <w:sz w:val="17"/>
          <w:szCs w:val="17"/>
          <w:i w:val="1"/>
          <w:iCs w:val="1"/>
          <w:color w:val="auto"/>
        </w:rPr>
        <w:t xml:space="preserve"> (which are also available on the website of the U.S. Securities and Exchange Commission at </w:t>
      </w:r>
      <w:r>
        <w:rPr>
          <w:rFonts w:ascii="Times New Roman" w:cs="Times New Roman" w:eastAsia="Times New Roman" w:hAnsi="Times New Roman"/>
          <w:sz w:val="17"/>
          <w:szCs w:val="17"/>
          <w:i w:val="1"/>
          <w:iCs w:val="1"/>
          <w:color w:val="auto"/>
          <w:highlight w:val="white"/>
        </w:rPr>
        <w:t>www.sec.gov</w:t>
      </w:r>
      <w:r>
        <w:rPr>
          <w:rFonts w:ascii="Times New Roman" w:cs="Times New Roman" w:eastAsia="Times New Roman" w:hAnsi="Times New Roman"/>
          <w:sz w:val="17"/>
          <w:szCs w:val="17"/>
          <w:i w:val="1"/>
          <w:iCs w:val="1"/>
          <w:color w:val="auto"/>
        </w:rPr>
        <w:t xml:space="preserve">), including the MD&amp;A for the year-ended December 31, 2023, filed on March 7, 2024 </w:t>
      </w:r>
      <w:r>
        <w:rPr>
          <w:rFonts w:ascii="Times New Roman" w:cs="Times New Roman" w:eastAsia="Times New Roman" w:hAnsi="Times New Roman"/>
          <w:sz w:val="17"/>
          <w:szCs w:val="17"/>
          <w:i w:val="1"/>
          <w:iCs w:val="1"/>
          <w:color w:val="auto"/>
          <w:highlight w:val="white"/>
        </w:rPr>
        <w:t>and the MD&amp;A for three-month period ended March 31, 2024 filed on May 15, 2024.</w:t>
      </w:r>
      <w:r>
        <w:rPr>
          <w:rFonts w:ascii="Times New Roman" w:cs="Times New Roman" w:eastAsia="Times New Roman" w:hAnsi="Times New Roman"/>
          <w:sz w:val="17"/>
          <w:szCs w:val="17"/>
          <w:i w:val="1"/>
          <w:iCs w:val="1"/>
          <w:color w:val="auto"/>
        </w:rPr>
        <w:t xml:space="preserve">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Tracy Krumme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SVP, Investor Relations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+1 786-671-5638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tkrumme@bitfarms.com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Contacts: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Khushboo Chaudhary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+1 646-373-9946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mediarelations@bitfarms.com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Québec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Tact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Louis-Martin Leclerc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+1 418-693-2425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lmleclerc@tactconseil.ca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 Katcher or Joseph Sala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Joele Frank, Wilkinson Brimmer Katcher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212-355-4449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DATED AS OF</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JUNE 10, 2024</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1080770</wp:posOffset>
            </wp:positionV>
            <wp:extent cx="713676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920" w:type="dxa"/>
            <w:vAlign w:val="bottom"/>
          </w:tcPr>
          <w:p>
            <w:pPr>
              <w:spacing w:after="0"/>
              <w:rPr>
                <w:sz w:val="19"/>
                <w:szCs w:val="19"/>
                <w:color w:val="auto"/>
              </w:rPr>
            </w:pPr>
          </w:p>
        </w:tc>
        <w:tc>
          <w:tcPr>
            <w:tcW w:w="9320" w:type="dxa"/>
            <w:vAlign w:val="bottom"/>
          </w:tcPr>
          <w:p>
            <w:pPr>
              <w:ind w:left="3820"/>
              <w:spacing w:after="0"/>
              <w:rPr>
                <w:sz w:val="20"/>
                <w:szCs w:val="20"/>
                <w:color w:val="auto"/>
              </w:rPr>
            </w:pPr>
            <w:r>
              <w:rPr>
                <w:rFonts w:ascii="Times New Roman" w:cs="Times New Roman" w:eastAsia="Times New Roman" w:hAnsi="Times New Roman"/>
                <w:sz w:val="17"/>
                <w:szCs w:val="17"/>
                <w:color w:val="auto"/>
              </w:rPr>
              <w:t>TABLE OF CONTENTS</w:t>
            </w:r>
          </w:p>
        </w:tc>
        <w:tc>
          <w:tcPr>
            <w:tcW w:w="1000" w:type="dxa"/>
            <w:vAlign w:val="bottom"/>
          </w:tcPr>
          <w:p>
            <w:pPr>
              <w:spacing w:after="0"/>
              <w:rPr>
                <w:sz w:val="19"/>
                <w:szCs w:val="19"/>
                <w:color w:val="auto"/>
              </w:rPr>
            </w:pPr>
          </w:p>
        </w:tc>
      </w:tr>
      <w:tr>
        <w:trPr>
          <w:trHeight w:val="437"/>
        </w:trPr>
        <w:tc>
          <w:tcPr>
            <w:tcW w:w="920" w:type="dxa"/>
            <w:vAlign w:val="bottom"/>
            <w:tcBorders>
              <w:bottom w:val="single" w:sz="8" w:color="CCEEFF"/>
            </w:tcBorders>
          </w:tcPr>
          <w:p>
            <w:pPr>
              <w:spacing w:after="0"/>
              <w:rPr>
                <w:sz w:val="24"/>
                <w:szCs w:val="24"/>
                <w:color w:val="auto"/>
              </w:rPr>
            </w:pPr>
          </w:p>
        </w:tc>
        <w:tc>
          <w:tcPr>
            <w:tcW w:w="9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Page</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1 INTERPRETATION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Certain 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Currency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Number and Gender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Headings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Statutory References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Calculation of Number and Percentage of Beneficial Ownership of Outstanding Voting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Acting Jointly or in Concert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2 THE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Legend on Share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Initial Exercise Price; Exercise of Rights; Detachment of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to Exercise Price; Number of Rights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Date on Which Exercise Is Effective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Execution, Authentication, Delivery and Dating of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Registration, Transfer and Exchange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Mutilated, Destroyed, Lost and Stolen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Persons Deemed Owners of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Delivery and Cancellation of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2.10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Agreement of Rights 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Rights Certificate Holder Not Deemed a Shareholder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3 ADJUSTMENTS TO THE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3.1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Flip-in Event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4 THE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Amalgamation or Consolidation or Change of Name of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Duties of Rights Agent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of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Compliance with Anti-Money Laundering Legislation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Privacy Legislation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Liability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5 MISCELLANEOUS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 and Waiver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Expiration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New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Supplements and Amendments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Fractional Rights and Fractional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Rights of Action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Regulatory Approvals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Notice of Proposed 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29</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Rights of Board and Corporation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Costs of Enforcement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Successors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Benefits of this Agreement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Governing Law</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Language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Severability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Effective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Reconfirmation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Determinations and Actions by the Board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Declaration as to Non-Canadian Holders and Non-U.S. 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5.21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Time of the Essence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Execution in Counterparts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ATTACHMENT 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FORM OF ASSIGNMENT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r>
      <w:tr>
        <w:trPr>
          <w:trHeight w:val="209"/>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FORM OF ELECTION TO 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CERTIFICATE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37</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NOTICE</w:t>
            </w:r>
          </w:p>
        </w:tc>
        <w:tc>
          <w:tcPr>
            <w:tcW w:w="93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38</w:t>
            </w: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SHAREHOLDER RIGHTS PLAN AGREEMENT is made as of June 10, 2024 between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 corporation continued under the laws of the Province of Ontario, and TSX Trust Company, a trust company existing under the laws of Canada and registered to carry on business in all provinces and territories of Canada (the “</w:t>
      </w:r>
      <w:r>
        <w:rPr>
          <w:rFonts w:ascii="Times New Roman" w:cs="Times New Roman" w:eastAsia="Times New Roman" w:hAnsi="Times New Roman"/>
          <w:sz w:val="17"/>
          <w:szCs w:val="17"/>
          <w:b w:val="1"/>
          <w:bCs w:val="1"/>
          <w:color w:val="auto"/>
        </w:rPr>
        <w:t>Rights Agent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WHEREAS the Board of Directors, on the recommendation of the special committee of independent directors, has determined that it is in the best interests of the Corporation to adopt a shareholder protection rights plan (the “</w:t>
      </w:r>
      <w:r>
        <w:rPr>
          <w:rFonts w:ascii="Times New Roman" w:cs="Times New Roman" w:eastAsia="Times New Roman" w:hAnsi="Times New Roman"/>
          <w:sz w:val="17"/>
          <w:szCs w:val="17"/>
          <w:b w:val="1"/>
          <w:bCs w:val="1"/>
          <w:color w:val="auto"/>
        </w:rPr>
        <w:t>Rights Plan</w:t>
      </w:r>
      <w:r>
        <w:rPr>
          <w:rFonts w:ascii="Times New Roman" w:cs="Times New Roman" w:eastAsia="Times New Roman" w:hAnsi="Times New Roman"/>
          <w:sz w:val="17"/>
          <w:szCs w:val="17"/>
          <w:color w:val="auto"/>
        </w:rPr>
        <w:t>”) to ensure, to the extent possible, that the Board of Directors has sufficient opportunity to identify, develop and negotiate value-enhancing alternatives, if considered appropriate, to any unsolicited Offer to Acquire (as hereinafter defined) the outstanding Voting Shares, including pursuant to the Board of Director's current comprehensive review of strategic alternatives to maximize shareholder value;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WHEREAS in order to implement the Rights Plan as established by this Agreement (as hereinafter defined), the Board of Directors has:</w:t>
      </w:r>
    </w:p>
    <w:p>
      <w:pPr>
        <w:spacing w:after="0" w:line="220" w:lineRule="exact"/>
        <w:rPr>
          <w:sz w:val="20"/>
          <w:szCs w:val="20"/>
          <w:color w:val="auto"/>
        </w:rPr>
      </w:pPr>
    </w:p>
    <w:p>
      <w:pPr>
        <w:ind w:left="320" w:hanging="316"/>
        <w:spacing w:after="0" w:line="297"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effective at the close of business (Toronto time) on June 20, 2024 (the “</w:t>
      </w:r>
      <w:r>
        <w:rPr>
          <w:rFonts w:ascii="Times New Roman" w:cs="Times New Roman" w:eastAsia="Times New Roman" w:hAnsi="Times New Roman"/>
          <w:sz w:val="17"/>
          <w:szCs w:val="17"/>
          <w:b w:val="1"/>
          <w:bCs w:val="1"/>
          <w:color w:val="auto"/>
        </w:rPr>
        <w:t>Record Time</w:t>
      </w:r>
      <w:r>
        <w:rPr>
          <w:rFonts w:ascii="Times New Roman" w:cs="Times New Roman" w:eastAsia="Times New Roman" w:hAnsi="Times New Roman"/>
          <w:sz w:val="17"/>
          <w:szCs w:val="17"/>
          <w:color w:val="auto"/>
        </w:rPr>
        <w:t>”), of one Right (as hereinafter defined) in respect of each Common Share (as hereinafter defined) outstanding at the Record Time;</w:t>
      </w:r>
    </w:p>
    <w:p>
      <w:pPr>
        <w:spacing w:after="0" w:line="144"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of one Right in respect of each Voting Share of the Corporation issued after the Record Time and prior to the earlier of the Separation Time (as hereinafter defined) and the Expiration Time (as hereinafter defined); and</w:t>
      </w:r>
    </w:p>
    <w:p>
      <w:pPr>
        <w:spacing w:after="0" w:line="146"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of Rights Certificates (as hereinafter defined) to holders of Rights pursuant to the terms and subject to the conditions set forth herein;</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AND WHEREAS each Right entitles the holder thereof, after the Separation Time, to purchase securities of the Corporation pursuant to the terms and subject to the conditions set forth herein;</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WHEREAS the Corporation desires to appoint the Rights Agent to act on behalf of the Corporation and the holders of Rights, and the Rights Agent is willing to so act, in connection with the issuance, transfer, exchange and replacement of Rights Certificates, the exercise of Rights and other matters referred to herein;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WHEREAS the foregoing recitals are made as representations and statements of fact by the Corporation and not by the Rights Agent.</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NOW THEREFORE in consideration of the premises and the respective covenants and agreements set forth herein, and subject to such covenants and agreements, the parties hereby agree 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Certain 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Agreement, the following terms have the meanings indicated:</w:t>
      </w:r>
    </w:p>
    <w:p>
      <w:pPr>
        <w:spacing w:after="0" w:line="220" w:lineRule="exact"/>
        <w:rPr>
          <w:sz w:val="20"/>
          <w:szCs w:val="20"/>
          <w:color w:val="auto"/>
        </w:rPr>
      </w:pPr>
    </w:p>
    <w:p>
      <w:pPr>
        <w:ind w:left="1260" w:hanging="630"/>
        <w:spacing w:after="0" w:line="297" w:lineRule="auto"/>
        <w:tabs>
          <w:tab w:leader="none" w:pos="12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 shall mean any Person who is the Beneficial Owner of the Stipulated Percentage or more of the outstanding Voting Shares; provided, however, that the term “</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 shall not include:</w:t>
      </w:r>
    </w:p>
    <w:p>
      <w:pPr>
        <w:spacing w:after="0" w:line="144"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or any Subsidiary of the Corporation;</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becomes the Beneficial Owner of the Stipulated Percentage or more of the outstanding Voting Shares as a result of one or any combination of:</w:t>
      </w:r>
    </w:p>
    <w:p>
      <w:pPr>
        <w:spacing w:after="0" w:line="146"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Voting Share Reduction;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Permitted Bid Acquisition;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 Acquisition;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Rata Acquisition; or</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Convertible Security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jc w:val="both"/>
        <w:ind w:left="1250"/>
        <w:spacing w:after="0" w:line="263" w:lineRule="auto"/>
        <w:rPr>
          <w:sz w:val="20"/>
          <w:szCs w:val="20"/>
          <w:color w:val="auto"/>
        </w:rPr>
      </w:pPr>
      <w:r>
        <w:rPr>
          <w:rFonts w:ascii="Times New Roman" w:cs="Times New Roman" w:eastAsia="Times New Roman" w:hAnsi="Times New Roman"/>
          <w:sz w:val="17"/>
          <w:szCs w:val="17"/>
          <w:color w:val="auto"/>
        </w:rPr>
        <w:t>provided, however, that if a Person becomes the Beneficial Owner of the Stipulated Percentage or more of the outstanding Voting Shares by reason of one or any combination of the operation of Paragraphs (A), (B), (C), (D) or (E) above and such Person’s Beneficial Ownership of Voting Shares thereafter increases by more than 1% of the number of Voting Shares outstanding (other than pursuant to one of a Voting Share Reduction, a Permitted Bid Acquisition, an Exempt Acquisition, a Pro Rata Acquisition or a Convertible Security Acquisition or any combination thereof), then as of the date such Person becomes the Beneficial Owner of such additional Voting Shares, such Person shall become an “</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1250" w:hanging="624"/>
        <w:spacing w:after="0" w:line="265" w:lineRule="auto"/>
        <w:tabs>
          <w:tab w:leader="none" w:pos="125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ten days after the Disqualification Date, any Person who becomes the Beneficial Owner of the Stipulated Percentage or more of the outstanding Voting Shares as a result of such Person becoming disqualified from relying on Subsection 1.1(f)(B) solely because such Person is making or has announced a current intention to make a Take-over Bid, either alone or by acting jointly or in concert with any other Person. For the purposes of this definition, “</w:t>
      </w:r>
      <w:r>
        <w:rPr>
          <w:rFonts w:ascii="Times New Roman" w:cs="Times New Roman" w:eastAsia="Times New Roman" w:hAnsi="Times New Roman"/>
          <w:sz w:val="17"/>
          <w:szCs w:val="17"/>
          <w:b w:val="1"/>
          <w:bCs w:val="1"/>
          <w:color w:val="auto"/>
        </w:rPr>
        <w:t>Disqualification Date</w:t>
      </w:r>
      <w:r>
        <w:rPr>
          <w:rFonts w:ascii="Times New Roman" w:cs="Times New Roman" w:eastAsia="Times New Roman" w:hAnsi="Times New Roman"/>
          <w:sz w:val="17"/>
          <w:szCs w:val="17"/>
          <w:color w:val="auto"/>
        </w:rPr>
        <w:t>” means the first date of public announcement that any Person is making or intends to make a Take-over Bid;</w:t>
      </w:r>
    </w:p>
    <w:p>
      <w:pPr>
        <w:spacing w:after="0" w:line="17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or member of a banking or selling group that becomes the Beneficial Owner of the Stipulated Percentage or more of the Voting Shares in connection with a distribution of securities of the Corporation pursuant to an underwriting agreement with the Corporation; or</w:t>
      </w:r>
    </w:p>
    <w:p>
      <w:pPr>
        <w:spacing w:after="0" w:line="160" w:lineRule="exact"/>
        <w:rPr>
          <w:rFonts w:ascii="Times New Roman" w:cs="Times New Roman" w:eastAsia="Times New Roman" w:hAnsi="Times New Roman"/>
          <w:sz w:val="17"/>
          <w:szCs w:val="17"/>
          <w:color w:val="auto"/>
        </w:rPr>
      </w:pPr>
    </w:p>
    <w:p>
      <w:pPr>
        <w:jc w:val="both"/>
        <w:ind w:left="1250" w:hanging="624"/>
        <w:spacing w:after="0" w:line="261" w:lineRule="auto"/>
        <w:tabs>
          <w:tab w:leader="none" w:pos="125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(a “</w:t>
      </w:r>
      <w:r>
        <w:rPr>
          <w:rFonts w:ascii="Times New Roman" w:cs="Times New Roman" w:eastAsia="Times New Roman" w:hAnsi="Times New Roman"/>
          <w:sz w:val="17"/>
          <w:szCs w:val="17"/>
          <w:b w:val="1"/>
          <w:bCs w:val="1"/>
          <w:color w:val="auto"/>
        </w:rPr>
        <w:t>Grandfathered Person</w:t>
      </w:r>
      <w:r>
        <w:rPr>
          <w:rFonts w:ascii="Times New Roman" w:cs="Times New Roman" w:eastAsia="Times New Roman" w:hAnsi="Times New Roman"/>
          <w:sz w:val="17"/>
          <w:szCs w:val="17"/>
          <w:color w:val="auto"/>
        </w:rPr>
        <w:t>”) who is the Beneficial Owner of the Stipulated Percentage or more of the outstanding Voting Shares determined as at the Effective Date, provided, however, that this exception shall not be, and shall cease to be, applicable to a Grandfathered Person in the event that such Grandfathered Person shall, after the Effective Date, become the Beneficial Owner of any additional Voting Shares that increases its Beneficial Ownership of Voting Shares by more than 1% of the number of Voting Shares outstanding, other than through one of a Permitted Bid Acquisition, an Exempt Acquisition, a Voting Share Reduction, a Pro Rata Acquisition or a Convertible Security Acquisition or any combination thereof; and provided, further, that a Person shall cease to be a Grandfathered Person in the event that such Person ceases to Beneficially Own the Stipulated Percentage or more of the then outstanding Voting Shares at any time after the Effective Date;</w:t>
      </w:r>
    </w:p>
    <w:p>
      <w:pPr>
        <w:spacing w:after="0" w:line="176"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when used to indicate a relationship with a specified Person, shall mean a Person that directly, or indirectly through one or more intermediaries, controls, or is controlled by, or is under common control with, such specified Person;</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shall mean this shareholder rights plan agreement dated as of June 10, 2024 between the Corporation and the Rights Agent, as amended or supplemented from time to time; “hereof”, “herein”, “hereto” and similar expressions mean and refer to this Agreement as a whole and not to any particular part of this Agreement;</w:t>
      </w:r>
    </w:p>
    <w:p>
      <w:pPr>
        <w:spacing w:after="0" w:line="160"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annual cash dividend</w:t>
      </w:r>
      <w:r>
        <w:rPr>
          <w:rFonts w:ascii="Times New Roman" w:cs="Times New Roman" w:eastAsia="Times New Roman" w:hAnsi="Times New Roman"/>
          <w:sz w:val="17"/>
          <w:szCs w:val="17"/>
          <w:color w:val="auto"/>
        </w:rPr>
        <w:t>” shall mean cash dividends paid in any fiscal year of the Corporation to the extent that such cash dividends do not exceed, in the aggregate on a per share basis, in any fiscal year, the greater of:</w:t>
      </w:r>
    </w:p>
    <w:p>
      <w:pPr>
        <w:spacing w:after="0" w:line="144"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aggregate amount of cash dividends, on a per share basis, declared payable by the Corporation on its Common Shares in its immediately preceding fiscal year;</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 of the arithmetic mean of the aggregate amounts of the cash dividends, on a per share basis, declared payable by the Corporation on its Common Shares in its three immediately preceding fiscal years;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aggregate consolidated net income of the Corporation, before extraordinary items, for its immediately preceding fiscal year divided by the number of Common Shares outstanding as at the end of such fiscal year;</w:t>
      </w:r>
    </w:p>
    <w:p>
      <w:pPr>
        <w:spacing w:after="0" w:line="144"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Associate</w:t>
      </w:r>
      <w:r>
        <w:rPr>
          <w:rFonts w:ascii="Times New Roman" w:cs="Times New Roman" w:eastAsia="Times New Roman" w:hAnsi="Times New Roman"/>
          <w:sz w:val="17"/>
          <w:szCs w:val="17"/>
          <w:color w:val="auto"/>
        </w:rPr>
        <w:t>” shall mean, when used to indicate a relationship with a specified Person, a spouse of that Person, any Person of the same or opposite sex with whom that Person is living in a conjugal relationship outside marriage, a child of that Person and a relative of that Person if that relative has the same residence as that Person;</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shall be deemed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of, and to have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of, and to “</w:t>
      </w:r>
      <w:r>
        <w:rPr>
          <w:rFonts w:ascii="Times New Roman" w:cs="Times New Roman" w:eastAsia="Times New Roman" w:hAnsi="Times New Roman"/>
          <w:sz w:val="17"/>
          <w:szCs w:val="17"/>
          <w:b w:val="1"/>
          <w:bCs w:val="1"/>
          <w:color w:val="auto"/>
        </w:rPr>
        <w:t>Beneficially Own</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as to which such Person or any of such Person’s Affiliates or Associates is the owner at law or in equity;</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61" w:lineRule="auto"/>
        <w:tabs>
          <w:tab w:leader="none" w:pos="125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as to which such Person or any of such Person’s Affiliates or Associates has the right to become the owner at law or in equity (where such right is exercisable within a period of 60 days, whether or not on condition or on the happening of any contingency) pursuant to any agreement, arrangement, pledge or understanding, whether or not in writing, or upon the exercise of any conversion, exchange or purchase right (other than the Rights) attaching to a Convertible Security, including but not limited to any lock-up agreement or similar agreement, arrangement or understanding that is not a Permitted Lock-Up Agreement; other than pursuant to (x) customary agreements between the Corporation and underwriters or between underwriters and/or banking group members and/or selling group members with respect to a distribution of securities by the Corporation, and (y) pledges of securities in the ordinary course of business;</w:t>
      </w:r>
    </w:p>
    <w:p>
      <w:pPr>
        <w:spacing w:after="0" w:line="385"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12" w:name="page13"/>
    <w:bookmarkEnd w:id="12"/>
    <w:p>
      <w:pPr>
        <w:jc w:val="both"/>
        <w:ind w:left="760" w:hanging="624"/>
        <w:spacing w:after="0" w:line="258"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which are the subject of, or the reference securities for, or that underlie, any option, warrant, convertible security, stock appreciation right, or other security, contract right, derivative or synthetic transaction, including any contract for differences, "security-based swap" or other "swap" transaction, other than a broad based market basket or index (a "</w:t>
      </w:r>
      <w:r>
        <w:rPr>
          <w:rFonts w:ascii="Times New Roman" w:cs="Times New Roman" w:eastAsia="Times New Roman" w:hAnsi="Times New Roman"/>
          <w:sz w:val="17"/>
          <w:szCs w:val="17"/>
          <w:b w:val="1"/>
          <w:bCs w:val="1"/>
          <w:color w:val="auto"/>
        </w:rPr>
        <w:t>Derivative Transaction</w:t>
      </w:r>
      <w:r>
        <w:rPr>
          <w:rFonts w:ascii="Times New Roman" w:cs="Times New Roman" w:eastAsia="Times New Roman" w:hAnsi="Times New Roman"/>
          <w:sz w:val="17"/>
          <w:szCs w:val="17"/>
          <w:color w:val="auto"/>
        </w:rPr>
        <w:t>") (without regard to any short or similar position under the same or any other derivative or synthetic transaction with respect to such securities) entered into by such Person or any of such Person's Affiliates or Associates, that gives such Person or any of such Person's Affiliates or Associates, the substantially economic equivalent of ownership of an amount of securities due to the fact that the value of the Derivative Transaction is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Transaction conveys any voting rights in such securities to such Person or any of such Person's Affiliates or Associates; (B) the Derivative Transaction is required to be, or is capable of being, settled through delivery of such securities; or (C) such Person, any of such Person's Affiliates or Associates, or any derivative counterparty to any of the foregoing, may have entered into other transactions that hedge the economic effect of such Derivative Transaction. In determining the number of Voting Shares that are Beneficially Owned by virtue of the operation of this Subsection 1.1(f)(iii), the subject Person will be deemed to Beneficially Own (without duplication) the notional or other number of Voting Shares that, pursuant to the documentation evidencing the Derivative Transaction, may be acquired upon each exercise or settlement of such transaction or as the basis upon which the aggregate value or settlement amount of such transaction, or the opportunity of the subject Person to profit or share in any profit, is to be calculated, in whole or in part, and in any case (or if no such number of Voting Shares is specified in such documentation, such documentation is not available to the Board of Directors or otherwise) as determined by the Board of Directors in good faith to be the number of Voting Shares to which the Derivative Transaction relates (including in reliance on any filings with any securities regulatory authority by the subject Person), with this determination being applied to successive derivative counterparties, as appropriate; and</w:t>
      </w:r>
    </w:p>
    <w:p>
      <w:pPr>
        <w:spacing w:after="0" w:line="176" w:lineRule="exact"/>
        <w:rPr>
          <w:rFonts w:ascii="Times New Roman" w:cs="Times New Roman" w:eastAsia="Times New Roman" w:hAnsi="Times New Roman"/>
          <w:sz w:val="17"/>
          <w:szCs w:val="17"/>
          <w:color w:val="auto"/>
        </w:rPr>
      </w:pPr>
    </w:p>
    <w:p>
      <w:pPr>
        <w:ind w:left="760" w:hanging="624"/>
        <w:spacing w:after="0" w:line="294"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which are Beneficially Owned within the meaning of Subsections 1.1(f)(i), (ii) or (iii) by any other Person with which such Person is acting jointly or in concert;</w:t>
      </w:r>
    </w:p>
    <w:p>
      <w:pPr>
        <w:spacing w:after="0" w:line="145" w:lineRule="exact"/>
        <w:rPr>
          <w:sz w:val="20"/>
          <w:szCs w:val="20"/>
          <w:color w:val="auto"/>
        </w:rPr>
      </w:pPr>
    </w:p>
    <w:p>
      <w:pPr>
        <w:ind w:left="140"/>
        <w:spacing w:after="0" w:line="297" w:lineRule="auto"/>
        <w:rPr>
          <w:sz w:val="20"/>
          <w:szCs w:val="20"/>
          <w:color w:val="auto"/>
        </w:rPr>
      </w:pPr>
      <w:r>
        <w:rPr>
          <w:rFonts w:ascii="Times New Roman" w:cs="Times New Roman" w:eastAsia="Times New Roman" w:hAnsi="Times New Roman"/>
          <w:sz w:val="17"/>
          <w:szCs w:val="17"/>
          <w:color w:val="auto"/>
        </w:rPr>
        <w:t>provided, however, that a Person shall not be deemed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of, or to have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of, or to “</w:t>
      </w:r>
      <w:r>
        <w:rPr>
          <w:rFonts w:ascii="Times New Roman" w:cs="Times New Roman" w:eastAsia="Times New Roman" w:hAnsi="Times New Roman"/>
          <w:sz w:val="17"/>
          <w:szCs w:val="17"/>
          <w:b w:val="1"/>
          <w:bCs w:val="1"/>
          <w:color w:val="auto"/>
        </w:rPr>
        <w:t>Beneficially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Own</w:t>
      </w:r>
      <w:r>
        <w:rPr>
          <w:rFonts w:ascii="Times New Roman" w:cs="Times New Roman" w:eastAsia="Times New Roman" w:hAnsi="Times New Roman"/>
          <w:sz w:val="17"/>
          <w:szCs w:val="17"/>
          <w:color w:val="auto"/>
        </w:rPr>
        <w:t>”, any security:</w:t>
      </w:r>
    </w:p>
    <w:p>
      <w:pPr>
        <w:spacing w:after="0" w:line="144" w:lineRule="exact"/>
        <w:rPr>
          <w:sz w:val="20"/>
          <w:szCs w:val="20"/>
          <w:color w:val="auto"/>
        </w:rPr>
      </w:pPr>
    </w:p>
    <w:p>
      <w:pPr>
        <w:jc w:val="both"/>
        <w:ind w:left="1380" w:hanging="618"/>
        <w:spacing w:after="0" w:line="267"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security has been deposited or tendered pursuant to any Take-over Bid or where the holder of such security has agreed pursuant to a Permitted Lock-Up Agreement to deposit or tender such security pursuant to a Take-over Bid, in each case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381" w:lineRule="exact"/>
        <w:rPr>
          <w:rFonts w:ascii="Times New Roman" w:cs="Times New Roman" w:eastAsia="Times New Roman" w:hAnsi="Times New Roman"/>
          <w:sz w:val="17"/>
          <w:szCs w:val="17"/>
          <w:color w:val="auto"/>
        </w:rPr>
      </w:pPr>
    </w:p>
    <w:p>
      <w:pPr>
        <w:ind w:left="1380" w:hanging="618"/>
        <w:spacing w:after="0" w:line="294"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Person, any of such Person’s Affiliates or Associates or any other Person referred to in Subsection 1.1(f)(iv), holds such security provided that:</w:t>
      </w:r>
    </w:p>
    <w:p>
      <w:pPr>
        <w:spacing w:after="0" w:line="144" w:lineRule="exact"/>
        <w:rPr>
          <w:rFonts w:ascii="Times New Roman" w:cs="Times New Roman" w:eastAsia="Times New Roman" w:hAnsi="Times New Roman"/>
          <w:sz w:val="17"/>
          <w:szCs w:val="17"/>
          <w:color w:val="auto"/>
        </w:rPr>
      </w:pPr>
    </w:p>
    <w:p>
      <w:pPr>
        <w:jc w:val="both"/>
        <w:ind w:left="2020" w:hanging="632"/>
        <w:spacing w:after="0" w:line="264" w:lineRule="auto"/>
        <w:tabs>
          <w:tab w:leader="none" w:pos="20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ordinary business of any such Person (the “</w:t>
      </w:r>
      <w:r>
        <w:rPr>
          <w:rFonts w:ascii="Times New Roman" w:cs="Times New Roman" w:eastAsia="Times New Roman" w:hAnsi="Times New Roman"/>
          <w:sz w:val="17"/>
          <w:szCs w:val="17"/>
          <w:b w:val="1"/>
          <w:bCs w:val="1"/>
          <w:color w:val="auto"/>
        </w:rPr>
        <w:t>Investment Manager</w:t>
      </w:r>
      <w:r>
        <w:rPr>
          <w:rFonts w:ascii="Times New Roman" w:cs="Times New Roman" w:eastAsia="Times New Roman" w:hAnsi="Times New Roman"/>
          <w:sz w:val="17"/>
          <w:szCs w:val="17"/>
          <w:color w:val="auto"/>
        </w:rPr>
        <w:t>”) includes the management of mutual funds or investment funds for others (which others, for greater certainty, may include or be limited to one or more employee benefit plans or pension plans and/or includes the acquisition or holding of securities for a non-discretionary account of a Client by a dealer or broker registered under applicable securities laws to the extent required) and such security is held by the Investment Manager in the ordinary course of such business and in the performance of such Investment Manager’s duties for the account of any other Person or Persons (a “</w:t>
      </w:r>
      <w:r>
        <w:rPr>
          <w:rFonts w:ascii="Times New Roman" w:cs="Times New Roman" w:eastAsia="Times New Roman" w:hAnsi="Times New Roman"/>
          <w:sz w:val="17"/>
          <w:szCs w:val="17"/>
          <w:b w:val="1"/>
          <w:bCs w:val="1"/>
          <w:color w:val="auto"/>
        </w:rPr>
        <w:t>Client</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jc w:val="both"/>
        <w:ind w:left="2020" w:hanging="632"/>
        <w:spacing w:after="0" w:line="269" w:lineRule="auto"/>
        <w:tabs>
          <w:tab w:leader="none" w:pos="202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(the “</w:t>
      </w:r>
      <w:r>
        <w:rPr>
          <w:rFonts w:ascii="Times New Roman" w:cs="Times New Roman" w:eastAsia="Times New Roman" w:hAnsi="Times New Roman"/>
          <w:sz w:val="17"/>
          <w:szCs w:val="17"/>
          <w:b w:val="1"/>
          <w:bCs w:val="1"/>
          <w:color w:val="auto"/>
        </w:rPr>
        <w:t>Trust Company</w:t>
      </w:r>
      <w:r>
        <w:rPr>
          <w:rFonts w:ascii="Times New Roman" w:cs="Times New Roman" w:eastAsia="Times New Roman" w:hAnsi="Times New Roman"/>
          <w:sz w:val="17"/>
          <w:szCs w:val="17"/>
          <w:color w:val="auto"/>
        </w:rPr>
        <w:t>”) is licensed to carry on the business of a trust company under applicable laws and, as such, acts as trustee or administrator or in a similar capacity in relation to the estates of deceased or incompetent Persons (each an “</w:t>
      </w:r>
      <w:r>
        <w:rPr>
          <w:rFonts w:ascii="Times New Roman" w:cs="Times New Roman" w:eastAsia="Times New Roman" w:hAnsi="Times New Roman"/>
          <w:sz w:val="17"/>
          <w:szCs w:val="17"/>
          <w:b w:val="1"/>
          <w:bCs w:val="1"/>
          <w:color w:val="auto"/>
        </w:rPr>
        <w:t>Estate Account</w:t>
      </w:r>
      <w:r>
        <w:rPr>
          <w:rFonts w:ascii="Times New Roman" w:cs="Times New Roman" w:eastAsia="Times New Roman" w:hAnsi="Times New Roman"/>
          <w:sz w:val="17"/>
          <w:szCs w:val="17"/>
          <w:color w:val="auto"/>
        </w:rPr>
        <w:t>”) or in relation to other accounts (each an “</w:t>
      </w:r>
      <w:r>
        <w:rPr>
          <w:rFonts w:ascii="Times New Roman" w:cs="Times New Roman" w:eastAsia="Times New Roman" w:hAnsi="Times New Roman"/>
          <w:sz w:val="17"/>
          <w:szCs w:val="17"/>
          <w:b w:val="1"/>
          <w:bCs w:val="1"/>
          <w:color w:val="auto"/>
        </w:rPr>
        <w:t>Other Account</w:t>
      </w:r>
      <w:r>
        <w:rPr>
          <w:rFonts w:ascii="Times New Roman" w:cs="Times New Roman" w:eastAsia="Times New Roman" w:hAnsi="Times New Roman"/>
          <w:sz w:val="17"/>
          <w:szCs w:val="17"/>
          <w:color w:val="auto"/>
        </w:rPr>
        <w:t>”) and holds such security in the ordinary course of such duties for such Estate Accounts or for such Other Accounts;</w:t>
      </w:r>
    </w:p>
    <w:p>
      <w:pPr>
        <w:spacing w:after="0" w:line="3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20320</wp:posOffset>
            </wp:positionV>
            <wp:extent cx="713676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3" w:name="page14"/>
    <w:bookmarkEnd w:id="13"/>
    <w:p>
      <w:pPr>
        <w:jc w:val="both"/>
        <w:ind w:left="2510" w:hanging="632"/>
        <w:spacing w:after="0" w:line="268" w:lineRule="auto"/>
        <w:tabs>
          <w:tab w:leader="none" w:pos="25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a pension plan or fund registered under the laws of Canada or any province thereof or the laws of the United States of America (a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or is a Person established by statute for purposes that include, and the ordinary business or activity of such Person (the “</w:t>
      </w:r>
      <w:r>
        <w:rPr>
          <w:rFonts w:ascii="Times New Roman" w:cs="Times New Roman" w:eastAsia="Times New Roman" w:hAnsi="Times New Roman"/>
          <w:sz w:val="17"/>
          <w:szCs w:val="17"/>
          <w:b w:val="1"/>
          <w:bCs w:val="1"/>
          <w:color w:val="auto"/>
        </w:rPr>
        <w:t>Statutory Body</w:t>
      </w:r>
      <w:r>
        <w:rPr>
          <w:rFonts w:ascii="Times New Roman" w:cs="Times New Roman" w:eastAsia="Times New Roman" w:hAnsi="Times New Roman"/>
          <w:sz w:val="17"/>
          <w:szCs w:val="17"/>
          <w:color w:val="auto"/>
        </w:rPr>
        <w:t>”) includes, the management of investment funds for employee benefit plans, pension plans, insurance plans of various public bodies; or</w:t>
      </w:r>
    </w:p>
    <w:p>
      <w:pPr>
        <w:spacing w:after="0" w:line="167" w:lineRule="exact"/>
        <w:rPr>
          <w:rFonts w:ascii="Times New Roman" w:cs="Times New Roman" w:eastAsia="Times New Roman" w:hAnsi="Times New Roman"/>
          <w:sz w:val="17"/>
          <w:szCs w:val="17"/>
          <w:color w:val="auto"/>
        </w:rPr>
      </w:pPr>
    </w:p>
    <w:p>
      <w:pPr>
        <w:ind w:left="2510" w:hanging="632"/>
        <w:spacing w:after="0" w:line="297" w:lineRule="auto"/>
        <w:tabs>
          <w:tab w:leader="none" w:pos="25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is the administrator or trustee of one or more Plans and holds such security for the purposes of its activities as an Administrator;</w:t>
      </w:r>
    </w:p>
    <w:p>
      <w:pPr>
        <w:spacing w:after="0" w:line="144" w:lineRule="exact"/>
        <w:rPr>
          <w:sz w:val="20"/>
          <w:szCs w:val="20"/>
          <w:color w:val="auto"/>
        </w:rPr>
      </w:pPr>
    </w:p>
    <w:p>
      <w:pPr>
        <w:jc w:val="both"/>
        <w:ind w:left="1870"/>
        <w:spacing w:after="0" w:line="265" w:lineRule="auto"/>
        <w:rPr>
          <w:sz w:val="20"/>
          <w:szCs w:val="20"/>
          <w:color w:val="auto"/>
        </w:rPr>
      </w:pPr>
      <w:r>
        <w:rPr>
          <w:rFonts w:ascii="Times New Roman" w:cs="Times New Roman" w:eastAsia="Times New Roman" w:hAnsi="Times New Roman"/>
          <w:sz w:val="17"/>
          <w:szCs w:val="17"/>
          <w:color w:val="auto"/>
        </w:rPr>
        <w:t>provided, in any of the above cases, that the Investment Manager, the Trust Company, the Statutory Body, the Administrator or the Plan, as the case may be,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over-the-counter market), alone or by acting jointly or in concert with any other Person;</w:t>
      </w:r>
    </w:p>
    <w:p>
      <w:pPr>
        <w:spacing w:after="0" w:line="172" w:lineRule="exact"/>
        <w:rPr>
          <w:sz w:val="20"/>
          <w:szCs w:val="20"/>
          <w:color w:val="auto"/>
        </w:rPr>
      </w:pPr>
    </w:p>
    <w:p>
      <w:pPr>
        <w:jc w:val="both"/>
        <w:ind w:left="1870" w:hanging="618"/>
        <w:spacing w:after="0" w:line="261" w:lineRule="auto"/>
        <w:tabs>
          <w:tab w:leader="none" w:pos="187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or any of such Person’s Affiliates or Associates is (1) a Client of the same Investment Manager as another Person on whose account the Investment Manager holds such security, (2) an Estate Account or an Other Account of the same Trust Company as another Person on whose account the Trust Company holds such security, or (3) a Plan with the same Administrator as another Plan on whose account the Administrator holds such security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76" w:lineRule="exact"/>
        <w:rPr>
          <w:rFonts w:ascii="Times New Roman" w:cs="Times New Roman" w:eastAsia="Times New Roman" w:hAnsi="Times New Roman"/>
          <w:sz w:val="17"/>
          <w:szCs w:val="17"/>
          <w:color w:val="auto"/>
        </w:rPr>
      </w:pPr>
    </w:p>
    <w:p>
      <w:pPr>
        <w:jc w:val="both"/>
        <w:ind w:left="1870" w:hanging="618"/>
        <w:spacing w:after="0" w:line="262" w:lineRule="auto"/>
        <w:tabs>
          <w:tab w:leader="none" w:pos="187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is (1) a Client of an Investment Manager and such security is owned at law or in equity by the Investment Manager, (2) an Estate Account or an Other Account of a Trust Company and such security is owned at law or in equity by the Trust Company or (3) a Plan and such security is owned at law or in equity by the Administrator of the Plan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 or</w:t>
      </w:r>
    </w:p>
    <w:p>
      <w:pPr>
        <w:spacing w:after="0" w:line="175" w:lineRule="exact"/>
        <w:rPr>
          <w:rFonts w:ascii="Times New Roman" w:cs="Times New Roman" w:eastAsia="Times New Roman" w:hAnsi="Times New Roman"/>
          <w:sz w:val="17"/>
          <w:szCs w:val="17"/>
          <w:color w:val="auto"/>
        </w:rPr>
      </w:pPr>
    </w:p>
    <w:p>
      <w:pPr>
        <w:jc w:val="both"/>
        <w:ind w:left="1870" w:hanging="618"/>
        <w:spacing w:after="0" w:line="265" w:lineRule="auto"/>
        <w:tabs>
          <w:tab w:leader="none" w:pos="187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person is the registered holder of securities as a result of carrying on the business of or acting as a nominee of a securities depository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7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shall mean the board of directors of the Corporation or any duly constituted and empowered committee thereof;</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shall mean any day other than a Saturday, Sunday or a day on which banking institutions in Toronto, Ontario are authorized or obligated by law to close;</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Canadian Dollar Equivalent</w:t>
      </w:r>
      <w:r>
        <w:rPr>
          <w:rFonts w:ascii="Times New Roman" w:cs="Times New Roman" w:eastAsia="Times New Roman" w:hAnsi="Times New Roman"/>
          <w:sz w:val="17"/>
          <w:szCs w:val="17"/>
          <w:color w:val="auto"/>
        </w:rPr>
        <w:t>” of any amount which is expressed in United States dollars shall mean on any day the Canadian dollar equivalent of such amount determined by reference to the U.S.-Canadian Exchange Rate in effect on such date;</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66" w:lineRule="auto"/>
        <w:tabs>
          <w:tab w:leader="none" w:pos="6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close of business</w:t>
      </w:r>
      <w:r>
        <w:rPr>
          <w:rFonts w:ascii="Times New Roman" w:cs="Times New Roman" w:eastAsia="Times New Roman" w:hAnsi="Times New Roman"/>
          <w:sz w:val="17"/>
          <w:szCs w:val="17"/>
          <w:color w:val="auto"/>
        </w:rPr>
        <w:t>” on any given date shall mean the time on such date (or, if such date is not a Business Day, the time on the next succeeding Business Day) at which the principal office of the transfer agent for the Common Shares (or, after the Separation Time, the principal transfer office of the Rights Agent)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spacing w:after="0" w:line="168"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shall mean the common shares in the capital of the Corporation as presently constituted, as such shares may be subdivided, consolidated, reclassified or otherwise changed from time to time;</w:t>
      </w:r>
    </w:p>
    <w:p>
      <w:pPr>
        <w:spacing w:after="0" w:line="353"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14" w:name="page15"/>
    <w:bookmarkEnd w:id="14"/>
    <w:p>
      <w:pPr>
        <w:ind w:left="630" w:hanging="630"/>
        <w:spacing w:after="0"/>
        <w:tabs>
          <w:tab w:leader="none" w:pos="63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Permitted Bid</w:t>
      </w:r>
      <w:r>
        <w:rPr>
          <w:rFonts w:ascii="Times New Roman" w:cs="Times New Roman" w:eastAsia="Times New Roman" w:hAnsi="Times New Roman"/>
          <w:sz w:val="17"/>
          <w:szCs w:val="17"/>
          <w:color w:val="auto"/>
        </w:rPr>
        <w:t>” shall mean a Take-over Bid which also complies with the following additional provisions:</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after a Permitted Bid or another Competing Permitted Bid has been made and prior to the expiry, termination or withdrawal of such Permitted Bid or Competing Permitted Bid;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complies with all of the provisions of a Permitted Bid other than the condition set forth in Subsection (iii) of the definition of a Permitted Bid;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47" w:lineRule="exact"/>
        <w:rPr>
          <w:sz w:val="20"/>
          <w:szCs w:val="20"/>
          <w:color w:val="auto"/>
        </w:rPr>
      </w:pPr>
    </w:p>
    <w:p>
      <w:pPr>
        <w:jc w:val="both"/>
        <w:ind w:left="630"/>
        <w:spacing w:after="0" w:line="268" w:lineRule="auto"/>
        <w:rPr>
          <w:sz w:val="20"/>
          <w:szCs w:val="20"/>
          <w:color w:val="auto"/>
        </w:rPr>
      </w:pPr>
      <w:r>
        <w:rPr>
          <w:rFonts w:ascii="Times New Roman" w:cs="Times New Roman" w:eastAsia="Times New Roman" w:hAnsi="Times New Roman"/>
          <w:sz w:val="17"/>
          <w:szCs w:val="17"/>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168" w:lineRule="exact"/>
        <w:rPr>
          <w:sz w:val="20"/>
          <w:szCs w:val="20"/>
          <w:color w:val="auto"/>
        </w:rPr>
      </w:pPr>
    </w:p>
    <w:p>
      <w:pPr>
        <w:ind w:left="630" w:hanging="630"/>
        <w:spacing w:after="0"/>
        <w:tabs>
          <w:tab w:leader="none" w:pos="63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specified Person is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by another Person or two or more Persons acting jointly or in concert if:</w:t>
      </w:r>
    </w:p>
    <w:p>
      <w:pPr>
        <w:spacing w:after="0" w:line="223"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entitled to vote in the election of directors carrying more than 50 percent of the votes for the election of directors are held, directly or indirectly, by or on behalf of the other Person or two or more Persons acting jointly or in concert and the votes carried by such securities are entitled, if exercised, to elect a majority of the board of directors of such body corporate; or</w:t>
      </w:r>
    </w:p>
    <w:p>
      <w:pPr>
        <w:spacing w:after="0" w:line="162"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specified Person that is a limited partnership, the other Person is the general partner of the limited partnership;</w:t>
      </w:r>
    </w:p>
    <w:p>
      <w:pPr>
        <w:spacing w:after="0" w:line="220"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b w:val="1"/>
          <w:bCs w:val="1"/>
          <w:color w:val="auto"/>
        </w:rPr>
        <w:t>controls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shall be interpreted accordingly;</w:t>
      </w:r>
    </w:p>
    <w:p>
      <w:pPr>
        <w:spacing w:after="0" w:line="222" w:lineRule="exact"/>
        <w:rPr>
          <w:sz w:val="20"/>
          <w:szCs w:val="20"/>
          <w:color w:val="auto"/>
        </w:rPr>
      </w:pPr>
    </w:p>
    <w:p>
      <w:pPr>
        <w:jc w:val="both"/>
        <w:ind w:left="630" w:hanging="630"/>
        <w:spacing w:after="0" w:line="276" w:lineRule="auto"/>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Security</w:t>
      </w:r>
      <w:r>
        <w:rPr>
          <w:rFonts w:ascii="Times New Roman" w:cs="Times New Roman" w:eastAsia="Times New Roman" w:hAnsi="Times New Roman"/>
          <w:sz w:val="17"/>
          <w:szCs w:val="17"/>
          <w:color w:val="auto"/>
        </w:rPr>
        <w:t>” shall mean a security convertible, exercisable or exchangeable into a Voting Share and a “</w:t>
      </w:r>
      <w:r>
        <w:rPr>
          <w:rFonts w:ascii="Times New Roman" w:cs="Times New Roman" w:eastAsia="Times New Roman" w:hAnsi="Times New Roman"/>
          <w:sz w:val="17"/>
          <w:szCs w:val="17"/>
          <w:b w:val="1"/>
          <w:bCs w:val="1"/>
          <w:color w:val="auto"/>
        </w:rPr>
        <w:t>Convertible Security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shall mean an acquisition by a Person of Voting Shares upon the exercise, conversion or exchange of a Convertible 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by a Person pursuant to a Permitted Bid Acquisition, an Exempt Acquisition or a Pro Rata Acquisition;</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Co-Rights Agents</w:t>
      </w:r>
      <w:r>
        <w:rPr>
          <w:rFonts w:ascii="Times New Roman" w:cs="Times New Roman" w:eastAsia="Times New Roman" w:hAnsi="Times New Roman"/>
          <w:sz w:val="17"/>
          <w:szCs w:val="17"/>
          <w:color w:val="auto"/>
        </w:rPr>
        <w:t>” shall have the meaning ascribed thereto in Subsection 4.1(a);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 Date</w:t>
      </w:r>
      <w:r>
        <w:rPr>
          <w:rFonts w:ascii="Times New Roman" w:cs="Times New Roman" w:eastAsia="Times New Roman" w:hAnsi="Times New Roman"/>
          <w:sz w:val="17"/>
          <w:szCs w:val="17"/>
          <w:color w:val="auto"/>
        </w:rPr>
        <w:t>” shall have the meaning ascribed thereto in Subsection 5.1(d);</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Reinvestment Acquisition</w:t>
      </w:r>
      <w:r>
        <w:rPr>
          <w:rFonts w:ascii="Times New Roman" w:cs="Times New Roman" w:eastAsia="Times New Roman" w:hAnsi="Times New Roman"/>
          <w:sz w:val="17"/>
          <w:szCs w:val="17"/>
          <w:color w:val="auto"/>
        </w:rPr>
        <w:t>” shall mean an acquisition of Voting Shares of any class pursuant to a Dividend Reinvestment Plan;</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Reinvestment Plan</w:t>
      </w:r>
      <w:r>
        <w:rPr>
          <w:rFonts w:ascii="Times New Roman" w:cs="Times New Roman" w:eastAsia="Times New Roman" w:hAnsi="Times New Roman"/>
          <w:sz w:val="17"/>
          <w:szCs w:val="17"/>
          <w:color w:val="auto"/>
        </w:rPr>
        <w:t>” shall mean a regular dividend reinvestment or other plan of the Corporation made available by the Corporation to holders of its securities where such plan permits the holder to direct that some or all of:</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paid in respect of shares of any class of the Corporation;</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of redemption of shares of the Corporation;</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on evidences of indebtedness of the Corporation; 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optional cash payments;</w:t>
      </w:r>
    </w:p>
    <w:p>
      <w:pPr>
        <w:spacing w:after="0" w:line="222"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7"/>
          <w:szCs w:val="17"/>
          <w:color w:val="auto"/>
        </w:rPr>
        <w:t>be applied to the purchase from the Corporation of Voting Shares;</w:t>
      </w:r>
    </w:p>
    <w:p>
      <w:pPr>
        <w:spacing w:after="0" w:line="220" w:lineRule="exact"/>
        <w:rPr>
          <w:sz w:val="20"/>
          <w:szCs w:val="20"/>
          <w:color w:val="auto"/>
        </w:rPr>
      </w:pPr>
    </w:p>
    <w:p>
      <w:pPr>
        <w:ind w:left="630" w:hanging="630"/>
        <w:spacing w:after="0"/>
        <w:tabs>
          <w:tab w:leader="none" w:pos="6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June 10, 2024;</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Election to Exercise</w:t>
      </w:r>
      <w:r>
        <w:rPr>
          <w:rFonts w:ascii="Times New Roman" w:cs="Times New Roman" w:eastAsia="Times New Roman" w:hAnsi="Times New Roman"/>
          <w:sz w:val="17"/>
          <w:szCs w:val="17"/>
          <w:color w:val="auto"/>
        </w:rPr>
        <w:t>” shall have the meaning ascribed thereto in Subsection 2.2(d)(ii);</w:t>
      </w:r>
    </w:p>
    <w:p>
      <w:pPr>
        <w:spacing w:after="0" w:line="200" w:lineRule="exact"/>
        <w:rPr>
          <w:sz w:val="20"/>
          <w:szCs w:val="20"/>
          <w:color w:val="auto"/>
        </w:rPr>
      </w:pPr>
    </w:p>
    <w:p>
      <w:pPr>
        <w:spacing w:after="0" w:line="232"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15" w:name="page16"/>
    <w:bookmarkEnd w:id="15"/>
    <w:p>
      <w:pPr>
        <w:ind w:left="630" w:hanging="630"/>
        <w:spacing w:after="0"/>
        <w:tabs>
          <w:tab w:leader="none" w:pos="63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Exempt Acquisition</w:t>
      </w:r>
      <w:r>
        <w:rPr>
          <w:rFonts w:ascii="Times New Roman" w:cs="Times New Roman" w:eastAsia="Times New Roman" w:hAnsi="Times New Roman"/>
          <w:sz w:val="17"/>
          <w:szCs w:val="17"/>
          <w:color w:val="auto"/>
        </w:rPr>
        <w:t>” shall mean an acquisition by a Person of Voting Shares and/or Convertible Securities:</w:t>
      </w:r>
    </w:p>
    <w:p>
      <w:pPr>
        <w:spacing w:after="0" w:line="224" w:lineRule="exact"/>
        <w:rPr>
          <w:sz w:val="20"/>
          <w:szCs w:val="20"/>
          <w:color w:val="auto"/>
        </w:rPr>
      </w:pPr>
    </w:p>
    <w:p>
      <w:pPr>
        <w:ind w:left="1250" w:hanging="624"/>
        <w:spacing w:after="0"/>
        <w:tabs>
          <w:tab w:leader="none" w:pos="125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which the Board of Directors has waived the application of Section 3.1 pursuant to the provisions of Subsections 5.1(b),</w:t>
      </w:r>
    </w:p>
    <w:p>
      <w:pPr>
        <w:spacing w:after="0" w:line="31" w:lineRule="exact"/>
        <w:rPr>
          <w:rFonts w:ascii="Times New Roman" w:cs="Times New Roman" w:eastAsia="Times New Roman" w:hAnsi="Times New Roman"/>
          <w:sz w:val="17"/>
          <w:szCs w:val="17"/>
          <w:color w:val="auto"/>
        </w:rPr>
      </w:pPr>
    </w:p>
    <w:p>
      <w:pPr>
        <w:ind w:left="12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or (d);</w:t>
      </w:r>
    </w:p>
    <w:p>
      <w:pPr>
        <w:spacing w:after="0" w:line="204" w:lineRule="exact"/>
        <w:rPr>
          <w:sz w:val="20"/>
          <w:szCs w:val="20"/>
          <w:color w:val="auto"/>
        </w:rPr>
      </w:pPr>
    </w:p>
    <w:p>
      <w:pPr>
        <w:jc w:val="both"/>
        <w:ind w:left="1250" w:hanging="624"/>
        <w:spacing w:after="0" w:line="260" w:lineRule="auto"/>
        <w:tabs>
          <w:tab w:leader="none" w:pos="12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distribution of Voting Shares and/or Convertible Securities made by the Corporation (A) to the public pursuant to a prospectus or similar document, provided that such Person does not thereby become the Beneficial Owner of a greater percentage of Voting Shares so offered than the percentage of Voting Shares Beneficially Owned by such Person immediately prior to such distribution, or (B) pursuant to a distribution, provided that (x) all necessary stock exchange approvals for such private placement have been obtained and such distribution complies with the terms and conditions of such approvals, and (y) such Person does not thereby become the Beneficial Owner of Voting Shares equal in number to more than 25% of the Voting Shares outstanding immediately prior to the distribution and, in making this determination, the securities to be issued to such Person on the distribution shall be deemed to be held by such Person but shall not be included in the aggregate number of Voting Shares outstanding immediately prior to the distribution; or</w:t>
      </w:r>
    </w:p>
    <w:p>
      <w:pPr>
        <w:spacing w:after="0" w:line="180"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amalgamation, merger, arrangement or other statutory procedure requiring shareholder approval;</w:t>
      </w:r>
    </w:p>
    <w:p>
      <w:pPr>
        <w:spacing w:after="0" w:line="219"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shall mean, as of any date, the price at which a holder may purchase the securities issuable upon exercise of one whole Right which, until adjustment thereof in accordance with the terms hereof, shall be:</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 an amount equal to three times the Market Price, from time to time, per Common Share; and</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 amount equal to three times the Market Price, as at the Separation Time, per Common Share;</w:t>
      </w:r>
    </w:p>
    <w:p>
      <w:pPr>
        <w:spacing w:after="0" w:line="219"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Expansion Factor</w:t>
      </w:r>
      <w:r>
        <w:rPr>
          <w:rFonts w:ascii="Times New Roman" w:cs="Times New Roman" w:eastAsia="Times New Roman" w:hAnsi="Times New Roman"/>
          <w:sz w:val="17"/>
          <w:szCs w:val="17"/>
          <w:color w:val="auto"/>
        </w:rPr>
        <w:t>” shall have the meaning ascribed thereto in Subsection 2.3(a)(x);</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Time</w:t>
      </w:r>
      <w:r>
        <w:rPr>
          <w:rFonts w:ascii="Times New Roman" w:cs="Times New Roman" w:eastAsia="Times New Roman" w:hAnsi="Times New Roman"/>
          <w:sz w:val="17"/>
          <w:szCs w:val="17"/>
          <w:color w:val="auto"/>
        </w:rPr>
        <w:t>” means the earlier of: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Time; and</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termination of this Agreement pursuant to Sections 5.17 or 5.18;</w:t>
      </w:r>
    </w:p>
    <w:p>
      <w:pPr>
        <w:spacing w:after="0" w:line="219"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Fiduciary</w:t>
      </w:r>
      <w:r>
        <w:rPr>
          <w:rFonts w:ascii="Times New Roman" w:cs="Times New Roman" w:eastAsia="Times New Roman" w:hAnsi="Times New Roman"/>
          <w:sz w:val="17"/>
          <w:szCs w:val="17"/>
          <w:color w:val="auto"/>
        </w:rPr>
        <w:t>” shall mean, when acting in that capacity, a trust company registered under the trust company legislation of Canada or any province thereof, a trust company organized under the laws of any state of the United States of America, a portfolio manager registered under the securities legislation of one or more provinces of Canada or an investment adviser registered under the United States Investment Advisers Act of 1940 or any other securities legislation of the United States of America or any state of the United States of America;</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Flip-in Event</w:t>
      </w:r>
      <w:r>
        <w:rPr>
          <w:rFonts w:ascii="Times New Roman" w:cs="Times New Roman" w:eastAsia="Times New Roman" w:hAnsi="Times New Roman"/>
          <w:sz w:val="17"/>
          <w:szCs w:val="17"/>
          <w:color w:val="auto"/>
        </w:rPr>
        <w:t>” shall mean a transaction in or pursuant to which any Person becomes an Acquiring Person;</w:t>
      </w:r>
    </w:p>
    <w:p>
      <w:pPr>
        <w:spacing w:after="0" w:line="222" w:lineRule="exact"/>
        <w:rPr>
          <w:sz w:val="20"/>
          <w:szCs w:val="20"/>
          <w:color w:val="auto"/>
        </w:rPr>
      </w:pPr>
    </w:p>
    <w:p>
      <w:pPr>
        <w:ind w:left="630" w:hanging="630"/>
        <w:spacing w:after="0"/>
        <w:tabs>
          <w:tab w:leader="none" w:pos="63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shall have the meaning ascribed thereto in Section 2.8;</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Shareholders</w:t>
      </w:r>
      <w:r>
        <w:rPr>
          <w:rFonts w:ascii="Times New Roman" w:cs="Times New Roman" w:eastAsia="Times New Roman" w:hAnsi="Times New Roman"/>
          <w:sz w:val="17"/>
          <w:szCs w:val="17"/>
          <w:color w:val="auto"/>
        </w:rPr>
        <w:t>” shall mean holders of Voting Shares, other than:</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Acquiring Person;</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Offeror, other than a Person who, by virtue of Subsection 1.1(f)(iv)(B), is not deemed to Beneficially Own such Voting Shares at the relevant time;</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Affiliate or Associate of such Acquiring Person or Offeror;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acting jointly or in concert with such Acquiring Person or Offeror; and</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benefit plan, deferred profit sharing plan, stock participation plan and any other similar plan or trust for the benefit of employees of the Corporation or a Subsidiary of the Corporation, unless the beneficiaries of the plan or trust direct the manner in which the Voting Shares are to be voted or direct whether the Voting Shares are to be tendered to a Take-over Bid;</w:t>
      </w:r>
    </w:p>
    <w:p>
      <w:pPr>
        <w:spacing w:after="0" w:line="371"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16" w:name="page17"/>
    <w:bookmarkEnd w:id="16"/>
    <w:p>
      <w:pPr>
        <w:jc w:val="both"/>
        <w:ind w:left="630" w:hanging="630"/>
        <w:spacing w:after="0" w:line="261" w:lineRule="auto"/>
        <w:tabs>
          <w:tab w:leader="none" w:pos="63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Price</w:t>
      </w:r>
      <w:r>
        <w:rPr>
          <w:rFonts w:ascii="Times New Roman" w:cs="Times New Roman" w:eastAsia="Times New Roman" w:hAnsi="Times New Roman"/>
          <w:sz w:val="17"/>
          <w:szCs w:val="17"/>
          <w:color w:val="auto"/>
        </w:rPr>
        <w:t>” 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178" w:lineRule="exact"/>
        <w:rPr>
          <w:rFonts w:ascii="Times New Roman" w:cs="Times New Roman" w:eastAsia="Times New Roman" w:hAnsi="Times New Roman"/>
          <w:sz w:val="17"/>
          <w:szCs w:val="17"/>
          <w:color w:val="auto"/>
        </w:rPr>
      </w:pPr>
    </w:p>
    <w:p>
      <w:pPr>
        <w:jc w:val="both"/>
        <w:ind w:left="1250" w:hanging="624"/>
        <w:spacing w:after="0" w:line="272"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board lot sale price or, in case no such sale takes place on such date, the average of the closing bid and asked prices for each of such securities as reported by the securities exchange or national securities quotation system on which such securities are listed or admitted for trading on which the largest number of such securities were traded during the most recently completed calendar year;</w:t>
      </w:r>
    </w:p>
    <w:p>
      <w:pPr>
        <w:spacing w:after="0" w:line="378"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any reason none of such prices is available on such day or the securities are not listed or admitted to trading on a securities exchange or on a national securities quotation system, the last sale price or, in case no such sale takes place on such date, the average of the high bid and low asked prices for each of such securities in the over-the-counter market, as quoted by any reporting system then in use (as selected by the Board of Directors); or</w:t>
      </w:r>
    </w:p>
    <w:p>
      <w:pPr>
        <w:spacing w:after="0" w:line="169"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any reason none of such prices is available on such day or the securities are not listed or admitted to trading on a securities exchange or quoted by any such reporting system, the average of the closing bid and asked prices as furnished by a professional market maker making a market in the securities selected in good faith by the Board of Directors;</w:t>
      </w:r>
    </w:p>
    <w:p>
      <w:pPr>
        <w:spacing w:after="0" w:line="163" w:lineRule="exact"/>
        <w:rPr>
          <w:sz w:val="20"/>
          <w:szCs w:val="20"/>
          <w:color w:val="auto"/>
        </w:rPr>
      </w:pPr>
    </w:p>
    <w:p>
      <w:pPr>
        <w:jc w:val="both"/>
        <w:ind w:left="630"/>
        <w:spacing w:after="0" w:line="265" w:lineRule="auto"/>
        <w:rPr>
          <w:sz w:val="20"/>
          <w:szCs w:val="20"/>
          <w:color w:val="auto"/>
        </w:rPr>
      </w:pPr>
      <w:r>
        <w:rPr>
          <w:rFonts w:ascii="Times New Roman" w:cs="Times New Roman" w:eastAsia="Times New Roman" w:hAnsi="Times New Roman"/>
          <w:sz w:val="17"/>
          <w:szCs w:val="17"/>
          <w:color w:val="auto"/>
        </w:rPr>
        <w:t>provided, however, that if for any reason none of such prices is available on such day, the closing price per share of such securities on such date means the fair value per share of such securities on such date as determined by a nationally or internationally recognized investment dealer or investment banker with respect to the fair value per share of such securities.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170" w:lineRule="exact"/>
        <w:rPr>
          <w:sz w:val="20"/>
          <w:szCs w:val="20"/>
          <w:color w:val="auto"/>
        </w:rPr>
      </w:pPr>
    </w:p>
    <w:p>
      <w:pPr>
        <w:ind w:left="630" w:hanging="630"/>
        <w:spacing w:after="0"/>
        <w:tabs>
          <w:tab w:leader="none" w:pos="63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NI 62-104</w:t>
      </w:r>
      <w:r>
        <w:rPr>
          <w:rFonts w:ascii="Times New Roman" w:cs="Times New Roman" w:eastAsia="Times New Roman" w:hAnsi="Times New Roman"/>
          <w:sz w:val="17"/>
          <w:szCs w:val="17"/>
          <w:color w:val="auto"/>
        </w:rPr>
        <w:t xml:space="preserve">” means National Instrument 62-104 – </w:t>
      </w:r>
      <w:r>
        <w:rPr>
          <w:rFonts w:ascii="Times New Roman" w:cs="Times New Roman" w:eastAsia="Times New Roman" w:hAnsi="Times New Roman"/>
          <w:sz w:val="17"/>
          <w:szCs w:val="17"/>
          <w:i w:val="1"/>
          <w:iCs w:val="1"/>
          <w:color w:val="auto"/>
        </w:rPr>
        <w:t>Take-Over Bids and Issuer Bids</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shall have the meaning ascribed thereto in Subsection 2.2(c);</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 xml:space="preserve">” shall mean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 to Acquire</w:t>
      </w:r>
      <w:r>
        <w:rPr>
          <w:rFonts w:ascii="Times New Roman" w:cs="Times New Roman" w:eastAsia="Times New Roman" w:hAnsi="Times New Roman"/>
          <w:sz w:val="17"/>
          <w:szCs w:val="17"/>
          <w:color w:val="auto"/>
        </w:rPr>
        <w:t>” shall include:</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 to purchase or a solicitation of an offer to sell Voting Shares or a public announcement of an intention to make such an offer or solicitation;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acceptance of an offer to sell Voting Shares, whether or not such offer to sell has been solicited;</w:t>
      </w:r>
    </w:p>
    <w:p>
      <w:pPr>
        <w:spacing w:after="0" w:line="222"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or any combination thereof, and the Person accepting an offer to sell shall be deemed to be making an Offer to Acquire to the Person that made the offer to sell;</w:t>
      </w:r>
    </w:p>
    <w:p>
      <w:pPr>
        <w:spacing w:after="0" w:line="145" w:lineRule="exact"/>
        <w:rPr>
          <w:sz w:val="20"/>
          <w:szCs w:val="20"/>
          <w:color w:val="auto"/>
        </w:rPr>
      </w:pPr>
    </w:p>
    <w:p>
      <w:pPr>
        <w:ind w:left="630" w:hanging="630"/>
        <w:spacing w:after="0" w:line="297" w:lineRule="auto"/>
        <w:tabs>
          <w:tab w:leader="none" w:pos="63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Offeror</w:t>
      </w:r>
      <w:r>
        <w:rPr>
          <w:rFonts w:ascii="Times New Roman" w:cs="Times New Roman" w:eastAsia="Times New Roman" w:hAnsi="Times New Roman"/>
          <w:sz w:val="17"/>
          <w:szCs w:val="17"/>
          <w:color w:val="auto"/>
        </w:rPr>
        <w:t>” shall mean a Person who has made a public announcement of a current intention to make or who is making a Take-over Bid but only so long as the Take-over Bid so announced or made has not been withdrawn or terminated or has not expired;</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Bid</w:t>
      </w:r>
      <w:r>
        <w:rPr>
          <w:rFonts w:ascii="Times New Roman" w:cs="Times New Roman" w:eastAsia="Times New Roman" w:hAnsi="Times New Roman"/>
          <w:sz w:val="17"/>
          <w:szCs w:val="17"/>
          <w:color w:val="auto"/>
        </w:rPr>
        <w:t>” shall mean a Take-over Bid, made by an Offeror by way of take-over bid circular, which also complies with the following additional provisions:</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to all holders of Voting Shares on the books of the Corporation, other than the Offeror;</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unless more than 50% of the Voting Shares held by Independent Shareholders (x) shall have been deposited or tendered pursuant to the Take-over Bid and not withdrawn and (y) have previously been or are taken up at the same time;</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prior to the close of business on the date that is no earlier than the earlier of (A) 105 days following the date of the Take-over Bid and (B) the last day of the initial deposit period that the Offeror must allow securities to be deposited under the Take-over Bid pursuant to NI 62-104;</w:t>
      </w:r>
    </w:p>
    <w:p>
      <w:pPr>
        <w:spacing w:after="0" w:line="371"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17" w:name="page18"/>
    <w:bookmarkEnd w:id="17"/>
    <w:p>
      <w:pPr>
        <w:jc w:val="both"/>
        <w:ind w:left="1250" w:hanging="624"/>
        <w:spacing w:after="0" w:line="275" w:lineRule="auto"/>
        <w:tabs>
          <w:tab w:leader="none" w:pos="125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70" w:lineRule="exact"/>
        <w:rPr>
          <w:sz w:val="20"/>
          <w:szCs w:val="20"/>
          <w:color w:val="auto"/>
        </w:rPr>
      </w:pPr>
    </w:p>
    <w:p>
      <w:pPr>
        <w:jc w:val="both"/>
        <w:ind w:left="630"/>
        <w:spacing w:after="0" w:line="268" w:lineRule="auto"/>
        <w:rPr>
          <w:sz w:val="20"/>
          <w:szCs w:val="20"/>
          <w:color w:val="auto"/>
        </w:rPr>
      </w:pPr>
      <w:r>
        <w:rPr>
          <w:rFonts w:ascii="Times New Roman" w:cs="Times New Roman" w:eastAsia="Times New Roman" w:hAnsi="Times New Roman"/>
          <w:sz w:val="17"/>
          <w:szCs w:val="17"/>
          <w:color w:val="auto"/>
        </w:rPr>
        <w:t>For purposes of this Agreement, (A)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and (B) the term “Permitted Bid” shall include a Competing Permitted Bid;</w:t>
      </w:r>
    </w:p>
    <w:p>
      <w:pPr>
        <w:spacing w:after="0" w:line="168" w:lineRule="exact"/>
        <w:rPr>
          <w:sz w:val="20"/>
          <w:szCs w:val="20"/>
          <w:color w:val="auto"/>
        </w:rPr>
      </w:pPr>
    </w:p>
    <w:p>
      <w:pPr>
        <w:ind w:left="630" w:hanging="630"/>
        <w:spacing w:after="0" w:line="297" w:lineRule="auto"/>
        <w:tabs>
          <w:tab w:leader="none" w:pos="63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Bid Acquisition</w:t>
      </w:r>
      <w:r>
        <w:rPr>
          <w:rFonts w:ascii="Times New Roman" w:cs="Times New Roman" w:eastAsia="Times New Roman" w:hAnsi="Times New Roman"/>
          <w:sz w:val="17"/>
          <w:szCs w:val="17"/>
          <w:color w:val="auto"/>
        </w:rPr>
        <w:t>” shall mean an acquisition of Voting Shares made pursuant to a Permitted Bid or a Competing Permitted Bid or pursuant to Subsections 2.2(3) and (4) of NI 62-104;</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Lock-Up Agreement</w:t>
      </w:r>
      <w:r>
        <w:rPr>
          <w:rFonts w:ascii="Times New Roman" w:cs="Times New Roman" w:eastAsia="Times New Roman" w:hAnsi="Times New Roman"/>
          <w:sz w:val="17"/>
          <w:szCs w:val="17"/>
          <w:color w:val="auto"/>
        </w:rPr>
        <w:t>” shall mean an agreement between a Person and one or more holders of Voting Shares pursuant to which such holders (each a “</w:t>
      </w:r>
      <w:r>
        <w:rPr>
          <w:rFonts w:ascii="Times New Roman" w:cs="Times New Roman" w:eastAsia="Times New Roman" w:hAnsi="Times New Roman"/>
          <w:sz w:val="17"/>
          <w:szCs w:val="17"/>
          <w:b w:val="1"/>
          <w:bCs w:val="1"/>
          <w:color w:val="auto"/>
        </w:rPr>
        <w:t>Locked-Up Person</w:t>
      </w:r>
      <w:r>
        <w:rPr>
          <w:rFonts w:ascii="Times New Roman" w:cs="Times New Roman" w:eastAsia="Times New Roman" w:hAnsi="Times New Roman"/>
          <w:sz w:val="17"/>
          <w:szCs w:val="17"/>
          <w:color w:val="auto"/>
        </w:rPr>
        <w:t>”) agree to deposit or tender Voting Shares to a Take-over Bid (the “</w:t>
      </w:r>
      <w:r>
        <w:rPr>
          <w:rFonts w:ascii="Times New Roman" w:cs="Times New Roman" w:eastAsia="Times New Roman" w:hAnsi="Times New Roman"/>
          <w:sz w:val="17"/>
          <w:szCs w:val="17"/>
          <w:b w:val="1"/>
          <w:bCs w:val="1"/>
          <w:color w:val="auto"/>
        </w:rPr>
        <w:t>Lock-Up Bid</w:t>
      </w:r>
      <w:r>
        <w:rPr>
          <w:rFonts w:ascii="Times New Roman" w:cs="Times New Roman" w:eastAsia="Times New Roman" w:hAnsi="Times New Roman"/>
          <w:sz w:val="17"/>
          <w:szCs w:val="17"/>
          <w:color w:val="auto"/>
        </w:rPr>
        <w:t>”) made or to be made by such Person or any of such Person’s Affiliates or Associates or any other Person with which such Person is acting jointly or in concert, provided that:</w:t>
      </w:r>
    </w:p>
    <w:p>
      <w:pPr>
        <w:spacing w:after="0" w:line="168"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such agreement are publicly disclosed and a copy of such agreement is made available to the public (including the Corporation) not later than the date of the Lock-Up Bid or, if the Lock-Up Bid has been made prior to the date on which such agreement is entered into, not later than the first business day following the date of such agreement;</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permits a Locked-Up Person to terminate its obligation to deposit or tender Voting Shares to or not to withdraw such Voting Shares from the Lock-Up Bid, in order to tender or deposit the Voting Shares to another Take-over Bid or to support another transaction:</w:t>
      </w:r>
    </w:p>
    <w:p>
      <w:pPr>
        <w:spacing w:after="0" w:line="162"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price or value of the consideration per Voting Share offered under such other Take-over Bid or transaction:</w:t>
      </w:r>
    </w:p>
    <w:p>
      <w:pPr>
        <w:spacing w:after="0" w:line="221" w:lineRule="exact"/>
        <w:rPr>
          <w:rFonts w:ascii="Times New Roman" w:cs="Times New Roman" w:eastAsia="Times New Roman" w:hAnsi="Times New Roman"/>
          <w:sz w:val="17"/>
          <w:szCs w:val="17"/>
          <w:color w:val="auto"/>
        </w:rPr>
      </w:pPr>
    </w:p>
    <w:p>
      <w:pPr>
        <w:ind w:left="2510" w:hanging="632"/>
        <w:spacing w:after="0" w:line="294" w:lineRule="auto"/>
        <w:tabs>
          <w:tab w:leader="none" w:pos="2510"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greater than the price or value of the consideration per Voting Share at which the Locked-Up Person has agreed to deposit or tender Voting Shares to the Lock-Up Bid; or</w:t>
      </w:r>
    </w:p>
    <w:p>
      <w:pPr>
        <w:spacing w:after="0" w:line="144" w:lineRule="exact"/>
        <w:rPr>
          <w:rFonts w:ascii="Times New Roman" w:cs="Times New Roman" w:eastAsia="Times New Roman" w:hAnsi="Times New Roman"/>
          <w:sz w:val="17"/>
          <w:szCs w:val="17"/>
          <w:color w:val="auto"/>
        </w:rPr>
      </w:pPr>
    </w:p>
    <w:p>
      <w:pPr>
        <w:jc w:val="both"/>
        <w:ind w:left="2510" w:hanging="632"/>
        <w:spacing w:after="0" w:line="266" w:lineRule="auto"/>
        <w:tabs>
          <w:tab w:leader="none" w:pos="2510"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by as much as or more than a specified amount (the “</w:t>
      </w:r>
      <w:r>
        <w:rPr>
          <w:rFonts w:ascii="Times New Roman" w:cs="Times New Roman" w:eastAsia="Times New Roman" w:hAnsi="Times New Roman"/>
          <w:sz w:val="17"/>
          <w:szCs w:val="17"/>
          <w:b w:val="1"/>
          <w:bCs w:val="1"/>
          <w:color w:val="auto"/>
        </w:rPr>
        <w:t>Specified Amount</w:t>
      </w:r>
      <w:r>
        <w:rPr>
          <w:rFonts w:ascii="Times New Roman" w:cs="Times New Roman" w:eastAsia="Times New Roman" w:hAnsi="Times New Roman"/>
          <w:sz w:val="17"/>
          <w:szCs w:val="17"/>
          <w:color w:val="auto"/>
        </w:rPr>
        <w:t>”) the price or value of the consideration per Voting Share at which the Locked-Up Person has agreed to deposit or tender Voting Shares to the Lock-Up Bid, provided that such Specified Amount is not greater than 7% of the price or value of the consideration per Voting Share at which the Locked-Up Person has agreed to deposit or tender Voting Shares to the Lock-Up Bid; and</w:t>
      </w:r>
    </w:p>
    <w:p>
      <w:pPr>
        <w:spacing w:after="0" w:line="170" w:lineRule="exact"/>
        <w:rPr>
          <w:rFonts w:ascii="Times New Roman" w:cs="Times New Roman" w:eastAsia="Times New Roman" w:hAnsi="Times New Roman"/>
          <w:sz w:val="17"/>
          <w:szCs w:val="17"/>
          <w:color w:val="auto"/>
        </w:rPr>
      </w:pPr>
    </w:p>
    <w:p>
      <w:pPr>
        <w:jc w:val="both"/>
        <w:ind w:left="1870" w:hanging="618"/>
        <w:spacing w:after="0" w:line="272" w:lineRule="auto"/>
        <w:tabs>
          <w:tab w:leader="none" w:pos="187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Voting Shares offered to be purchased under the Lock-Up Bid is less than 100% of the Voting Shares held by Independent Shareholders, where the number of Voting Shares to be purchased under such other Take-over Bid or transaction at a price or value per Voting Share that is not less than the price or value per Voting Share offered under the Lock-Up Bid:</w:t>
      </w:r>
    </w:p>
    <w:p>
      <w:pPr>
        <w:spacing w:after="0" w:line="378" w:lineRule="exact"/>
        <w:rPr>
          <w:rFonts w:ascii="Times New Roman" w:cs="Times New Roman" w:eastAsia="Times New Roman" w:hAnsi="Times New Roman"/>
          <w:sz w:val="17"/>
          <w:szCs w:val="17"/>
          <w:color w:val="auto"/>
        </w:rPr>
      </w:pPr>
    </w:p>
    <w:p>
      <w:pPr>
        <w:ind w:left="2510" w:hanging="632"/>
        <w:spacing w:after="0"/>
        <w:tabs>
          <w:tab w:leader="none" w:pos="2510"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greater than the number of Voting Shares that the Offeror has offered to purchase under the Lock-Up Bid; or</w:t>
      </w:r>
    </w:p>
    <w:p>
      <w:pPr>
        <w:spacing w:after="0" w:line="219" w:lineRule="exact"/>
        <w:rPr>
          <w:rFonts w:ascii="Times New Roman" w:cs="Times New Roman" w:eastAsia="Times New Roman" w:hAnsi="Times New Roman"/>
          <w:sz w:val="17"/>
          <w:szCs w:val="17"/>
          <w:color w:val="auto"/>
        </w:rPr>
      </w:pPr>
    </w:p>
    <w:p>
      <w:pPr>
        <w:jc w:val="both"/>
        <w:ind w:left="2510" w:hanging="632"/>
        <w:spacing w:after="0" w:line="276" w:lineRule="auto"/>
        <w:tabs>
          <w:tab w:leader="none" w:pos="2510"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by as much as or more than a specified number (the “</w:t>
      </w:r>
      <w:r>
        <w:rPr>
          <w:rFonts w:ascii="Times New Roman" w:cs="Times New Roman" w:eastAsia="Times New Roman" w:hAnsi="Times New Roman"/>
          <w:sz w:val="17"/>
          <w:szCs w:val="17"/>
          <w:b w:val="1"/>
          <w:bCs w:val="1"/>
          <w:color w:val="auto"/>
        </w:rPr>
        <w:t>Specified Number</w:t>
      </w:r>
      <w:r>
        <w:rPr>
          <w:rFonts w:ascii="Times New Roman" w:cs="Times New Roman" w:eastAsia="Times New Roman" w:hAnsi="Times New Roman"/>
          <w:sz w:val="17"/>
          <w:szCs w:val="17"/>
          <w:color w:val="auto"/>
        </w:rPr>
        <w:t>”) the number of Voting Shares that the Offeror has offered to purchase under the Lock-Up Bid, provided that the Specified Number is not greater than 7% of the number of Voting Shares offered to be purchased under the Lock-Up Bid,</w:t>
      </w:r>
    </w:p>
    <w:p>
      <w:pPr>
        <w:spacing w:after="0" w:line="162" w:lineRule="exact"/>
        <w:rPr>
          <w:sz w:val="20"/>
          <w:szCs w:val="20"/>
          <w:color w:val="auto"/>
        </w:rPr>
      </w:pPr>
    </w:p>
    <w:p>
      <w:pPr>
        <w:jc w:val="both"/>
        <w:ind w:left="1250"/>
        <w:spacing w:after="0" w:line="268" w:lineRule="auto"/>
        <w:rPr>
          <w:sz w:val="20"/>
          <w:szCs w:val="20"/>
          <w:color w:val="auto"/>
        </w:rPr>
      </w:pPr>
      <w:r>
        <w:rPr>
          <w:rFonts w:ascii="Times New Roman" w:cs="Times New Roman" w:eastAsia="Times New Roman" w:hAnsi="Times New Roman"/>
          <w:sz w:val="17"/>
          <w:szCs w:val="17"/>
          <w:color w:val="auto"/>
        </w:rPr>
        <w:t>and, for greater clarity, the agreement may contain a right of first refusal or require a period of delay to give such Person an opportunity to at least match a higher price or value in another Take-over Bid or transaction or other similar limitation on a Locked-up Person’s right to withdraw Voting Shares from the agreement, so long as the limitation does not preclude the exercise by the Locked-up Person of the right to withdraw Voting Shares during the period of the other Take-over Bid or transaction; and</w:t>
      </w:r>
    </w:p>
    <w:p>
      <w:pPr>
        <w:spacing w:after="0" w:line="379"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18" w:name="page19"/>
    <w:bookmarkEnd w:id="18"/>
    <w:p>
      <w:pPr>
        <w:ind w:left="1250" w:hanging="624"/>
        <w:spacing w:after="0"/>
        <w:tabs>
          <w:tab w:leader="none" w:pos="125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w:t>
      </w:r>
      <w:r>
        <w:rPr>
          <w:rFonts w:ascii="Times New Roman" w:cs="Times New Roman" w:eastAsia="Times New Roman" w:hAnsi="Times New Roman"/>
          <w:sz w:val="17"/>
          <w:szCs w:val="17"/>
          <w:b w:val="1"/>
          <w:bCs w:val="1"/>
          <w:color w:val="auto"/>
        </w:rPr>
        <w:t>break-up</w:t>
      </w:r>
      <w:r>
        <w:rPr>
          <w:rFonts w:ascii="Times New Roman" w:cs="Times New Roman" w:eastAsia="Times New Roman" w:hAnsi="Times New Roman"/>
          <w:sz w:val="17"/>
          <w:szCs w:val="17"/>
          <w:color w:val="auto"/>
        </w:rPr>
        <w:t>” fees, “</w:t>
      </w:r>
      <w:r>
        <w:rPr>
          <w:rFonts w:ascii="Times New Roman" w:cs="Times New Roman" w:eastAsia="Times New Roman" w:hAnsi="Times New Roman"/>
          <w:sz w:val="17"/>
          <w:szCs w:val="17"/>
          <w:b w:val="1"/>
          <w:bCs w:val="1"/>
          <w:color w:val="auto"/>
        </w:rPr>
        <w:t>top-up</w:t>
      </w:r>
      <w:r>
        <w:rPr>
          <w:rFonts w:ascii="Times New Roman" w:cs="Times New Roman" w:eastAsia="Times New Roman" w:hAnsi="Times New Roman"/>
          <w:sz w:val="17"/>
          <w:szCs w:val="17"/>
          <w:color w:val="auto"/>
        </w:rPr>
        <w:t>” fees, penalties, expenses or other amounts that exceed in aggregate the greater of:</w:t>
      </w:r>
    </w:p>
    <w:p>
      <w:pPr>
        <w:spacing w:after="0" w:line="223" w:lineRule="exact"/>
        <w:rPr>
          <w:rFonts w:ascii="Times New Roman" w:cs="Times New Roman" w:eastAsia="Times New Roman" w:hAnsi="Times New Roman"/>
          <w:sz w:val="17"/>
          <w:szCs w:val="17"/>
          <w:color w:val="auto"/>
        </w:rPr>
      </w:pPr>
    </w:p>
    <w:p>
      <w:pPr>
        <w:ind w:left="1870" w:hanging="618"/>
        <w:spacing w:after="0" w:line="267" w:lineRule="auto"/>
        <w:tabs>
          <w:tab w:leader="none" w:pos="187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equivalent of 3% of the price or value of the consideration payable under the Lock-Up Bid to a Locked-Up Person; and</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both"/>
        <w:ind w:left="1870" w:hanging="618"/>
        <w:spacing w:after="0" w:line="275" w:lineRule="auto"/>
        <w:tabs>
          <w:tab w:leader="none" w:pos="187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amount by which the price or value of the consideration received by a Locked-Up Person under another Take-over Bid or transaction exceeds the price or value of the consideration that the Locked-Up Person would have received under the Lock-Up Bid,</w:t>
      </w:r>
    </w:p>
    <w:p>
      <w:pPr>
        <w:spacing w:after="0" w:line="163"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shall be payable by such Locked-Up Person pursuant to the agreement if the Locked-Up Person fails to deposit or tender Voting Shares to the Lock-Up Bid, withdraws Voting Shares previously tendered thereto or supports another transaction;</w:t>
      </w:r>
    </w:p>
    <w:p>
      <w:pPr>
        <w:spacing w:after="0" w:line="145" w:lineRule="exact"/>
        <w:rPr>
          <w:sz w:val="20"/>
          <w:szCs w:val="20"/>
          <w:color w:val="auto"/>
        </w:rPr>
      </w:pPr>
    </w:p>
    <w:p>
      <w:pPr>
        <w:jc w:val="both"/>
        <w:ind w:left="630" w:hanging="630"/>
        <w:spacing w:after="0" w:line="276" w:lineRule="auto"/>
        <w:tabs>
          <w:tab w:leader="none" w:pos="63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shall include an individual, body corporate, firm, partnership, syndicate or other form of unincorporated association, trust, trustee, executor, administrator, legal personal representative, group, unincorporated organization, a government and its agencies or instrumentalities, or other entity whether or not having legal personality;</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 Rata Acquisition</w:t>
      </w:r>
      <w:r>
        <w:rPr>
          <w:rFonts w:ascii="Times New Roman" w:cs="Times New Roman" w:eastAsia="Times New Roman" w:hAnsi="Times New Roman"/>
          <w:sz w:val="17"/>
          <w:szCs w:val="17"/>
          <w:color w:val="auto"/>
        </w:rPr>
        <w:t>” shall mean an acquisition by a Person of Voting Shares pursuant to:</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Dividend Reinvestment Acquisition;</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or</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the exercise by the Person of rights to purchase Voting Shares issued by the Corporation to all holders of securities of the Corporation (other than holders resident in any jurisdiction where such issuance is restricted or impractical as a result of applicable law) of one or more particular classes or series pursuant to a rights offering provided that such rights are acquired directly from the Corporation and not from any other Person; or</w:t>
      </w:r>
    </w:p>
    <w:p>
      <w:pPr>
        <w:spacing w:after="0" w:line="169"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distribution of Voting Shares or of Convertible Securities made pursuant to a prospectus or by way of a private placement or a conversion or exchange of any Convertible Security;</w:t>
      </w:r>
    </w:p>
    <w:p>
      <w:pPr>
        <w:spacing w:after="0" w:line="147"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provided, however, that such Person does not thereby acquire a greater percentage of such Voting Shares or of Convertible Securities so offered than such Person’s percentage of Voting Shares Beneficially Owned immediately prior to such acquisition;</w:t>
      </w:r>
    </w:p>
    <w:p>
      <w:pPr>
        <w:spacing w:after="0" w:line="145" w:lineRule="exact"/>
        <w:rPr>
          <w:sz w:val="20"/>
          <w:szCs w:val="20"/>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Record Time</w:t>
      </w:r>
      <w:r>
        <w:rPr>
          <w:rFonts w:ascii="Times New Roman" w:cs="Times New Roman" w:eastAsia="Times New Roman" w:hAnsi="Times New Roman"/>
          <w:sz w:val="17"/>
          <w:szCs w:val="17"/>
          <w:color w:val="auto"/>
        </w:rPr>
        <w:t>” shall have the meaning set forth in the recitals hereto;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shall have the meaning attributed thereto in Subsection 5.1(a);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w:t>
      </w:r>
      <w:r>
        <w:rPr>
          <w:rFonts w:ascii="Times New Roman" w:cs="Times New Roman" w:eastAsia="Times New Roman" w:hAnsi="Times New Roman"/>
          <w:sz w:val="17"/>
          <w:szCs w:val="17"/>
          <w:color w:val="auto"/>
        </w:rPr>
        <w:t>” shall mean a right to purchase a Common Share, upon the terms and subject to the conditions set forth in this Agreement;</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Certificate</w:t>
      </w:r>
      <w:r>
        <w:rPr>
          <w:rFonts w:ascii="Times New Roman" w:cs="Times New Roman" w:eastAsia="Times New Roman" w:hAnsi="Times New Roman"/>
          <w:sz w:val="17"/>
          <w:szCs w:val="17"/>
          <w:color w:val="auto"/>
        </w:rPr>
        <w:t>” shall mean a certificate representing the Rights after the Separation Time, which shall be substantially in the form attached hereto as Attachment 1;</w:t>
      </w:r>
    </w:p>
    <w:p>
      <w:pPr>
        <w:spacing w:after="0" w:line="142"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Plan</w:t>
      </w:r>
      <w:r>
        <w:rPr>
          <w:rFonts w:ascii="Times New Roman" w:cs="Times New Roman" w:eastAsia="Times New Roman" w:hAnsi="Times New Roman"/>
          <w:sz w:val="17"/>
          <w:szCs w:val="17"/>
          <w:color w:val="auto"/>
        </w:rPr>
        <w:t>” shall have the meaning set forth in the recitals hereto;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Register</w:t>
      </w:r>
      <w:r>
        <w:rPr>
          <w:rFonts w:ascii="Times New Roman" w:cs="Times New Roman" w:eastAsia="Times New Roman" w:hAnsi="Times New Roman"/>
          <w:sz w:val="17"/>
          <w:szCs w:val="17"/>
          <w:color w:val="auto"/>
        </w:rPr>
        <w:t>” shall have the meaning ascribed thereto in Subsection 2.6(a)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shall mean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Separation Time</w:t>
      </w:r>
      <w:r>
        <w:rPr>
          <w:rFonts w:ascii="Times New Roman" w:cs="Times New Roman" w:eastAsia="Times New Roman" w:hAnsi="Times New Roman"/>
          <w:sz w:val="17"/>
          <w:szCs w:val="17"/>
          <w:color w:val="auto"/>
        </w:rPr>
        <w:t>” shall mean, subject to Subsection 5.1(d), the close of business on the tenth Trading Day after the earlier of: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Acquisition Date;</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the commencement of or first public announcement of the current intention of any Person (other than the Corporation or any Subsidiary of the Corporation) to commence a Take-over Bid (other than a Permitted Bid or a Competing Permitted Bid);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 Permitted Bid or Competing Permitted Bid ceases to qualify as such;</w:t>
      </w:r>
    </w:p>
    <w:p>
      <w:pPr>
        <w:spacing w:after="0" w:line="200" w:lineRule="exact"/>
        <w:rPr>
          <w:sz w:val="20"/>
          <w:szCs w:val="20"/>
          <w:color w:val="auto"/>
        </w:rPr>
      </w:pPr>
    </w:p>
    <w:p>
      <w:pPr>
        <w:spacing w:after="0" w:line="230"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19" w:name="page20"/>
    <w:bookmarkEnd w:id="19"/>
    <w:p>
      <w:pPr>
        <w:jc w:val="both"/>
        <w:ind w:left="630"/>
        <w:spacing w:after="0" w:line="263" w:lineRule="auto"/>
        <w:rPr>
          <w:sz w:val="20"/>
          <w:szCs w:val="20"/>
          <w:color w:val="auto"/>
        </w:rPr>
      </w:pPr>
      <w:r>
        <w:rPr>
          <w:rFonts w:ascii="Times New Roman" w:cs="Times New Roman" w:eastAsia="Times New Roman" w:hAnsi="Times New Roman"/>
          <w:sz w:val="17"/>
          <w:szCs w:val="17"/>
          <w:color w:val="auto"/>
        </w:rPr>
        <w:t>or such later time as may be determined by the Board of Directors, provided that, if any Take-over Bid referred to in Subsection 1.1(uu)(ii) above expires, is not made,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 and further provided that if the foregoing results in the Separation Time being prior to the Record Time, the Separation Time shall be the Record Time;</w:t>
      </w:r>
    </w:p>
    <w:p>
      <w:pPr>
        <w:spacing w:after="0" w:line="173" w:lineRule="exact"/>
        <w:rPr>
          <w:sz w:val="20"/>
          <w:szCs w:val="20"/>
          <w:color w:val="auto"/>
        </w:rPr>
      </w:pPr>
    </w:p>
    <w:p>
      <w:pPr>
        <w:ind w:left="630" w:hanging="630"/>
        <w:spacing w:after="0"/>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Stipulated Percentage</w:t>
      </w:r>
      <w:r>
        <w:rPr>
          <w:rFonts w:ascii="Times New Roman" w:cs="Times New Roman" w:eastAsia="Times New Roman" w:hAnsi="Times New Roman"/>
          <w:sz w:val="17"/>
          <w:szCs w:val="17"/>
          <w:color w:val="auto"/>
        </w:rPr>
        <w:t>” means, from the Effective Date to and including September 10, 2024, 15%, and thereafter, 20%;</w:t>
      </w:r>
    </w:p>
    <w:p>
      <w:pPr>
        <w:spacing w:after="0" w:line="221"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Acquisition Date</w:t>
      </w:r>
      <w:r>
        <w:rPr>
          <w:rFonts w:ascii="Times New Roman" w:cs="Times New Roman" w:eastAsia="Times New Roman" w:hAnsi="Times New Roman"/>
          <w:sz w:val="17"/>
          <w:szCs w:val="17"/>
          <w:color w:val="auto"/>
        </w:rPr>
        <w:t xml:space="preserve">” shall mean the first date of public announcement or disclosure by the Corporation or an Acquiring Person of facts indicating that a Person has become an Acquiring Person which for the purposes of this definition shall include, without limitation, a report filed pursuant to Part 5 of NI 62-104, Section 4.5 of National Instrument 62-103 – </w:t>
      </w:r>
      <w:r>
        <w:rPr>
          <w:rFonts w:ascii="Times New Roman" w:cs="Times New Roman" w:eastAsia="Times New Roman" w:hAnsi="Times New Roman"/>
          <w:sz w:val="17"/>
          <w:szCs w:val="17"/>
          <w:i w:val="1"/>
          <w:iCs w:val="1"/>
          <w:color w:val="auto"/>
        </w:rPr>
        <w:t>The Early Warning System and Related Take-Over Bid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Insider Reporting Issues </w:t>
      </w:r>
      <w:r>
        <w:rPr>
          <w:rFonts w:ascii="Times New Roman" w:cs="Times New Roman" w:eastAsia="Times New Roman" w:hAnsi="Times New Roman"/>
          <w:sz w:val="17"/>
          <w:szCs w:val="17"/>
          <w:color w:val="auto"/>
        </w:rPr>
        <w:t>or Section 13(d) of the 1934 Exchange Act announcing or disclosing such information;</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a Person is a Subsidiary of another Person if: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controlled by:</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other; or</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other and one or more Persons each of which is controlled by that other; or</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Persons each of which is controlled by that other; 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Subsidiary of a Person that is that other’s Subsidiary;</w:t>
      </w:r>
    </w:p>
    <w:p>
      <w:pPr>
        <w:spacing w:after="0" w:line="219"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Take-over Bid</w:t>
      </w:r>
      <w:r>
        <w:rPr>
          <w:rFonts w:ascii="Times New Roman" w:cs="Times New Roman" w:eastAsia="Times New Roman" w:hAnsi="Times New Roman"/>
          <w:sz w:val="17"/>
          <w:szCs w:val="17"/>
          <w:color w:val="auto"/>
        </w:rPr>
        <w:t>” shall mean an Offer to Acquire Voting Shares or Convertible Securities, if, assuming that the Voting Shares or Convertible Securities subject to the Offer to Acquire are acquired and are Beneficially Owned at the date of such Offer to Acquire by the Person making such Offer to Acquire, the Voting Shares Beneficially Owned by the Person making the Offer to Acquire would constitute in the aggregate 20% or more of the outstanding Voting Shares at the date of the Offer to Acquire;</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Time</w:t>
      </w:r>
      <w:r>
        <w:rPr>
          <w:rFonts w:ascii="Times New Roman" w:cs="Times New Roman" w:eastAsia="Times New Roman" w:hAnsi="Times New Roman"/>
          <w:sz w:val="17"/>
          <w:szCs w:val="17"/>
          <w:color w:val="auto"/>
        </w:rPr>
        <w:t>” shall mean the time at which the right to exercise Rights shall terminate pursuant to Section 5.1(g);</w:t>
      </w:r>
    </w:p>
    <w:p>
      <w:pPr>
        <w:spacing w:after="0" w:line="222" w:lineRule="exact"/>
        <w:rPr>
          <w:sz w:val="20"/>
          <w:szCs w:val="20"/>
          <w:color w:val="auto"/>
        </w:rPr>
      </w:pPr>
    </w:p>
    <w:p>
      <w:pPr>
        <w:jc w:val="both"/>
        <w:ind w:left="630" w:hanging="630"/>
        <w:spacing w:after="0" w:line="269"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when used with respect to any securities, shall mean a day on which the securities exchange or national securities quotation system on which such securities are listed or admitted to trading on which the largest number of such securities were traded during the most recently completed calendar year is open for the transaction of business or, if the securities are not listed or admitted to trading on any securities exchange, a Business Day;</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 Canadian Exchange Rate</w:t>
      </w:r>
      <w:r>
        <w:rPr>
          <w:rFonts w:ascii="Times New Roman" w:cs="Times New Roman" w:eastAsia="Times New Roman" w:hAnsi="Times New Roman"/>
          <w:sz w:val="17"/>
          <w:szCs w:val="17"/>
          <w:color w:val="auto"/>
        </w:rPr>
        <w:t>” on any date shall mean:</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such date the Bank of Canada sets an average noon spot rate of exchange for the conversion of one United States dollar into Canadian dollars, such rate;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the rate for such date for the conversion of one United States dollar into Canadian dollars which is calculated in the manner which shall be determined by the Board of Directors from time to time acting in good faith;</w:t>
      </w:r>
    </w:p>
    <w:p>
      <w:pPr>
        <w:spacing w:after="0" w:line="144"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Dollar Equivalent</w:t>
      </w:r>
      <w:r>
        <w:rPr>
          <w:rFonts w:ascii="Times New Roman" w:cs="Times New Roman" w:eastAsia="Times New Roman" w:hAnsi="Times New Roman"/>
          <w:sz w:val="17"/>
          <w:szCs w:val="17"/>
          <w:color w:val="auto"/>
        </w:rPr>
        <w:t>” of any amount which is expressed in Canadian dollars means on any day the United States dollar equivalent of such amount determined by reference to the U.S.-Canadian Exchange Rate in effect on such date;</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Share Reduction</w:t>
      </w:r>
      <w:r>
        <w:rPr>
          <w:rFonts w:ascii="Times New Roman" w:cs="Times New Roman" w:eastAsia="Times New Roman" w:hAnsi="Times New Roman"/>
          <w:sz w:val="17"/>
          <w:szCs w:val="17"/>
          <w:color w:val="auto"/>
        </w:rPr>
        <w:t>” shall mean an acquisition or redemption by the Corporation of Voting Shares which, by reducing the number of Voting Shares outstanding, increases the percentage of outstanding Voting Shares Beneficially Owned by any Person to the Stipulated Percentage or more of the Voting Shares then outstanding;</w:t>
      </w:r>
    </w:p>
    <w:p>
      <w:pPr>
        <w:spacing w:after="0" w:line="160"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Shares</w:t>
      </w:r>
      <w:r>
        <w:rPr>
          <w:rFonts w:ascii="Times New Roman" w:cs="Times New Roman" w:eastAsia="Times New Roman" w:hAnsi="Times New Roman"/>
          <w:sz w:val="17"/>
          <w:szCs w:val="17"/>
          <w:color w:val="auto"/>
        </w:rPr>
        <w:t>” shall mean the Common Shares and any other shares in the capital of the Corporation entitled to vote generally in the election of all directors;</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1933 Securities Act</w:t>
      </w:r>
      <w:r>
        <w:rPr>
          <w:rFonts w:ascii="Times New Roman" w:cs="Times New Roman" w:eastAsia="Times New Roman" w:hAnsi="Times New Roman"/>
          <w:sz w:val="17"/>
          <w:szCs w:val="17"/>
          <w:color w:val="auto"/>
        </w:rPr>
        <w:t>” means the Securities Act of 1933 of the United States, as amended, and the rules and regulations thereunder, and any comparable or successor laws or regulations thereto; and</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1934 Exchange Act</w:t>
      </w:r>
      <w:r>
        <w:rPr>
          <w:rFonts w:ascii="Times New Roman" w:cs="Times New Roman" w:eastAsia="Times New Roman" w:hAnsi="Times New Roman"/>
          <w:sz w:val="17"/>
          <w:szCs w:val="17"/>
          <w:color w:val="auto"/>
        </w:rPr>
        <w:t>” means the Securities Exchange Act of 1934 of the United States, as amended, and the rules and regulations thereunder, and any comparable or successor laws or regulations thereto.</w:t>
      </w:r>
    </w:p>
    <w:p>
      <w:pPr>
        <w:spacing w:after="0" w:line="353"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20" w:name="page21"/>
    <w:bookmarkEnd w:id="20"/>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Currency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sums of money which are referred to in this Agreement are expressed in lawful money of Canada, unless otherwise specified.</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and Gender</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Wherever the context will require, terms (including defined terms) used herein importing the singular number only shall include the plural and vice versa and words importing any one gender shall include all others.</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Headings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division of this Agreement into Articles, Sections, Subsections, Paragraphs, Subparagraphs or other portions hereof and the insertion of headings, subheadings and a table of contents are for convenience of reference only and shall not affect the construction or interpretation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Statutory References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Calculation of Number and Percentage of Beneficial Ownership of Outstanding Voting Shares</w:t>
      </w:r>
    </w:p>
    <w:p>
      <w:pPr>
        <w:spacing w:after="0" w:line="224" w:lineRule="exact"/>
        <w:rPr>
          <w:sz w:val="20"/>
          <w:szCs w:val="20"/>
          <w:color w:val="auto"/>
        </w:rPr>
      </w:pPr>
    </w:p>
    <w:p>
      <w:pPr>
        <w:jc w:val="both"/>
        <w:ind w:left="1260" w:hanging="630"/>
        <w:spacing w:after="0" w:line="287"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in determining the percentage of outstanding Voting Shares with respect to which a Person is or is deemed to be the Beneficial Owner, all unissued Voting Shares of which such Person is deemed to be the Beneficial Owner shall be deemed to be outstanding.</w:t>
      </w:r>
    </w:p>
    <w:p>
      <w:pPr>
        <w:spacing w:after="0" w:line="366"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percentage of Voting Shares Beneficially Owned by any Person shall be and be deemed to be the product (expressed as a percentage) determined by the formula:</w:t>
      </w:r>
    </w:p>
    <w:p>
      <w:pPr>
        <w:spacing w:after="0" w:line="146" w:lineRule="exact"/>
        <w:rPr>
          <w:rFonts w:ascii="Times New Roman" w:cs="Times New Roman" w:eastAsia="Times New Roman" w:hAnsi="Times New Roman"/>
          <w:sz w:val="17"/>
          <w:szCs w:val="17"/>
          <w:color w:val="auto"/>
        </w:rPr>
      </w:pPr>
    </w:p>
    <w:p>
      <w:pPr>
        <w:ind w:left="1260" w:right="9260"/>
        <w:spacing w:after="0" w:line="5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x A/B where:</w:t>
      </w:r>
    </w:p>
    <w:p>
      <w:pPr>
        <w:ind w:left="126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 the number of votes for the election of directors of the Corporation generally attaching to the Voting Shares Beneficially Owned by such Person; and</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B = the number of votes for the election of directors of the Corporation generally attaching to all outstanding Voting Shares.</w:t>
      </w:r>
    </w:p>
    <w:p>
      <w:pPr>
        <w:spacing w:after="0" w:line="222" w:lineRule="exact"/>
        <w:rPr>
          <w:sz w:val="20"/>
          <w:szCs w:val="20"/>
          <w:color w:val="auto"/>
        </w:rPr>
      </w:pPr>
    </w:p>
    <w:p>
      <w:pPr>
        <w:ind w:left="640"/>
        <w:spacing w:after="0" w:line="294" w:lineRule="auto"/>
        <w:rPr>
          <w:sz w:val="20"/>
          <w:szCs w:val="20"/>
          <w:color w:val="auto"/>
        </w:rPr>
      </w:pPr>
      <w:r>
        <w:rPr>
          <w:rFonts w:ascii="Times New Roman" w:cs="Times New Roman" w:eastAsia="Times New Roman" w:hAnsi="Times New Roman"/>
          <w:sz w:val="17"/>
          <w:szCs w:val="17"/>
          <w:color w:val="auto"/>
        </w:rPr>
        <w:t xml:space="preserve">The percentage of outstanding Voting Shares represented by any particular group of Voting Shares acquired or held by any Person shall be determined in like manner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Acting Jointly or in Concert</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purposes of this Agreement a Person is acting jointly or in concert with every Person who is a party to an agreement, commitment, arrangement or understanding, whether formal or informal or written or unwritten, with the first Person to acquire or Offer to Acquire any Voting Shares or Convertible Securities (other than: (a) customary agreements with and between underwriters and/or banking group members and/or selling group members with respect to a distribution of securities by the Corporation; (b) pledges of securities in the ordinary course of business; and (c) Permitted Lock-Up Agreements).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RIGHTS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Legend on Share Certificates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Certificates representing Voting Shares which are issued after the Record Time but prior to the earlier of the Separation Time and the Expiration Time, shall also evidence one Right for each Voting Share represented thereby until the earlier of the Separation Time or the Expiration Time and shall have impressed on, printed on, written on or otherwise affixed to them the following legend:</w:t>
      </w:r>
    </w:p>
    <w:p>
      <w:pPr>
        <w:spacing w:after="0" w:line="16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7"/>
          <w:szCs w:val="17"/>
          <w:i w:val="1"/>
          <w:iCs w:val="1"/>
          <w:color w:val="auto"/>
        </w:rPr>
        <w:t>Until the earlier of the Separation Time or the Expiration Time (as both terms are defined in the Shareholder Rights Agreement referred to below), this certificate also evidences and entitles the holder hereof to certain Rights as set forth in a Shareholder Rights Plan Agreement dated as of June 10, 2024, as may be amended or supplemented from time to time (the “Shareholder Rights Agreement”), between Bitfarms Ltd. (the “Corporation”) and TSX Trust Company, as Rights Agent, the terms of which are incorporated herein by reference and a copy of which is on file at the principal executive offices of the Corporation. Under certain circumstances set out in the Shareholder Rights Agreement, the Rights may be amended or redeemed, may expire or may become void (if, in certain cases they are “Beneficially Owned” by an “Acquiring Person” as such terms are defined in the Shareholder Rights Agreement, whether currently held by or on behalf of such Person or a subsequent holder)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Initial Exercise Price; Exercise of Rights; Detachment of Rights</w:t>
      </w:r>
    </w:p>
    <w:p>
      <w:pPr>
        <w:spacing w:after="0" w:line="224" w:lineRule="exact"/>
        <w:rPr>
          <w:sz w:val="20"/>
          <w:szCs w:val="20"/>
          <w:color w:val="auto"/>
        </w:rPr>
      </w:pPr>
    </w:p>
    <w:p>
      <w:pPr>
        <w:jc w:val="both"/>
        <w:ind w:left="1260" w:hanging="630"/>
        <w:spacing w:after="0" w:line="268" w:lineRule="auto"/>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herein set forth, each Right will entitle the holder thereof, from and after the Separation Time and prior to the Expiration Time, to purchase one Common Share for the Exercise Price, or its U.S. Dollar Equivalent, as at the Business Day immediately preceding the Separation Time (which Exercise Price and number of Common Shares are subject to adjustment as set forth below). Notwithstanding any other provision of this Agreement, any Rights held by the Corporation or any of its Subsidiaries shall be void.</w:t>
      </w:r>
    </w:p>
    <w:p>
      <w:pPr>
        <w:spacing w:after="0" w:line="169"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shall not be exercisable and no Right may be exercised; and</w:t>
      </w:r>
    </w:p>
    <w:p>
      <w:pPr>
        <w:spacing w:after="0" w:line="221"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will be evidenced by the certificate for the associated Voting Share registered in the name of the holder thereof (which certificate shall also be deemed to represent a Rights Certificate) and will be transferable only together with, and will be transferred by a transfer of, such associated Voting Share.</w:t>
      </w:r>
    </w:p>
    <w:p>
      <w:pPr>
        <w:spacing w:after="0" w:line="16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and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shall be exercisable; and</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and transfer of Rights shall be separate from and independent of Voting Shares.</w:t>
      </w:r>
    </w:p>
    <w:p>
      <w:pPr>
        <w:spacing w:after="0" w:line="222" w:lineRule="exact"/>
        <w:rPr>
          <w:sz w:val="20"/>
          <w:szCs w:val="20"/>
          <w:color w:val="auto"/>
        </w:rPr>
      </w:pPr>
    </w:p>
    <w:p>
      <w:pPr>
        <w:jc w:val="both"/>
        <w:ind w:left="1260"/>
        <w:spacing w:after="0" w:line="261" w:lineRule="auto"/>
        <w:rPr>
          <w:sz w:val="20"/>
          <w:szCs w:val="20"/>
          <w:color w:val="auto"/>
        </w:rPr>
      </w:pPr>
      <w:r>
        <w:rPr>
          <w:rFonts w:ascii="Times New Roman" w:cs="Times New Roman" w:eastAsia="Times New Roman" w:hAnsi="Times New Roman"/>
          <w:sz w:val="17"/>
          <w:szCs w:val="17"/>
          <w:color w:val="auto"/>
        </w:rPr>
        <w:t>Promptly following the Separation Time, the Corporation will prepare or cause to be prepared and the Rights Agent will, as soon as reasonably practicable, mail to each holder of record of Voting Shares as of the Separation Time and, in respect of each Convertible Security converted into Voting Shares after the Separation Time and prior to the Expiration Time, promptly after such conversion, the Corporation will prepare or cause to be prepared and the Rights Agent will mail to the holder so converting (other than in either case a person indicated by the Corporation in writing to be an Acquiring Person and any Transferee whose rights are or become null and void pursuant to Section 3.1(b) and, in respect of any Rights Beneficially Owned by such Acquiring Person or Transferee which are not held of record by such Acquiring Person or Transferee, the holder of record of such Rights as indicated by the Corporation in writing (a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at such holder’s address as shown by the records of the Corporation (the Corporation hereby agreeing to furnish copies of such records to the Rights Agent for this purpose):</w:t>
      </w:r>
    </w:p>
    <w:p>
      <w:pPr>
        <w:spacing w:after="0" w:line="177" w:lineRule="exact"/>
        <w:rPr>
          <w:sz w:val="20"/>
          <w:szCs w:val="20"/>
          <w:color w:val="auto"/>
        </w:rPr>
      </w:pPr>
    </w:p>
    <w:p>
      <w:pPr>
        <w:jc w:val="both"/>
        <w:ind w:left="1880" w:hanging="624"/>
        <w:spacing w:after="0" w:line="263" w:lineRule="auto"/>
        <w:tabs>
          <w:tab w:leader="none" w:pos="18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Certificate appropriately completed, representing the number of Rights held by such holder at the Separation Time or at the time of conversion, as applicable,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made pursuant thereto or with any rule or regulation of any self-regulatory organization, stock exchange or quotation system on which the Rights may from time to time be listed or traded, or to conform to usage; and</w:t>
      </w:r>
    </w:p>
    <w:p>
      <w:pPr>
        <w:spacing w:after="0" w:line="175"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disclosure statement prepared by the Corporation describing the Rights,</w:t>
      </w:r>
    </w:p>
    <w:p>
      <w:pPr>
        <w:spacing w:after="0" w:line="222" w:lineRule="exact"/>
        <w:rPr>
          <w:sz w:val="20"/>
          <w:szCs w:val="20"/>
          <w:color w:val="auto"/>
        </w:rPr>
      </w:pPr>
    </w:p>
    <w:p>
      <w:pPr>
        <w:jc w:val="both"/>
        <w:ind w:left="1260"/>
        <w:spacing w:after="0" w:line="268" w:lineRule="auto"/>
        <w:rPr>
          <w:sz w:val="20"/>
          <w:szCs w:val="20"/>
          <w:color w:val="auto"/>
        </w:rPr>
      </w:pPr>
      <w:r>
        <w:rPr>
          <w:rFonts w:ascii="Times New Roman" w:cs="Times New Roman" w:eastAsia="Times New Roman" w:hAnsi="Times New Roman"/>
          <w:sz w:val="17"/>
          <w:szCs w:val="17"/>
          <w:color w:val="auto"/>
        </w:rPr>
        <w:t>provided that a Nominee shall be sent the materials provided for in (x) and (y) only in respect of all Voting Shares held of record by it which are not Beneficially Owned by an Acquiring Person. In order for the Corporation to determine whether any Person is holding Voting Shares which are Beneficially Owned by another Person, the Corporation may require such first Person to furnish such information and documentation as the Corporation deems necessary.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jc w:val="both"/>
        <w:ind w:left="630" w:hanging="630"/>
        <w:spacing w:after="0" w:line="275" w:lineRule="auto"/>
        <w:tabs>
          <w:tab w:leader="none" w:pos="63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may be exercised, in whole or in part, on any Business Day after the Separation Time and prior to the Expiration Time by submitting to the Rights Agent at its office in Toronto, Canada or any other office of the Rights Agent in cities designated from time to time for that purpose by the Corporation with the approval of the Rights Agent:</w:t>
      </w:r>
    </w:p>
    <w:p>
      <w:pPr>
        <w:spacing w:after="0" w:line="162"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Certificate evidencing such Rights;</w:t>
      </w:r>
    </w:p>
    <w:p>
      <w:pPr>
        <w:spacing w:after="0" w:line="219" w:lineRule="exact"/>
        <w:rPr>
          <w:rFonts w:ascii="Times New Roman" w:cs="Times New Roman" w:eastAsia="Times New Roman" w:hAnsi="Times New Roman"/>
          <w:sz w:val="17"/>
          <w:szCs w:val="17"/>
          <w:color w:val="auto"/>
        </w:rPr>
      </w:pPr>
    </w:p>
    <w:p>
      <w:pPr>
        <w:jc w:val="both"/>
        <w:ind w:left="1250" w:hanging="624"/>
        <w:spacing w:after="0" w:line="273"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election to exercise such Rights (an “</w:t>
      </w:r>
      <w:r>
        <w:rPr>
          <w:rFonts w:ascii="Times New Roman" w:cs="Times New Roman" w:eastAsia="Times New Roman" w:hAnsi="Times New Roman"/>
          <w:sz w:val="17"/>
          <w:szCs w:val="17"/>
          <w:b w:val="1"/>
          <w:bCs w:val="1"/>
          <w:color w:val="auto"/>
        </w:rPr>
        <w:t>Election to Exercise</w:t>
      </w:r>
      <w:r>
        <w:rPr>
          <w:rFonts w:ascii="Times New Roman" w:cs="Times New Roman" w:eastAsia="Times New Roman" w:hAnsi="Times New Roman"/>
          <w:sz w:val="17"/>
          <w:szCs w:val="17"/>
          <w:color w:val="auto"/>
        </w:rPr>
        <w:t>”) substantially in the form attached to the Rights Certificate appropriately completed and duly executed by the holder or such holder’s executors or administrators or other personal representatives or such holder’s or their legal attorney duly appointed by an instrument in writing in form and executed in a manner satisfactory to the Rights Agent; and</w:t>
      </w:r>
    </w:p>
    <w:p>
      <w:pPr>
        <w:spacing w:after="0" w:line="378"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certified cheque, banker’s draft, money order or wire transfer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169"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a Rights Certificate, together with a completed Election to Exercise executed in accordance with Subsection 2.2(d)(ii), which does not indicate that such Right is null and void as provided by Subsection 3.1(b), and payment as set forth in Subsection 2.2(d)(iii), the Rights Agent (unless otherwise instructed by the Corporation in the event that the Corporation is of the opinion that the Rights cannot be exercised in accordance with this Agreement) will thereupon as soon as practicable:</w:t>
      </w:r>
    </w:p>
    <w:p>
      <w:pPr>
        <w:spacing w:after="0" w:line="169"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requisition from the transfer agent certificates representing the number of such Common Shares to be purchased (the Corporation hereby irrevocably authorizing its transfer agent to comply with all such requisitions);</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appropriate, requisition from the Corporation the amount of cash, if any, to be paid in lieu of issuing fractional Common Shares;</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the certificates referred to in Subsection 2.2(e)(i), deliver the same to or upon the order of the registered holder of such Rights Certificates, registered in such name or names as may be designated by such holder;</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appropriate, after receipt, deliver the cash referred to in Subsection 2.2(e)(ii) to or to the order of the registered holder of such Rights Certificate;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remit to the Corporation all payments received on the exercise of Rights.</w:t>
      </w:r>
    </w:p>
    <w:p>
      <w:pPr>
        <w:spacing w:after="0" w:line="222"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For greater certainty, unless the Rights Agent shall have been notified in accordance with Subsection 2.3(j) hereof, it shall be entitled to assume that there has been no adjustment to the Exercise Price or the number of Rights.</w:t>
      </w:r>
    </w:p>
    <w:p>
      <w:pPr>
        <w:spacing w:after="0" w:line="147" w:lineRule="exact"/>
        <w:rPr>
          <w:sz w:val="20"/>
          <w:szCs w:val="20"/>
          <w:color w:val="auto"/>
        </w:rPr>
      </w:pPr>
    </w:p>
    <w:p>
      <w:pPr>
        <w:jc w:val="both"/>
        <w:ind w:left="630" w:hanging="630"/>
        <w:spacing w:after="0" w:line="275" w:lineRule="auto"/>
        <w:tabs>
          <w:tab w:leader="none" w:pos="63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162"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covenants and agrees that it will:</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reserved and kept available out of its authorized and unissued Common Shares the number of Common Shares that, as provided in this Agreement, will from time to time be sufficient to permit the exercise in full of all outstanding Rights;</w:t>
      </w:r>
    </w:p>
    <w:p>
      <w:pPr>
        <w:spacing w:after="0" w:line="146"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such action as may be necessary and within its power to comply with the requirements of the OBCA, the Securities Act and the other applicable securities laws or comparable legislation of each of the provinces and territories of Canada, the 1933 Securities Act, the 1934 Exchange Act, and any other applicable law, rule or regulation, in connection with the issuance and delivery of the Rights, the Rights Certificates and the issuance of any Common Shares upon exercise of Rights;</w:t>
      </w:r>
    </w:p>
    <w:p>
      <w:pPr>
        <w:spacing w:after="0" w:line="379"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23" w:name="page24"/>
    <w:bookmarkEnd w:id="23"/>
    <w:p>
      <w:pPr>
        <w:ind w:left="1880" w:hanging="624"/>
        <w:spacing w:after="0" w:line="294" w:lineRule="auto"/>
        <w:tabs>
          <w:tab w:leader="none" w:pos="1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cause all Common Shares issued upon exercise of Rights to be listed on the stock exchanges and markets on which such Common Shares were traded immediately prior to the Stock Acquisition Date;</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63" w:lineRule="auto"/>
        <w:tabs>
          <w:tab w:leader="none" w:pos="1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when due and payable, if applicable, any and all federal, provincial, state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delivery of certificates for Common Shares issued upon the exercise of Rights in a name other than that of the holder of the Rights being transferred or exercised; and</w:t>
      </w:r>
    </w:p>
    <w:p>
      <w:pPr>
        <w:spacing w:after="0" w:line="175"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except as permitted by Sections 5.1 and 5.4, not take (or permit any Subsidiary to take) any action if at the time such action is taken it is reasonably foreseeable that such action will diminish substantially or otherwise eliminate the benefits intended to be afforded by the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Adjustments to Exercise Price; Number of Rights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Exercise Price, the number and kind of securities subject to purchase upon exercise of each Right and the number of Rights outstanding are subject to adjustment from time to time as provided in this Section 2.3 and in Article 3.</w:t>
      </w:r>
    </w:p>
    <w:p>
      <w:pPr>
        <w:spacing w:after="0" w:line="147" w:lineRule="exact"/>
        <w:rPr>
          <w:sz w:val="20"/>
          <w:szCs w:val="20"/>
          <w:color w:val="auto"/>
        </w:rPr>
      </w:pPr>
    </w:p>
    <w:p>
      <w:pPr>
        <w:ind w:left="1260" w:hanging="630"/>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or pay a dividend on Common Shares payable in Common Shares or Convertible Securities in respect thereof other than pursuant to any Dividend Reinvestment Plan;</w:t>
      </w:r>
    </w:p>
    <w:p>
      <w:pPr>
        <w:spacing w:after="0" w:line="146"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or change the then outstanding Common Shares into a greater number of Common Shares;</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or change the then outstanding Common Shares into a smaller number of Common Shares; or</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Common Shares (or Convertible Securities in respect thereof) in respect of, in lieu of or in exchange for existing Common Shares except as otherwise provided in this Section 2.3,</w:t>
      </w:r>
    </w:p>
    <w:p>
      <w:pPr>
        <w:spacing w:after="0" w:line="147"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then 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If the Exercise Price and number of Rights outstanding are to be adjusted:</w:t>
      </w:r>
    </w:p>
    <w:p>
      <w:pPr>
        <w:spacing w:after="0" w:line="222" w:lineRule="exact"/>
        <w:rPr>
          <w:sz w:val="20"/>
          <w:szCs w:val="20"/>
          <w:color w:val="auto"/>
        </w:rPr>
      </w:pPr>
    </w:p>
    <w:p>
      <w:pPr>
        <w:jc w:val="both"/>
        <w:ind w:left="1880" w:hanging="624"/>
        <w:spacing w:after="0" w:line="275" w:lineRule="auto"/>
        <w:tabs>
          <w:tab w:leader="none" w:pos="18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in effect after such adjustment will be equal to the Exercise Price in effect immediately prior to such adjustment divided by the number of Common Shares (or other capital stock) (the “</w:t>
      </w:r>
      <w:r>
        <w:rPr>
          <w:rFonts w:ascii="Times New Roman" w:cs="Times New Roman" w:eastAsia="Times New Roman" w:hAnsi="Times New Roman"/>
          <w:sz w:val="17"/>
          <w:szCs w:val="17"/>
          <w:b w:val="1"/>
          <w:bCs w:val="1"/>
          <w:color w:val="auto"/>
        </w:rPr>
        <w:t>Expansion Factor</w:t>
      </w:r>
      <w:r>
        <w:rPr>
          <w:rFonts w:ascii="Times New Roman" w:cs="Times New Roman" w:eastAsia="Times New Roman" w:hAnsi="Times New Roman"/>
          <w:sz w:val="17"/>
          <w:szCs w:val="17"/>
          <w:color w:val="auto"/>
        </w:rPr>
        <w:t>”) that a holder of one Common Share immediately prior to such dividend, subdivision, change, consolidation or issuance would hold thereafter as a result thereof; and</w:t>
      </w:r>
    </w:p>
    <w:p>
      <w:pPr>
        <w:spacing w:after="0" w:line="163" w:lineRule="exact"/>
        <w:rPr>
          <w:sz w:val="20"/>
          <w:szCs w:val="20"/>
          <w:color w:val="auto"/>
        </w:rPr>
      </w:pPr>
    </w:p>
    <w:p>
      <w:pPr>
        <w:jc w:val="both"/>
        <w:ind w:left="1880" w:hanging="624"/>
        <w:spacing w:after="0" w:line="268" w:lineRule="auto"/>
        <w:tabs>
          <w:tab w:leader="none" w:pos="18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held prior to such adjustment will become that number of Rights equal to the Expansion Factor, 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Adjustments made pursuant to this Section 2.3(a) shall be made successively, whenever an event referred to in this Section 2.3(a) occurs.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If, after the Effective Date and prior to the Expiration Time, the Corporation shall issue any shares of capital stock other than Common Shares in a transaction of a type described in Subsections 2.3(a)(i) or 2.3(a)(iv), shares of such capital stock shall be treated herein as nearly equivalent to Common Shares as may be practicable and appropriate under the circumstances and the Corporation and the Rights Agent agree to amend this Agreement in order to effect such treatment.</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If an event occurs which would require an adjustment under both this Section 2.3 and Section 3.1, the adjustment provided for in this Section 2.3 shall be in addition to, and shall be made prior to, any adjustment required under Section 3.1.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75" w:lineRule="auto"/>
        <w:rPr>
          <w:sz w:val="20"/>
          <w:szCs w:val="20"/>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163" w:lineRule="exact"/>
        <w:rPr>
          <w:sz w:val="20"/>
          <w:szCs w:val="20"/>
          <w:color w:val="auto"/>
        </w:rPr>
      </w:pPr>
    </w:p>
    <w:p>
      <w:pPr>
        <w:jc w:val="both"/>
        <w:ind w:left="1260" w:hanging="630"/>
        <w:spacing w:after="0" w:line="263" w:lineRule="auto"/>
        <w:tabs>
          <w:tab w:leader="none" w:pos="12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fix a record date for the issuance of rights, options or warrants (other than Rights) to all holders of Common Shares entitling them (for a period expiring within 45 calendar days after such record date) to subscribe for or purchase Common Shares (or Convertible Securities in respect of Common Shares) at a price per Common Share (or, in the case of a Convertible Security, having a conversion, exchange or exercise price per share, including the price required to be paid to purchase such Convertible Security) less than the Market Price per Common Share on such record date, the Exercise Price to be in effect after such record date shall be determined by multiplying the Exercise Price in effect immediately prior to such record date by a fraction:</w:t>
      </w:r>
    </w:p>
    <w:p>
      <w:pPr>
        <w:spacing w:after="0" w:line="383" w:lineRule="exact"/>
        <w:rPr>
          <w:rFonts w:ascii="Times New Roman" w:cs="Times New Roman" w:eastAsia="Times New Roman" w:hAnsi="Times New Roman"/>
          <w:sz w:val="17"/>
          <w:szCs w:val="17"/>
          <w:color w:val="auto"/>
        </w:rPr>
      </w:pPr>
    </w:p>
    <w:p>
      <w:pPr>
        <w:jc w:val="both"/>
        <w:ind w:left="1880" w:hanging="624"/>
        <w:spacing w:after="0" w:line="268" w:lineRule="auto"/>
        <w:tabs>
          <w:tab w:leader="none" w:pos="18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Securities, including the price required to be paid to purchase such Convertible Securities) would purchase at such Market Price per Common Share; and</w:t>
      </w:r>
    </w:p>
    <w:p>
      <w:pPr>
        <w:spacing w:after="0" w:line="169"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spacing w:after="0" w:line="163" w:lineRule="exact"/>
        <w:rPr>
          <w:sz w:val="20"/>
          <w:szCs w:val="20"/>
          <w:color w:val="auto"/>
        </w:rPr>
      </w:pPr>
    </w:p>
    <w:p>
      <w:pPr>
        <w:jc w:val="both"/>
        <w:ind w:left="1260"/>
        <w:spacing w:after="0" w:line="262" w:lineRule="auto"/>
        <w:rPr>
          <w:sz w:val="20"/>
          <w:szCs w:val="20"/>
          <w:color w:val="auto"/>
        </w:rPr>
      </w:pPr>
      <w:r>
        <w:rPr>
          <w:rFonts w:ascii="Times New Roman" w:cs="Times New Roman" w:eastAsia="Times New Roman" w:hAnsi="Times New Roman"/>
          <w:sz w:val="17"/>
          <w:szCs w:val="17"/>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175" w:lineRule="exact"/>
        <w:rPr>
          <w:sz w:val="20"/>
          <w:szCs w:val="20"/>
          <w:color w:val="auto"/>
        </w:rPr>
      </w:pPr>
    </w:p>
    <w:p>
      <w:pPr>
        <w:jc w:val="both"/>
        <w:ind w:left="1260"/>
        <w:spacing w:after="0" w:line="265" w:lineRule="auto"/>
        <w:rPr>
          <w:sz w:val="20"/>
          <w:szCs w:val="20"/>
          <w:color w:val="auto"/>
        </w:rPr>
      </w:pPr>
      <w:r>
        <w:rPr>
          <w:rFonts w:ascii="Times New Roman" w:cs="Times New Roman" w:eastAsia="Times New Roman" w:hAnsi="Times New Roman"/>
          <w:sz w:val="17"/>
          <w:szCs w:val="17"/>
          <w:color w:val="auto"/>
        </w:rPr>
        <w:t>For purposes of this Agreement, the granting of the right to purchase Common Shares (whether from treasury or otherwise) pursuant to any Dividend Reinvestment Plan or any employee benefit, stock option or similar plans shall be deemed not to constitute an issue of rights, options or warrants by the Corporation; provided, however, that, in the case of any Dividend Reinvestment Plan or share purchase plan, the right to purchase Common Shares is at a price per share of not less than 90% of the current market price per share (determined as provided in such plans) of the Common Shares.</w:t>
      </w:r>
    </w:p>
    <w:p>
      <w:pPr>
        <w:spacing w:after="0" w:line="172" w:lineRule="exact"/>
        <w:rPr>
          <w:sz w:val="20"/>
          <w:szCs w:val="20"/>
          <w:color w:val="auto"/>
        </w:rPr>
      </w:pPr>
    </w:p>
    <w:p>
      <w:pPr>
        <w:jc w:val="both"/>
        <w:ind w:left="1260" w:hanging="630"/>
        <w:spacing w:after="0" w:line="260" w:lineRule="auto"/>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fix a record date for the making of a distribution to all holders of Common Shares (including any such distribution made in connection with a merger or amalgamation) of evidences of indebtedness, cash (other than an annual cash dividend or a dividend paid in Common Shares, but including any dividend payable in securities other than Common Shares), assets or rights, options or warrants (excluding rights, options or warrants expiring within 45 calendar days after such record date) to purchase Common Shares or Convertible Securities in respect of Common Shares, the Exercise Price in effect after such record date shall be equal to the Exercise Price in effect immediately prior to such record date less the fair market value (as determined in good faith by the Board of Directors) of the portion of the evidences of indebtedness, cash, assets, rights, options or warrants so to be distributed applicable to the securities purchasable upon exercise of one Right. Such adjustment shall be made successively whenever such a record date is fixed.</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2.3(d) are not required to be made shall be carried forward and taken into account in any subsequent adjustment. All calculations under Section</w:t>
      </w:r>
    </w:p>
    <w:p>
      <w:pPr>
        <w:spacing w:after="0" w:line="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shall be made to the nearest cent or to the nearest ten-thousandth of a share. Any adjustment required by Section 2.3 shall be made as of:</w:t>
      </w:r>
    </w:p>
    <w:p>
      <w:pPr>
        <w:spacing w:after="0" w:line="203"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or effective date for the applicable dividend, subdivision, change, combination or issuance, in the case of an adjustment made pursuant to Subsection 2.3(a); or</w:t>
      </w:r>
    </w:p>
    <w:p>
      <w:pPr>
        <w:spacing w:after="0" w:line="146"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the applicable dividend or distribution, the case of an adjustment made pursuant to Subsection 2.3(b) or (c), subject to readjustment to reverse the same if such distribution shall not be made.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ind w:left="1260" w:hanging="630"/>
        <w:spacing w:after="0" w:line="260"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Subsection 2.3(a)(i) or (iv) or Subsections 2.3(b) or (c),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such adjustments, rather than the adjustments contemplated by Subsections 2.3(a), (b) and (c), shall be made. Subject to Subsections 5.4(b) and (c), the Corporation and the Rights Agent may, with the prior approval of the holders of the Common Shares, amend this Agreement as appropriate to provide for such adjustments.</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162"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or subdivision of Common Shares;</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(wholly or in part for cash) of Common Shares or securities that by their terms are convertible into or exchangeable for Common Shares;</w:t>
      </w:r>
    </w:p>
    <w:p>
      <w:pPr>
        <w:spacing w:after="0" w:line="146"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dividends; or</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rights, options or warrants referred to in this Section 2.3,</w:t>
      </w:r>
    </w:p>
    <w:p>
      <w:pPr>
        <w:spacing w:after="0" w:line="222"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hereafter made by the Corporation to holders of its Common Shares, subject to applicable taxation laws, shall not be taxable to such shareholders or shall subject such shareholders to a lesser amount of tax.</w:t>
      </w:r>
    </w:p>
    <w:p>
      <w:pPr>
        <w:spacing w:after="0" w:line="147" w:lineRule="exact"/>
        <w:rPr>
          <w:sz w:val="20"/>
          <w:szCs w:val="20"/>
          <w:color w:val="auto"/>
        </w:rPr>
      </w:pPr>
    </w:p>
    <w:p>
      <w:pPr>
        <w:ind w:left="1260" w:hanging="630"/>
        <w:spacing w:after="0"/>
        <w:tabs>
          <w:tab w:leader="none" w:pos="1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 adjustment to the Exercise Price is made pursuant to this Section 2.3, the Corporation shall:</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prepare a certificate setting forth such adjustment and a brief statement of the facts accounting for such adjustment; and</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file with the Rights Agent and with each transfer agent for the Common Shares a copy of such certificate and mail a brief summary thereof to each holder of Rights who requests a copy;</w:t>
      </w:r>
    </w:p>
    <w:p>
      <w:pPr>
        <w:spacing w:after="0" w:line="1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Failure to file such certificate or to cause such notice to be given as aforesaid, or any defect therein, shall not affect the validity of any such adjustment or change.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6" w:name="page27"/>
    <w:bookmarkEnd w:id="26"/>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Date on Which Exercise Is Effective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Person in whose name any certificate for Common Shares or other securities, if applicable, is issued upon the exercise of Rights shall for all purposes be deemed to have become the absolute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shall be dated, the next succeeding Business Day on which the Common Share transfer books of the Corporation are open.</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Execution, Authentication, Delivery and Dating of Rights Certificates</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Certificates shall be executed on behalf of the Corporation by its Chair of the Board, Chief Executive Officer, President, Chief Financial Officer or any Vice-President and by its Corporate Secretary or any Assistant Secretary under the corporate seal of the Corporation reproduced thereon.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Corporation learns of the Separation Time, the Corporation will notify the Rights Agent of such Separation Time and will deliver Rights Certificates executed by the Corporation and disclosure statements describing the Rights to the Rights Agent for countersignature, and the Rights Agent shall countersign (manually or by facsimile signature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17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Rights Certificate shall be dated the date of countersignature thereof.</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Registration, Transfer and Exchange</w:t>
      </w:r>
    </w:p>
    <w:p>
      <w:pPr>
        <w:spacing w:after="0" w:line="222" w:lineRule="exact"/>
        <w:rPr>
          <w:sz w:val="20"/>
          <w:szCs w:val="20"/>
          <w:color w:val="auto"/>
        </w:rPr>
      </w:pPr>
    </w:p>
    <w:p>
      <w:pPr>
        <w:jc w:val="both"/>
        <w:ind w:left="1260" w:hanging="630"/>
        <w:spacing w:after="0" w:line="264"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the Corporation will cause to be kept a register (the “</w:t>
      </w:r>
      <w:r>
        <w:rPr>
          <w:rFonts w:ascii="Times New Roman" w:cs="Times New Roman" w:eastAsia="Times New Roman" w:hAnsi="Times New Roman"/>
          <w:sz w:val="17"/>
          <w:szCs w:val="17"/>
          <w:b w:val="1"/>
          <w:bCs w:val="1"/>
          <w:color w:val="auto"/>
        </w:rPr>
        <w:t>Rights Register</w:t>
      </w:r>
      <w:r>
        <w:rPr>
          <w:rFonts w:ascii="Times New Roman" w:cs="Times New Roman" w:eastAsia="Times New Roman" w:hAnsi="Times New Roman"/>
          <w:sz w:val="17"/>
          <w:szCs w:val="17"/>
          <w:color w:val="auto"/>
        </w:rPr>
        <w:t>”) in which, subject to such reasonable regulations as it may prescribe, the Corporation will provide for the registration and transfer of Rights. The Rights Agent, at its office in the City of Toronto, is hereby appointed registrar for the Rights (the “</w:t>
      </w:r>
      <w:r>
        <w:rPr>
          <w:rFonts w:ascii="Times New Roman" w:cs="Times New Roman" w:eastAsia="Times New Roman" w:hAnsi="Times New Roman"/>
          <w:sz w:val="17"/>
          <w:szCs w:val="17"/>
          <w:b w:val="1"/>
          <w:bCs w:val="1"/>
          <w:color w:val="auto"/>
        </w:rPr>
        <w:t>Rights Registrar</w:t>
      </w:r>
      <w:r>
        <w:rPr>
          <w:rFonts w:ascii="Times New Roman" w:cs="Times New Roman" w:eastAsia="Times New Roman" w:hAnsi="Times New Roman"/>
          <w:sz w:val="17"/>
          <w:szCs w:val="17"/>
          <w:color w:val="auto"/>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and prior to the Expiration Time, upon surrender for registration of transfer or exchange of any Rights Certificate, and subject to the provisions of Subsection 2.6(d),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1260" w:hanging="630"/>
        <w:spacing w:after="0" w:line="294" w:lineRule="auto"/>
        <w:tabs>
          <w:tab w:leader="none" w:pos="12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146"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Mutilated, Destroyed, Lost and Stolen Rights Certificates</w:t>
      </w:r>
    </w:p>
    <w:p>
      <w:pPr>
        <w:spacing w:after="0" w:line="224" w:lineRule="exact"/>
        <w:rPr>
          <w:sz w:val="20"/>
          <w:szCs w:val="20"/>
          <w:color w:val="auto"/>
        </w:rPr>
      </w:pPr>
    </w:p>
    <w:p>
      <w:pPr>
        <w:jc w:val="both"/>
        <w:ind w:left="1260" w:hanging="630"/>
        <w:spacing w:after="0" w:line="275" w:lineRule="auto"/>
        <w:tabs>
          <w:tab w:leader="none" w:pos="1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16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shall be delivered to the Corporation and the Rights Agent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to their reasonable satisfaction of the destruction, loss or theft of any Rights Certificate; and</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or indemnity as may be reasonably required by each of them in their sole discretion to save each of them and any of their agents harmless,</w:t>
      </w:r>
    </w:p>
    <w:p>
      <w:pPr>
        <w:spacing w:after="0" w:line="145" w:lineRule="exact"/>
        <w:rPr>
          <w:sz w:val="20"/>
          <w:szCs w:val="20"/>
          <w:color w:val="auto"/>
        </w:rPr>
      </w:pPr>
    </w:p>
    <w:p>
      <w:pPr>
        <w:jc w:val="both"/>
        <w:ind w:left="1260"/>
        <w:spacing w:after="0" w:line="273" w:lineRule="auto"/>
        <w:rPr>
          <w:sz w:val="20"/>
          <w:szCs w:val="20"/>
          <w:color w:val="auto"/>
        </w:rPr>
      </w:pPr>
      <w:r>
        <w:rPr>
          <w:rFonts w:ascii="Times New Roman" w:cs="Times New Roman" w:eastAsia="Times New Roman" w:hAnsi="Times New Roman"/>
          <w:sz w:val="17"/>
          <w:szCs w:val="17"/>
          <w:color w:val="auto"/>
        </w:rPr>
        <w:t xml:space="preserve">then, in the absence of notice to the Corporation or the Rights Agent that such Rights Certificate has been acquired by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378" w:lineRule="exact"/>
        <w:rPr>
          <w:sz w:val="20"/>
          <w:szCs w:val="20"/>
          <w:color w:val="auto"/>
        </w:rPr>
      </w:pPr>
    </w:p>
    <w:p>
      <w:pPr>
        <w:jc w:val="both"/>
        <w:ind w:left="1260" w:hanging="630"/>
        <w:spacing w:after="0" w:line="275" w:lineRule="auto"/>
        <w:tabs>
          <w:tab w:leader="none" w:pos="1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72" w:lineRule="auto"/>
        <w:tabs>
          <w:tab w:leader="none" w:pos="1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3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Persons Deemed Owners of Rights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Delivery and Cancellation of Certificates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destroy all cancelled Rights Certificates and, upon request of the Corporation, deliver a certificate of destruction to the Corporation.</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Agreement of Rights 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Every holder of Rights, by accepting the same, consents and agrees with the Corporation and the Rights Agent and with every other holder of Rights:</w:t>
      </w:r>
    </w:p>
    <w:p>
      <w:pPr>
        <w:spacing w:after="0" w:line="222" w:lineRule="exact"/>
        <w:rPr>
          <w:sz w:val="20"/>
          <w:szCs w:val="20"/>
          <w:color w:val="auto"/>
        </w:rPr>
      </w:pPr>
    </w:p>
    <w:p>
      <w:pPr>
        <w:ind w:left="1260" w:hanging="630"/>
        <w:spacing w:after="0" w:line="294"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bound by and subject to the provisions of this Agreement, as amended from time to time in accordance with the terms hereof, in respect of all Rights held;</w:t>
      </w:r>
    </w:p>
    <w:p>
      <w:pPr>
        <w:spacing w:after="0" w:line="146"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the Separation Time, each Right will be transferable only together with, and will be transferred by a transfer of, the associated Voting Share certificate representing such Right;</w:t>
      </w:r>
    </w:p>
    <w:p>
      <w:pPr>
        <w:spacing w:after="0" w:line="14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after the Separation Time, the Rights Certificates will be transferable only on the Rights Register as provided herein;</w:t>
      </w:r>
    </w:p>
    <w:p>
      <w:pPr>
        <w:spacing w:after="0" w:line="221"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due presentment of a Rights Certificate (or, prior to the Separation Time, the associated Voting Share certificate) for registration of transfer, the Corporation, the Rights Agent and any agent of the Corporation or the Rights Agent may deem and treat the Person in whose name the Rights Certificate (or, prior to the Separation Time, the associated Voting Share certificate)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spacing w:after="0" w:line="175"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such holder of Rights has waived his right to receive any fractional Rights or any fractional shares or other securities upon exercise of a Right (except as provided herein);</w:t>
      </w:r>
    </w:p>
    <w:p>
      <w:pPr>
        <w:spacing w:after="0" w:line="146"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subject to the provisions of Section 5.4, without the approval of any holder of Rights or Voting Shares and upon the sole authority of the Board of Directors, acting in good faith, this Agreement may be supplemented or amended from time to time pursuant to and as provided herein; and</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notwithstanding anything in this Agreement to the contrary, neither the Corporation nor the Rights Agent shall have any liability to any holder of a Right or any other Person as a result of its inability to perform any of its obligations under this Agreement by reason of preliminary or permanent injunctions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Rights Certificate Holder Not Deemed a Shareholder</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ADJUSTMENTS TO THE RIGHTS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Flip-in Event</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3.1(b) and Section 5.1, in the event that prior to the Expiration Time a Flip-in Event shall occur, each Right shall constitute, effective at the close of business on the tenth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175"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upon the occurrence of any Flip-in Event, any Rights that are or were Beneficially Owned on or after the earlier of the Separation Time or the Stock Acquisition Date by:</w:t>
      </w:r>
    </w:p>
    <w:p>
      <w:pPr>
        <w:spacing w:after="0" w:line="146"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Acquiring Person (or any Affiliate or Associate of an Acquiring Person or any other Person acting jointly or in concert with an Acquiring Person or any Affiliate or Associate of such other Person); or</w:t>
      </w:r>
    </w:p>
    <w:p>
      <w:pPr>
        <w:spacing w:after="0" w:line="144" w:lineRule="exact"/>
        <w:rPr>
          <w:rFonts w:ascii="Times New Roman" w:cs="Times New Roman" w:eastAsia="Times New Roman" w:hAnsi="Times New Roman"/>
          <w:sz w:val="17"/>
          <w:szCs w:val="17"/>
          <w:color w:val="auto"/>
        </w:rPr>
      </w:pPr>
    </w:p>
    <w:p>
      <w:pPr>
        <w:jc w:val="both"/>
        <w:ind w:left="1880" w:hanging="624"/>
        <w:spacing w:after="0" w:line="264" w:lineRule="auto"/>
        <w:tabs>
          <w:tab w:leader="none" w:pos="188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transferee or other successor in title, directly or indirectly, (a “</w:t>
      </w:r>
      <w:r>
        <w:rPr>
          <w:rFonts w:ascii="Times New Roman" w:cs="Times New Roman" w:eastAsia="Times New Roman" w:hAnsi="Times New Roman"/>
          <w:sz w:val="17"/>
          <w:szCs w:val="17"/>
          <w:b w:val="1"/>
          <w:bCs w:val="1"/>
          <w:color w:val="auto"/>
        </w:rPr>
        <w:t>Transferee</w:t>
      </w:r>
      <w:r>
        <w:rPr>
          <w:rFonts w:ascii="Times New Roman" w:cs="Times New Roman" w:eastAsia="Times New Roman" w:hAnsi="Times New Roman"/>
          <w:sz w:val="17"/>
          <w:szCs w:val="17"/>
          <w:color w:val="auto"/>
        </w:rPr>
        <w:t>”) of Rights held by an Acquiring Person (or any Affiliate or Associate of an Acquiring Person or any other Person acting jointly or in concert with an Acquiring Person or any Affiliate or Associate of such other Person), where such Transferee becomes a transferee concurrently with or subsequent to the Acquiring Person becoming such in a transfer that the Board of Directors acting in good faith has determined is part of a plan, arrangement or scheme of an Acquiring Person (or any Affiliate or Associate of an Acquiring Person or any other Person acting jointly or in concert with an Acquiring Person or any Affiliate or Associate of such other Person), that has the purpose or effect of avoiding Subsection 3.1(b)(i),</w:t>
      </w:r>
    </w:p>
    <w:p>
      <w:pPr>
        <w:spacing w:after="0" w:line="172" w:lineRule="exact"/>
        <w:rPr>
          <w:sz w:val="20"/>
          <w:szCs w:val="20"/>
          <w:color w:val="auto"/>
        </w:rPr>
      </w:pPr>
    </w:p>
    <w:p>
      <w:pPr>
        <w:jc w:val="both"/>
        <w:ind w:left="1260"/>
        <w:spacing w:after="0" w:line="263" w:lineRule="auto"/>
        <w:rPr>
          <w:sz w:val="20"/>
          <w:szCs w:val="20"/>
          <w:color w:val="auto"/>
        </w:rPr>
      </w:pPr>
      <w:r>
        <w:rPr>
          <w:rFonts w:ascii="Times New Roman" w:cs="Times New Roman" w:eastAsia="Times New Roman" w:hAnsi="Times New Roman"/>
          <w:sz w:val="17"/>
          <w:szCs w:val="17"/>
          <w:color w:val="auto"/>
        </w:rPr>
        <w:t>shall become null and void without any further action, and any holder of such Rights (including any Transferee) shall thereafter have no right to exercise such Rights under any provision of this Agreement and further shall thereafter not have any other rights whatsoever with respect to such Rights, whether under any provision of this Agreement or otherwise. The holder of any Rights represented by a Rights Certificate which is submitted to the Rights Agent upon exercise or for registration or transfer or exchange which does not contain the necessary certifications set forth in the Rights Certificate establishing that such Rights are not null and void under this Subsection 3.1(b) shall be deemed to be an Acquiring Person for the purposes of this Subsection 3.1 and such Rights shall become null and void.</w:t>
      </w:r>
    </w:p>
    <w:p>
      <w:pPr>
        <w:spacing w:after="0" w:line="175" w:lineRule="exact"/>
        <w:rPr>
          <w:sz w:val="20"/>
          <w:szCs w:val="20"/>
          <w:color w:val="auto"/>
        </w:rPr>
      </w:pPr>
    </w:p>
    <w:p>
      <w:pPr>
        <w:jc w:val="both"/>
        <w:ind w:left="1260" w:hanging="630"/>
        <w:spacing w:after="0" w:line="263" w:lineRule="auto"/>
        <w:tabs>
          <w:tab w:leader="none" w:pos="12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OBCA, the Securities Act and the other applicable securities laws or comparable legislation of each of the provinces and territories of Canada and in any other jurisdiction where the Corporation is subject to such laws and the rules of the stock exchanges or quotation systems where the Common Shares are listed or quoted at such time in respect of the issue of Common Shares upon the exercise of Rights in accordance with this Agreement.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jc w:val="both"/>
        <w:ind w:left="1260" w:hanging="630"/>
        <w:spacing w:after="0" w:line="275" w:lineRule="auto"/>
        <w:tabs>
          <w:tab w:leader="none" w:pos="12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Certificate that represents Rights Beneficially Owned by a Person described in either Subsection 3.1(b)(i) or (ii) or transferred to any Nominee of any such Person, and any Rights Certificate issued upon transfer, exchange, replacement or adjustment of any other Rights Certificate referred to in this sentence, shall contain or will be deemed to contain the following legend:</w:t>
      </w:r>
    </w:p>
    <w:p>
      <w:pPr>
        <w:spacing w:after="0" w:line="163" w:lineRule="exact"/>
        <w:rPr>
          <w:sz w:val="20"/>
          <w:szCs w:val="20"/>
          <w:color w:val="auto"/>
        </w:rPr>
      </w:pPr>
    </w:p>
    <w:p>
      <w:pPr>
        <w:jc w:val="both"/>
        <w:ind w:left="1560"/>
        <w:spacing w:after="0" w:line="268" w:lineRule="auto"/>
        <w:rPr>
          <w:sz w:val="20"/>
          <w:szCs w:val="20"/>
          <w:color w:val="auto"/>
        </w:rPr>
      </w:pPr>
      <w:r>
        <w:rPr>
          <w:rFonts w:ascii="Times New Roman" w:cs="Times New Roman" w:eastAsia="Times New Roman" w:hAnsi="Times New Roman"/>
          <w:sz w:val="17"/>
          <w:szCs w:val="17"/>
          <w:color w:val="auto"/>
        </w:rPr>
        <w:t>The Rights represented by this Rights Certificate were issued to a Person who was an Acquiring Person or an Affiliate or an Associate of an Acquiring Person (as such terms are defined in the Shareholder Rights Agreement) or a Person who was acting jointly or in concert with an Acquiring Person or an Affiliate or Associate of such Person. This Rights Certificate and the Rights represented hereby are void or shall become void in the circumstances specified in Subsection 3.1(b) of the Shareholder Rights Agreement.</w:t>
      </w:r>
    </w:p>
    <w:p>
      <w:pPr>
        <w:spacing w:after="0" w:line="170" w:lineRule="exact"/>
        <w:rPr>
          <w:sz w:val="20"/>
          <w:szCs w:val="20"/>
          <w:color w:val="auto"/>
        </w:rPr>
      </w:pPr>
    </w:p>
    <w:p>
      <w:pPr>
        <w:jc w:val="both"/>
        <w:ind w:left="1260"/>
        <w:spacing w:after="0" w:line="267" w:lineRule="auto"/>
        <w:rPr>
          <w:sz w:val="20"/>
          <w:szCs w:val="20"/>
          <w:color w:val="auto"/>
        </w:rPr>
      </w:pPr>
      <w:r>
        <w:rPr>
          <w:rFonts w:ascii="Times New Roman" w:cs="Times New Roman" w:eastAsia="Times New Roman" w:hAnsi="Times New Roman"/>
          <w:sz w:val="17"/>
          <w:szCs w:val="17"/>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and provided further that the fact that such legend does not appear on a certificate is not determinative of whether any Rights represented thereby are void under this Section.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RIGHTS AGENT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24" w:lineRule="exact"/>
        <w:rPr>
          <w:sz w:val="20"/>
          <w:szCs w:val="20"/>
          <w:color w:val="auto"/>
        </w:rPr>
      </w:pPr>
    </w:p>
    <w:p>
      <w:pPr>
        <w:jc w:val="both"/>
        <w:ind w:left="1260" w:hanging="630"/>
        <w:spacing w:after="0" w:line="259" w:lineRule="auto"/>
        <w:tabs>
          <w:tab w:leader="none" w:pos="1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cs="Times New Roman" w:eastAsia="Times New Roman" w:hAnsi="Times New Roman"/>
          <w:sz w:val="17"/>
          <w:szCs w:val="17"/>
          <w:b w:val="1"/>
          <w:bCs w:val="1"/>
          <w:color w:val="auto"/>
        </w:rPr>
        <w:t>Co-Rights Agents</w:t>
      </w:r>
      <w:r>
        <w:rPr>
          <w:rFonts w:ascii="Times New Roman" w:cs="Times New Roman" w:eastAsia="Times New Roman" w:hAnsi="Times New Roman"/>
          <w:sz w:val="17"/>
          <w:szCs w:val="17"/>
          <w:color w:val="auto"/>
        </w:rPr>
        <w:t>”) as it may deem necessary or desirable.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reasonable expenses and counsel fees and other disbursements reasonably incurred in the administration and execution of this Agreement and the exercise and performance of its duties hereunder (including the fees and disbursements of any expert or advisor retained by the Rights Agent pursuant to Section 4.3(a)). The Corporation also agrees to indemnify the Rights Agent, and its officers, directors, employees, affiliates and agents for, and to hold it and them harmless against, any loss, liability or expense, incurred without gross negligence, bad faith or wilful misconduct on the part of the Rights Agent or such persons, for anything done or omitted by the Rights Agent or such persons in connection with the acceptance and administration of this Agreement, including legal costs and expenses, which right to indemnification will survive the termination of this Agreement and the resignation or removal of the Rights Agent. Any liability of the Rights Agent will be limited in the aggregate to an amount equal to the annual fee paid by the Corporation pursuant to this Agreement.</w:t>
      </w:r>
    </w:p>
    <w:p>
      <w:pPr>
        <w:spacing w:after="0" w:line="386"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Merger, Amalgamation or Consolidation or Change of Name of Rights Agent</w:t>
      </w:r>
    </w:p>
    <w:p>
      <w:pPr>
        <w:spacing w:after="0" w:line="224" w:lineRule="exact"/>
        <w:rPr>
          <w:sz w:val="20"/>
          <w:szCs w:val="20"/>
          <w:color w:val="auto"/>
        </w:rPr>
      </w:pPr>
    </w:p>
    <w:p>
      <w:pPr>
        <w:jc w:val="both"/>
        <w:ind w:left="1260" w:hanging="630"/>
        <w:spacing w:after="0" w:line="260" w:lineRule="auto"/>
        <w:tabs>
          <w:tab w:leader="none" w:pos="12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177"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Duties of Rights Agent</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147" w:lineRule="exact"/>
        <w:rPr>
          <w:sz w:val="20"/>
          <w:szCs w:val="20"/>
          <w:color w:val="auto"/>
        </w:rPr>
      </w:pPr>
    </w:p>
    <w:p>
      <w:pPr>
        <w:jc w:val="both"/>
        <w:ind w:left="1260" w:hanging="630"/>
        <w:spacing w:after="0" w:line="265" w:lineRule="auto"/>
        <w:tabs>
          <w:tab w:leader="none" w:pos="12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may retain and consult with legal counsel (who may be legal counsel for the Corporation) and the opinion of such counsel will be full and complete authorization and protection to the Rights Agent as to any action taken or omitted by it in good faith and in accordance with such opinion and the Rights Agent may also consult with such other experts as the Rights Agent may reasonably consider necessary or appropriate to properly carry out the duties and obligations imposed under this Agreement (at the expense of the Corporation) and the Rights Agent shall be entitled to act and rely in good faith on the advice of any such expert;</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 of the Board, Chief Executive Officer, President, Chief Financial Officer,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2" w:name="page33"/>
    <w:bookmarkEnd w:id="32"/>
    <w:p>
      <w:pPr>
        <w:ind w:left="630" w:hanging="630"/>
        <w:spacing w:after="0"/>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be liable hereunder only for its own gross negligence, bad faith or wilful misconduct;</w:t>
      </w:r>
    </w:p>
    <w:p>
      <w:pPr>
        <w:spacing w:after="0" w:line="221" w:lineRule="exact"/>
        <w:rPr>
          <w:rFonts w:ascii="Times New Roman" w:cs="Times New Roman" w:eastAsia="Times New Roman" w:hAnsi="Times New Roman"/>
          <w:sz w:val="17"/>
          <w:szCs w:val="17"/>
          <w:color w:val="auto"/>
        </w:rPr>
      </w:pPr>
    </w:p>
    <w:p>
      <w:pPr>
        <w:jc w:val="both"/>
        <w:ind w:left="630" w:hanging="630"/>
        <w:spacing w:after="0" w:line="267"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 (except the due certification thereof)), or be required to verify the same, but all such statements and recitals are and will be deemed to have been made by the Corporation only;</w:t>
      </w:r>
    </w:p>
    <w:p>
      <w:pPr>
        <w:spacing w:after="0" w:line="381" w:lineRule="exact"/>
        <w:rPr>
          <w:rFonts w:ascii="Times New Roman" w:cs="Times New Roman" w:eastAsia="Times New Roman" w:hAnsi="Times New Roman"/>
          <w:sz w:val="17"/>
          <w:szCs w:val="17"/>
          <w:color w:val="auto"/>
        </w:rPr>
      </w:pPr>
    </w:p>
    <w:p>
      <w:pPr>
        <w:jc w:val="both"/>
        <w:ind w:left="630" w:hanging="630"/>
        <w:spacing w:after="0" w:line="259"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which countersignature shall not be construed as a representation or warranty by the Rights Agent as to the validity of this Agreement or the Rights Certificate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180" w:lineRule="exact"/>
        <w:rPr>
          <w:rFonts w:ascii="Times New Roman" w:cs="Times New Roman" w:eastAsia="Times New Roman" w:hAnsi="Times New Roman"/>
          <w:sz w:val="17"/>
          <w:szCs w:val="17"/>
          <w:color w:val="auto"/>
        </w:rPr>
      </w:pPr>
    </w:p>
    <w:p>
      <w:pPr>
        <w:jc w:val="both"/>
        <w:ind w:left="630" w:hanging="630"/>
        <w:spacing w:after="0" w:line="275"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62" w:lineRule="exact"/>
        <w:rPr>
          <w:rFonts w:ascii="Times New Roman" w:cs="Times New Roman" w:eastAsia="Times New Roman" w:hAnsi="Times New Roman"/>
          <w:sz w:val="17"/>
          <w:szCs w:val="17"/>
          <w:color w:val="auto"/>
        </w:rPr>
      </w:pPr>
    </w:p>
    <w:p>
      <w:pPr>
        <w:jc w:val="both"/>
        <w:ind w:left="630" w:hanging="630"/>
        <w:spacing w:after="0" w:line="262"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is hereby authorized and directed to accept instructions in writing with respect to the performance of its duties hereunder from any individual believed by the Rights Agent to be the Chair of the Board, President, Chief Executive Officer, Chief Financial Officer,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and, where not in writing, such instructions shall be confirmed in writing as soon as practicable after the giving of such instructions;</w:t>
      </w:r>
    </w:p>
    <w:p>
      <w:pPr>
        <w:spacing w:after="0" w:line="175"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169"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ensure or verify compliance with any applicable laws or regulatory requirements on the issue, exercise or transfer of any Rights or Common Shares issuable upon the exercise thereof. The Rights Agent shall be entitled to process all transfers and exercises of Rights upon the presumption that such transfers or exercises are permissible pursuant to all applicable laws and regulatory requirements;</w:t>
      </w:r>
    </w:p>
    <w:p>
      <w:pPr>
        <w:spacing w:after="0" w:line="169" w:lineRule="exact"/>
        <w:rPr>
          <w:rFonts w:ascii="Times New Roman" w:cs="Times New Roman" w:eastAsia="Times New Roman" w:hAnsi="Times New Roman"/>
          <w:sz w:val="17"/>
          <w:szCs w:val="17"/>
          <w:color w:val="auto"/>
        </w:rPr>
      </w:pPr>
    </w:p>
    <w:p>
      <w:pPr>
        <w:ind w:left="630" w:hanging="630"/>
        <w:spacing w:after="0" w:line="294"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ensure that the legends appearing on the Rights Certificates or Common Shares comply with regulatory requirements or securities laws of any applicable jurisdiction; and</w:t>
      </w:r>
    </w:p>
    <w:p>
      <w:pPr>
        <w:spacing w:after="0" w:line="146"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spacing w:after="0" w:line="379"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33" w:name="page34"/>
    <w:bookmarkEnd w:id="33"/>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Change of Rights Agent</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and to the holders of Rights in accordance with Section 5.9. The Corporation may remove the Rights Agent upon 30 days’ notice in writing, mailed to the Rights Agent and to each transfer agent of the Common Shares by registered or certified mail and to the holders of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(at the Corporation’s expense) or the holder of any Rights (which holder shall, with such notice, submit such holder’s Rights Certificate, if any, for inspection by the Corporation), may apply, at the Corporation’s expense, to any court of competent jurisdiction for the appointment of a new Rights Agent. Any successor Rights Agent, whether appointed by the Corporation or by such a court, shall be a corporation incorporated under the laws of Canada or a province thereof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shall, upon payment in full of any outstanding amounts owing by the Corporation to the Rights Agent under this Agreement,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Compliance with Anti-Money Laundering Legislation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Rights Agent shall retain the right not to act and shall not be liable for refusing to act if, due to a lack of information or for any other reason, the Rights Agent reasonably determines that such an act might cause it to be in non-compliance with any applicable anti-money laundering, anti-terrorist or economics sanctions legislation, regulation or guideline. Further, should the Rights Agent reasonably determine at any time that its acting under this Agreement has resulted in it being in non-compliance with any applicable anti-money laundering, anti-terrorist or economics sanctions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3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Privacy Legislation</w:t>
      </w:r>
    </w:p>
    <w:p>
      <w:pPr>
        <w:spacing w:after="0" w:line="222" w:lineRule="exact"/>
        <w:rPr>
          <w:sz w:val="20"/>
          <w:szCs w:val="20"/>
          <w:color w:val="auto"/>
        </w:rPr>
      </w:pPr>
    </w:p>
    <w:p>
      <w:pPr>
        <w:jc w:val="both"/>
        <w:ind w:firstLine="7"/>
        <w:spacing w:after="0" w:line="264" w:lineRule="auto"/>
        <w:rPr>
          <w:sz w:val="20"/>
          <w:szCs w:val="20"/>
          <w:color w:val="auto"/>
        </w:rPr>
      </w:pPr>
      <w:r>
        <w:rPr>
          <w:rFonts w:ascii="Times New Roman" w:cs="Times New Roman" w:eastAsia="Times New Roman" w:hAnsi="Times New Roman"/>
          <w:sz w:val="17"/>
          <w:szCs w:val="17"/>
          <w:color w:val="auto"/>
        </w:rPr>
        <w:t>The parties acknowledge that federal and/or provincial legislation that addresses the protection of individual’s personal information (collectively,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applies to obligations and activities under this Agreement. Despite any other provision of this Agreement, neither party will take or direct any action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4.7</w:t>
      </w:r>
      <w:r>
        <w:rPr>
          <w:sz w:val="20"/>
          <w:szCs w:val="20"/>
          <w:color w:val="auto"/>
        </w:rPr>
        <w:tab/>
      </w:r>
      <w:r>
        <w:rPr>
          <w:rFonts w:ascii="Times New Roman" w:cs="Times New Roman" w:eastAsia="Times New Roman" w:hAnsi="Times New Roman"/>
          <w:sz w:val="16"/>
          <w:szCs w:val="16"/>
          <w:b w:val="1"/>
          <w:bCs w:val="1"/>
          <w:color w:val="auto"/>
        </w:rPr>
        <w:t>Liability</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Redemption and Waiver</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with the prior approval of the holders of Voting Shares or of the holders of Rights given in accordance with Section 5.1(i) or (j), as the case may be, at any time prior to the occurrence of a Flip-in Event as to which the application of Section 3.1 has not been waived pursuant to the provisions of this Section 5.1, elect to redeem all but not less than all of the then outstanding Rights at a redemption price of $0.00001 per Right appropriately adjusted in a manner analogous to the applicable adjustment provided for in Section 2.3 in the event that an event of the type analogous to any of the events described in Section 2.3 shall have occurred (such redemption price being herein referred to as the “</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2"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with the prior approval of the holders of Voting Shares given in accordance with Section 5.1(i), determine, at any time prior to the occurrence of a Flip-in Event as to which the application of Section 3.1 has not been waived pursuant to this Section 5.1, if such Flip-in Event would occur by reason of an acquisition of Voting Shares otherwise than pursuant to a Take-over Bid made by means of a take-over bid circular to all holders of record of Voting Shares and otherwise than in the circumstances set forth in Subsection 5.1(d), to waive the application of Section 3.1 to such Flip-in Event. In the event that the Board of Directors proposes such a waiver, the Board of Directors shall extend the Separation Time to a date subsequent to and not more than ten Business Days following the meeting of shareholders called to approve such waiver.</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2"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until the occurrence of a Flip-in Event upon prior written notice delivered to the Rights Agent, determine to waive the application of Section 3.1 to such particular Flip-in Event provided that the Flip-in Event would occur by reason of a Take-over Bid made by way of take-over bid circular sent to all holders of Voting Shares (which for greater certainty shall not include the circumstances described in Subsection 5.1(d)); provided that if the Board of Directors waives the application of Section 3.1 to a particular Flip-in Event pursuant to this Subsection 5.1(c), the Board of Directors shall be deemed to have waived the application of Section 3.1 to any other Flip-in Event subsequently occurring by reason of any Take-over Bid which is made by means of a take-over bid circular to all holders of Voting Shares prior to the expiry of any Take-over Bid in respect of which a waiver is, or is deemed to have been, granted under this Subsection 5.1(c).</w:t>
      </w:r>
    </w:p>
    <w:p>
      <w:pPr>
        <w:spacing w:after="0" w:line="383" w:lineRule="exact"/>
        <w:rPr>
          <w:rFonts w:ascii="Times New Roman" w:cs="Times New Roman" w:eastAsia="Times New Roman" w:hAnsi="Times New Roman"/>
          <w:sz w:val="17"/>
          <w:szCs w:val="17"/>
          <w:color w:val="auto"/>
        </w:rPr>
      </w:pPr>
    </w:p>
    <w:p>
      <w:pPr>
        <w:jc w:val="both"/>
        <w:ind w:left="1260" w:hanging="630"/>
        <w:spacing w:after="0" w:line="260"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Subsections 5.1(b) and (c) hereof, upon written notice to the Rights Agent, the Board of Directors may waive the application of Section 3.1 in respect of the occurrence of any Flip-in Event if the Board of Directors has determined within ten Trading Days following a Stock Acquisition Date that a Person became an Acquiring Person by inadvertence and without any intention to become, or knowledge that it would become, an Acquiring Person under this Agreement, and in the event such waiver is granted by the Board of Directors, such Stock Acquisition Date shall be deemed not to have occurred. Any such waiver pursuant to this Subsection 5.1(d) must be on the condition that such Person, within 14 days after the foregoing determination by the Board of Directors or such earlier or later date as the Board of Directors may determine (the “</w:t>
      </w:r>
      <w:r>
        <w:rPr>
          <w:rFonts w:ascii="Times New Roman" w:cs="Times New Roman" w:eastAsia="Times New Roman" w:hAnsi="Times New Roman"/>
          <w:sz w:val="17"/>
          <w:szCs w:val="17"/>
          <w:b w:val="1"/>
          <w:bCs w:val="1"/>
          <w:color w:val="auto"/>
        </w:rPr>
        <w:t>Disposition Date</w:t>
      </w:r>
      <w:r>
        <w:rPr>
          <w:rFonts w:ascii="Times New Roman" w:cs="Times New Roman" w:eastAsia="Times New Roman" w:hAnsi="Times New Roman"/>
          <w:sz w:val="17"/>
          <w:szCs w:val="17"/>
          <w:color w:val="auto"/>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without further formality, be deemed to have elected to redeem the Rights at the Redemption Price on the date that a Person which has made a Permitted Bid, a Competing Permitted Bid or a Take-over Bid in respect of which the Board of Directors has waived, or is deemed to have waived, pursuant to Subsection 5.1(c) the application of Section 3.1, takes up and pays for Voting Shares in connection with such Permitted Bid, Competing Permitted Bid or Take-over bid, as the case may be.</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Take-over Bid that is not a Permitted Bid is withdrawn or otherwise terminated after the Separation Time has occurred and prior to the occurrence of a Flip-in Event, the Board of Directors may elect to redeem all the outstanding Rights at the Redemption Price. Upon the Rights being redeemed pursuant to this Subsection 5.1(f),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 and the Corporation shall be deemed to have issued replacement Rights to the holders of its then outstanding Common Shares.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p>
      <w:pPr>
        <w:jc w:val="both"/>
        <w:ind w:left="1260" w:hanging="630"/>
        <w:spacing w:after="0" w:line="268"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Board of Directors elects or is deemed to have elected to redeem the Rights, and, in circumstances in which Subsection 5.1(a) is applicable, such redemption is approved by the holders of Voting Shares or the holders of Rights in accordance with Subsection 5.1(i) or (j), as the case may be, the right to exercise the Rights, will thereupon, without further action and without notice, terminate and the only right thereafter of the holders of Rights shall be to receive the Redemption Price.</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Business Days after the Board of Directors elects or is deemed to elect to redeem the Rights or if Subsection 5.1(a) is applicable within ten Business Days after the holders of Common Shares or the holders of Rights have approved a redemption of Rights in accordance with Section 5.1(i) or (j), as the case may be,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 The Corporation may not redeem, acquire or purchase for value any Rights at any time in any manner other than specifically set forth in this Section 5.1 or in connection with the purchase of Common Shares prior to the Separation Time.</w:t>
      </w:r>
    </w:p>
    <w:p>
      <w:pPr>
        <w:spacing w:after="0" w:line="176" w:lineRule="exact"/>
        <w:rPr>
          <w:rFonts w:ascii="Times New Roman" w:cs="Times New Roman" w:eastAsia="Times New Roman" w:hAnsi="Times New Roman"/>
          <w:sz w:val="17"/>
          <w:szCs w:val="17"/>
          <w:color w:val="auto"/>
        </w:rPr>
      </w:pPr>
    </w:p>
    <w:p>
      <w:pPr>
        <w:jc w:val="both"/>
        <w:ind w:left="1260" w:hanging="630"/>
        <w:spacing w:after="0" w:line="267"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redemption of Rights pursuant to Subsection 5.1(a) or a waiver of a Flip-in Event pursuant to Section 5.1(b) is proposed at any time prior to the Separation Time, such redemption or waiver shall be submitted for approval to the holders of Voting Shares. Such approval shall be deemed to have been given if the redemption or waiver is approved by the affirmative vote of a majority of the votes cast by Independent Shareholders represented in person or by proxy at a meeting of such holders duly held in accordance with applicable laws and the Corporation’s by-laws.</w:t>
      </w:r>
    </w:p>
    <w:p>
      <w:pPr>
        <w:spacing w:after="0" w:line="381"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redemption of Rights pursuant to Subsection 5.1(a) is proposed at any time after the Separation Time, such redemption shall be submitted for approval to the holders of Rights. Such approval shall be deemed to have been given if the redemption is approved by holders of Rights by a majority of the votes cast by the holders of Rights represented in person or by proxy at and entitled to vote at a meeting of such holders. For the purposes hereof, each outstanding Right (other than Rights which are Beneficially Owned by any Person referred to in Subsections (i) to</w:t>
      </w:r>
    </w:p>
    <w:p>
      <w:pPr>
        <w:spacing w:after="0" w:line="2" w:lineRule="exact"/>
        <w:rPr>
          <w:rFonts w:ascii="Times New Roman" w:cs="Times New Roman" w:eastAsia="Times New Roman" w:hAnsi="Times New Roman"/>
          <w:sz w:val="17"/>
          <w:szCs w:val="17"/>
          <w:color w:val="auto"/>
        </w:rPr>
      </w:pPr>
    </w:p>
    <w:p>
      <w:pPr>
        <w:jc w:val="both"/>
        <w:ind w:left="1260" w:hanging="4"/>
        <w:spacing w:after="0" w:line="264" w:lineRule="auto"/>
        <w:tabs>
          <w:tab w:leader="none" w:pos="153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inclusive of the definition of Independent Shareholders)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71"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obligated to make a payment of the Redemption Price to any holder of Rights unless such holder is entitled to receive at least $10 in respect of all of the Rights held by such holder.</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No Person shall have any rights whatsoever pursuant to this Agreement or in respect of any Right after the Expiration Time, except the Rights Agent as specified in Section 4.1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Issuance of New Rights Certificates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Supplements and Amendments</w:t>
      </w:r>
    </w:p>
    <w:p>
      <w:pPr>
        <w:spacing w:after="0" w:line="224" w:lineRule="exact"/>
        <w:rPr>
          <w:sz w:val="20"/>
          <w:szCs w:val="20"/>
          <w:color w:val="auto"/>
        </w:rPr>
      </w:pPr>
    </w:p>
    <w:p>
      <w:pPr>
        <w:ind w:left="1260" w:hanging="630"/>
        <w:spacing w:after="0"/>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without the prior approval of the holders of Voting Shares or Rights, make amendments to this Agreement:</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correct any clerical or typographical error;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ind w:left="1880" w:hanging="624"/>
        <w:spacing w:after="0" w:line="294" w:lineRule="auto"/>
        <w:tabs>
          <w:tab w:leader="none" w:pos="18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required to maintain the validity of this Agreement as a result of any change in any applicable legislation or regulations or rules thereunder; or</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to correct or supplement any provision herein which may be defective or inconsistent with any other provision herein, or to make any other provisions with respect to matters or questions arising under this Agreement, provided that such action pursuant to this paragraph (iii) shall not adversely affect the interests of the holders of Voting Shares or Rights in any material respect.</w:t>
      </w:r>
    </w:p>
    <w:p>
      <w:pPr>
        <w:spacing w:after="0" w:line="163"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Notwithstanding anything in this Section 5.4 to the contrary, no such supplement or amendment shall be made to the provisions of Article 4 except with the written concurrence of the Rights Agent to such supplement or amendment.</w:t>
      </w:r>
    </w:p>
    <w:p>
      <w:pPr>
        <w:spacing w:after="0" w:line="147" w:lineRule="exact"/>
        <w:rPr>
          <w:sz w:val="20"/>
          <w:szCs w:val="20"/>
          <w:color w:val="auto"/>
        </w:rPr>
      </w:pPr>
    </w:p>
    <w:p>
      <w:pPr>
        <w:jc w:val="both"/>
        <w:ind w:left="1260" w:hanging="630"/>
        <w:spacing w:after="0" w:line="263" w:lineRule="auto"/>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5.4(a), the Corporation may, with the prior approval of the holders of Voting Shares, at any time before the Separation Time, supplement, amend, vary, rescind or delete any of the provisions of this Agreement and the Rights (whether or not such action would materially adversely affect the interests of the holders of Rights generally). Any approval of the holders of Voting Shares shall be deemed to have been given if the action requiring such approval is authorized by the affirmative vote of a majority of the votes cast by Independent Shareholders present or represented at and entitled to be voted at a meeting of the holders of Voting Shares duly called and held in compliance with applicable laws and the articles and by-laws of the Corporation.</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5.4(a), the Corporation may, with the prior approval of the holders of Rights, at any time on or after the Separation Time, supplement, amend, vary, rescind or delete any of the provisions of this Agreement and the Rights (whether or not such action would materially adversely affect the interests of the holders of Rights generally).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7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amendments made by the Corporation to this Agreement pursuant to Subsection 5.4(a)(ii) shall:</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before the Separation Time, be submitted to the shareholders of the Corporation at the next meeting of shareholders and the shareholders may, by the majority referred to in Subsection 5.4(b), confirm or reject such amendment;</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5.4(c), confirm or reject such amendment.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(or any adjournment of such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spacing w:after="0" w:line="175" w:lineRule="exact"/>
        <w:rPr>
          <w:sz w:val="20"/>
          <w:szCs w:val="20"/>
          <w:color w:val="auto"/>
        </w:rPr>
      </w:pPr>
    </w:p>
    <w:p>
      <w:pPr>
        <w:jc w:val="both"/>
        <w:ind w:left="1260" w:hanging="630"/>
        <w:spacing w:after="0" w:line="268" w:lineRule="auto"/>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give notice in writing to the Rights Agent of any supplement, amendment, deletion, variation or rescission to this Agreement pursuant to this Section 5.4 within five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supplement to this Agreement shall be subject to the receipt of any requisite approvals or consent from any applicable regulatory authority including, without limitation, any necessary approvals of any stock exchange on which the Common Shares are listed for trading.</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Fractional Rights and Fractional Shares</w:t>
      </w:r>
    </w:p>
    <w:p>
      <w:pPr>
        <w:spacing w:after="0" w:line="224" w:lineRule="exact"/>
        <w:rPr>
          <w:sz w:val="20"/>
          <w:szCs w:val="20"/>
          <w:color w:val="auto"/>
        </w:rPr>
      </w:pPr>
    </w:p>
    <w:p>
      <w:pPr>
        <w:jc w:val="both"/>
        <w:ind w:left="1260" w:hanging="630"/>
        <w:spacing w:after="0" w:line="265" w:lineRule="auto"/>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make any payments in lieu of issuing fractions of Rights or Common Shares pursuant to paragraph (a) or (b) above, respectively, unless and until the Corporation shall have provided to the Rights Agent the amount of cash to be paid in lieu of issuing such fractional Rights or Common Shares, as the case may be.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Rights of Action</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Any obligation of the Corporation or action or event contemplated by this Agreement shall be subject to the receipt of any requisite approval or consent from any governmental or regulatory authority, including without limiting the generality of the foregoing, any necessary approvals of the Toronto Stock Exchange, or any other applicable stock exchange or market or national securities quotation system. For greater certainty, unless advised in writing by the Corporation to the contrary, the Rights Agent shall be entitled to assume that all such required approvals and consents have been obtained.</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Notice of Proposed Actions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case the Corporation shall propose after the Separation Time and prior to the Expiration Time to effect or permit (in cases where the Corporation’s permission is required) any Flip-in Event or to effect the liquidation, dissolution or winding up of the Corporation or the sale of all or substantially all of the Corporation’s assets, then, in each such case, the Corporation shall give to each holder of a Right, in accordance with Section 5.9 hereof, a notice of such proposed action, which shall specify the date on which such Flip-in Event, liquidation, dissolution, or winding up is to take place, and such notice shall be so given at least 20 Business Days prior to the date of taking of such proposed action by the Corporation.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8" w:name="page39"/>
    <w:bookmarkEnd w:id="38"/>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4" w:lineRule="exact"/>
        <w:rPr>
          <w:sz w:val="20"/>
          <w:szCs w:val="20"/>
          <w:color w:val="auto"/>
        </w:rPr>
      </w:pPr>
    </w:p>
    <w:p>
      <w:pPr>
        <w:jc w:val="both"/>
        <w:ind w:left="1260" w:hanging="630"/>
        <w:spacing w:after="0" w:line="268" w:lineRule="auto"/>
        <w:tabs>
          <w:tab w:leader="none" w:pos="12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email or other form of recorded electronic communication, charges prepaid and confirmed in writing, as follows:</w:t>
      </w:r>
    </w:p>
    <w:p>
      <w:pPr>
        <w:spacing w:after="0" w:line="16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Bitfarms Ltd.</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Peterson McVicar LLP</w:t>
      </w:r>
    </w:p>
    <w:p>
      <w:pPr>
        <w:spacing w:after="0" w:line="13" w:lineRule="exact"/>
        <w:rPr>
          <w:rFonts w:ascii="Times New Roman" w:cs="Times New Roman" w:eastAsia="Times New Roman" w:hAnsi="Times New Roman"/>
          <w:sz w:val="17"/>
          <w:szCs w:val="17"/>
          <w:color w:val="auto"/>
        </w:rPr>
      </w:pPr>
    </w:p>
    <w:p>
      <w:pPr>
        <w:ind w:left="1260" w:right="796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Yonge Street, Suite 1601 Toronto, Ontario M5C 1T4</w:t>
      </w:r>
    </w:p>
    <w:p>
      <w:pPr>
        <w:spacing w:after="0" w:line="16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Dennis Peterson</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b w:val="1"/>
          <w:bCs w:val="1"/>
          <w:color w:val="auto"/>
        </w:rPr>
        <w:t>[Personal Information Redacted]</w:t>
      </w:r>
    </w:p>
    <w:p>
      <w:pPr>
        <w:spacing w:after="0" w:line="203"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email or other form of recorded electronic communication, charges prepaid and confirmed in writing, as follows:</w:t>
      </w:r>
    </w:p>
    <w:p>
      <w:pPr>
        <w:spacing w:after="0" w:line="16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TSX Trust Company</w:t>
      </w:r>
    </w:p>
    <w:p>
      <w:pPr>
        <w:spacing w:after="0" w:line="31" w:lineRule="exact"/>
        <w:rPr>
          <w:rFonts w:ascii="Times New Roman" w:cs="Times New Roman" w:eastAsia="Times New Roman" w:hAnsi="Times New Roman"/>
          <w:sz w:val="17"/>
          <w:szCs w:val="17"/>
          <w:color w:val="auto"/>
        </w:rPr>
      </w:pPr>
    </w:p>
    <w:p>
      <w:pPr>
        <w:ind w:left="1260" w:right="778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 – 100 Adelaide Street West Toronto, Ontario M5H 1S3</w:t>
      </w:r>
    </w:p>
    <w:p>
      <w:pPr>
        <w:spacing w:after="0" w:line="16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Vice President, Trust Services</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b w:val="1"/>
          <w:bCs w:val="1"/>
          <w:color w:val="auto"/>
        </w:rPr>
        <w:t>[Personal Information Redacted]</w:t>
      </w:r>
    </w:p>
    <w:p>
      <w:pPr>
        <w:spacing w:after="0" w:line="203" w:lineRule="exact"/>
        <w:rPr>
          <w:rFonts w:ascii="Times New Roman" w:cs="Times New Roman" w:eastAsia="Times New Roman" w:hAnsi="Times New Roman"/>
          <w:sz w:val="17"/>
          <w:szCs w:val="17"/>
          <w:color w:val="auto"/>
        </w:rPr>
      </w:pPr>
    </w:p>
    <w:p>
      <w:pPr>
        <w:jc w:val="both"/>
        <w:ind w:left="1260" w:hanging="630"/>
        <w:spacing w:after="0" w:line="267" w:lineRule="auto"/>
        <w:tabs>
          <w:tab w:leader="none" w:pos="12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381"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9" w:name="page40"/>
    <w:bookmarkEnd w:id="39"/>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Rights of Board and Corporation</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Without limiting the generality of the foregoing, nothing contained herein shall be construed to suggest or imply that the Board of Directors shall not be entitled to recommend that holders of Voting Shares reject or accept any Take-over Bid or take any other action (including, without limitation, the commencement, prosecution, defence or settlement of any litigation and the submission of additional or alternative Take-over Bids or other proposals to the holders of Voting Shares) with respect to any Take-over Bid or otherwise that the Board of Directors believes is necessary or appropriate in the exercise of its fiduciary duties.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Costs of Enforcement</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Corporation agrees that if the Corporation fails to fulfil any of its obligations pursuant to this Agreement, then the Corporation will reimburse the holder of any Rights for the costs and expenses (including legal fees) incurred by such holder, on a solicitor and his or her own client basis, to enforce his or her rights pursuant to any Rights or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All the covenants and provisions of this Agreement by or for the benefit of the Corporation or the Rights Agent shall bind and enure to the benefit of their respective successors and assigns hereunder.</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Benefits of this Agreement</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Les parties aux présentes ont exigé que la présente convention ainsi que tous les documents et avis qui s’y rattachent ou qui en coulent soient redigés en langue anglaise. </w:t>
      </w:r>
      <w:r>
        <w:rPr>
          <w:rFonts w:ascii="Times New Roman" w:cs="Times New Roman" w:eastAsia="Times New Roman" w:hAnsi="Times New Roman"/>
          <w:sz w:val="17"/>
          <w:szCs w:val="17"/>
          <w:color w:val="auto"/>
        </w:rPr>
        <w:t>The parties hereto have required that this Agreement and all documents and notices related thereto or resulting therefrom be drawn up in English.</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5.16</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Agreement is effective and in full force and effect in accordance with its terms and conditions from and after the Effective Date. If this Agreement is not confirmed by resolution passed by a majority of the votes cast by the Independent Shareholders who vote in respect of such confirmation at a meeting of shareholders to be held not later than six months from the Effective Date, then this Agreement and all outstanding Rights shall terminate and be void and of no further force and effect on and from the date which is the earlier of (a) the date of termination of the meeting called to consider the confirmation of this Agreement and (b) six months from the Effective Date.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0" w:name="page41"/>
    <w:bookmarkEnd w:id="40"/>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Reconfirmation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Agreement must be reconfirmed by a resolution passed by a majority of the votes cast by Independent Shareholders who vote in respect of such reconfirmation at every third annual meeting of the Corporation following the meeting at which this Agreement is confirmed. If this Agreement is not so reconfirmed or is not presented for reconfirmation at such annual meeting, then this Agreement and all outstanding Rights shall terminate and be void and of no further force and effect on and from the date of termination of the applicable annual meeting; provided that termination shall not occur if a Flip-in Event has occurred (other than a Flip-in Event which has been waived) prior to the date upon which this Agreement would otherwise terminate pursuant to this Section 5.18.</w:t>
      </w:r>
    </w:p>
    <w:p>
      <w:pPr>
        <w:spacing w:after="0" w:line="3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5.19</w:t>
      </w:r>
      <w:r>
        <w:rPr>
          <w:sz w:val="20"/>
          <w:szCs w:val="20"/>
          <w:color w:val="auto"/>
        </w:rPr>
        <w:tab/>
      </w:r>
      <w:r>
        <w:rPr>
          <w:rFonts w:ascii="Times New Roman" w:cs="Times New Roman" w:eastAsia="Times New Roman" w:hAnsi="Times New Roman"/>
          <w:sz w:val="17"/>
          <w:szCs w:val="17"/>
          <w:b w:val="1"/>
          <w:bCs w:val="1"/>
          <w:color w:val="auto"/>
        </w:rPr>
        <w:t>Determinations and Actions by the Board of Directors</w:t>
      </w: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actions, calculations and determinations (including all omissions with respect to the foregoing) which are done or made or approved by the Board of Directors in connection herewith, in good faith, shall not subject the Board of Directors or any director of the Corporation to any liability to the holders of the Rights.</w:t>
      </w:r>
    </w:p>
    <w:p>
      <w:pPr>
        <w:spacing w:after="0" w:line="3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5.20</w:t>
      </w:r>
      <w:r>
        <w:rPr>
          <w:sz w:val="20"/>
          <w:szCs w:val="20"/>
          <w:color w:val="auto"/>
        </w:rPr>
        <w:tab/>
      </w:r>
      <w:r>
        <w:rPr>
          <w:rFonts w:ascii="Times New Roman" w:cs="Times New Roman" w:eastAsia="Times New Roman" w:hAnsi="Times New Roman"/>
          <w:sz w:val="17"/>
          <w:szCs w:val="17"/>
          <w:b w:val="1"/>
          <w:bCs w:val="1"/>
          <w:color w:val="auto"/>
        </w:rPr>
        <w:t>Declaration as to Non-Canadian Holders and Non-U.S. Holders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or the United States, the Board of Directors acting in good faith shall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spacing w:after="0" w:line="3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shall be of the essence in this Agreement.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Execution in Counterparts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Brian Howlett</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Lead Director</w:t>
      </w: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“Donald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Donald Crawford</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Senior Manager, Corporate Trust</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“Nirosan Vinayakamoorthy”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Nirosan Vinayakamoorthy</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Corporate Trust Officer</w:t>
      </w: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ATTACHMENT 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SHAREHOLDER RIGHTS PLAN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Rights Certificate]</w:t>
      </w:r>
    </w:p>
    <w:p>
      <w:pPr>
        <w:spacing w:after="0" w:line="222"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7"/>
          <w:szCs w:val="17"/>
          <w:color w:val="auto"/>
        </w:rPr>
        <w:t>Certificate No. _____</w:t>
      </w:r>
      <w:r>
        <w:rPr>
          <w:sz w:val="20"/>
          <w:szCs w:val="20"/>
          <w:color w:val="auto"/>
        </w:rPr>
        <w:tab/>
      </w:r>
      <w:r>
        <w:rPr>
          <w:rFonts w:ascii="Times New Roman" w:cs="Times New Roman" w:eastAsia="Times New Roman" w:hAnsi="Times New Roman"/>
          <w:sz w:val="17"/>
          <w:szCs w:val="17"/>
          <w:color w:val="auto"/>
        </w:rPr>
        <w:t>_____ Rights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THE RIGHTS ARE SUBJECT TO REDEMPTION, AT THE OPTION OF THE CORPORATION, AND AMENDMENT OR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Certificate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certifies that ________, or registered assigns, is the registered holder of the number of Rights set forth above, each of which entitles the registered holder</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thereof, subject to the terms, provisions and conditions of the Shareholder Rights Plan Agreement dated as of June 10, 2024, as the same may be amended or supplemented from time to time (the “Shareholder Rights Agreement”), between Bitfarms Ltd., a corporation continued under the laws of the Province of Ontario (the “Corporation”) and TSX Trust Company, a trust company existing under the laws of Canada (the “Rights Agent”)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“Common Share”) at the Exercise Price referred to below, upon presentation and surrender of this Rights Certificate with the Form of Election to Exercise (in the form provided hereinafter) duly executed and submitted to the Rights Agent, together with payment of the Exercise Price by certified cheque, bank draft or money order payable to the Corporation, at the Rights Agent’s principal office in any of the city of Toronto. Until adjustment thereof in certain events as provided in the Shareholder Rights Agreement, the Exercise Price shall be:</w:t>
      </w:r>
    </w:p>
    <w:p>
      <w:pPr>
        <w:spacing w:after="0" w:line="177" w:lineRule="exact"/>
        <w:rPr>
          <w:sz w:val="20"/>
          <w:szCs w:val="20"/>
          <w:color w:val="auto"/>
        </w:rPr>
      </w:pPr>
    </w:p>
    <w:p>
      <w:pPr>
        <w:ind w:left="1260" w:hanging="630"/>
        <w:spacing w:after="0" w:line="294" w:lineRule="auto"/>
        <w:tabs>
          <w:tab w:leader="none" w:pos="12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 an amount equal to three times the Market Price (as such term is defined in the Shareholder Rights Agreement), from time to time, per Common Share; and</w:t>
      </w:r>
    </w:p>
    <w:p>
      <w:pPr>
        <w:spacing w:after="0" w:line="14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 amount equal to three times the Market Price, as at the Separation Time, per Common Share.</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certain circumstances described in the Shareholder Rights Agreement, each Right evidenced hereby may entitle the registered holder thereof to purchase or receive assets, debt securities or shares in the capital of the Corporation other than Common Shares, or more or less than one Common Share, all as provided in the Shareholder Rights Agreement.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 and are available upon request.</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Subject to the provisions of the Shareholder Rights Agreement, the Rights evidenced by this Rights Certificate may be, and under certain circumstances are required to be, redeemed by the Corporation at a redemption price of $0.00001 per Right.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3" w:name="page44"/>
    <w:bookmarkEnd w:id="43"/>
    <w:p>
      <w:pPr>
        <w:jc w:val="both"/>
        <w:spacing w:after="0" w:line="294" w:lineRule="auto"/>
        <w:rPr>
          <w:sz w:val="20"/>
          <w:szCs w:val="20"/>
          <w:color w:val="auto"/>
        </w:rPr>
      </w:pPr>
      <w:r>
        <w:rPr>
          <w:rFonts w:ascii="Times New Roman" w:cs="Times New Roman" w:eastAsia="Times New Roman" w:hAnsi="Times New Roman"/>
          <w:sz w:val="17"/>
          <w:szCs w:val="17"/>
          <w:color w:val="auto"/>
        </w:rPr>
        <w:t>No fractional Common Shares will be issued upon the exercise of any Right or Rights evidenced hereby, but in lieu thereof a cash payment will be made, as provided in the Shareholder Rights Agreement.</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Rights Certificate shall not be valid or obligatory for any purpose until it shall have been countersigned by the Rights Agent.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the facsimile signature of the proper officer of the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-123190</wp:posOffset>
            </wp:positionV>
            <wp:extent cx="2566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5666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-123190</wp:posOffset>
            </wp:positionV>
            <wp:extent cx="2566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5666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left="4620"/>
        <w:spacing w:after="0"/>
        <w:rPr>
          <w:sz w:val="20"/>
          <w:szCs w:val="20"/>
          <w:color w:val="auto"/>
        </w:rPr>
      </w:pPr>
      <w:r>
        <w:rPr>
          <w:rFonts w:ascii="Times New Roman" w:cs="Times New Roman" w:eastAsia="Times New Roman" w:hAnsi="Times New Roman"/>
          <w:sz w:val="17"/>
          <w:szCs w:val="17"/>
          <w:b w:val="1"/>
          <w:bCs w:val="1"/>
          <w:color w:val="auto"/>
        </w:rPr>
        <w:t>FORM OF ASSIGNMENT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executed by the registered holder if such holder desires to transfer the Rights Certificate.)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RECEIVED_____________________________________ hereby sells, assigns and transfers unto________________________________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Rights represented by this Rights Certificate, together with all right, title and interest therein, and does hereby irrevocably constitute and appoint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 as attorney, to transfer the within Rights on the books of the Corporation, with full power of substitution.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completed if true.)</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and are not issued with respect to Voting Shares underlying a Derivative Transaction described in the definition of Beneficial Owner. Capitalized terms shall have the meaning ascribed thereto in the Shareholder Rights Agreement.</w:t>
      </w:r>
    </w:p>
    <w:p>
      <w:pPr>
        <w:spacing w:after="0" w:line="3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attached to each Rights Certificate.)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5" w:name="page46"/>
    <w:bookmarkEnd w:id="45"/>
    <w:p>
      <w:pPr>
        <w:ind w:left="4120"/>
        <w:spacing w:after="0"/>
        <w:rPr>
          <w:sz w:val="20"/>
          <w:szCs w:val="20"/>
          <w:color w:val="auto"/>
        </w:rPr>
      </w:pPr>
      <w:r>
        <w:rPr>
          <w:rFonts w:ascii="Times New Roman" w:cs="Times New Roman" w:eastAsia="Times New Roman" w:hAnsi="Times New Roman"/>
          <w:sz w:val="17"/>
          <w:szCs w:val="17"/>
          <w:b w:val="1"/>
          <w:bCs w:val="1"/>
          <w:color w:val="auto"/>
        </w:rPr>
        <w:t>FORM OF ELECTION TO EXERCISE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executed by the registered holder if such holder desires to exercise the Rights Certificate.)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_______________________________________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irrevocably elects to exercise _____________________________whole Rights represented by the attached Rights Certificate to</w:t>
      </w:r>
    </w:p>
    <w:p>
      <w:pPr>
        <w:spacing w:after="0" w:line="3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purchase the Common Shares or other securities, if applicable, issuable upon the exercise of such Rights and requests that certificates for such securities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71367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(City and Province or State)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Insurance Number or other taxpayer identification number.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7"/>
          <w:szCs w:val="17"/>
          <w:color w:val="auto"/>
        </w:rPr>
        <w:t>If such number of Rights shall not be all the Rights evidenced by this Rights Certificate, a new Rights Certificate for the balance of such Rights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136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(City and Province or State)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Insurance Number or other taxpayer identification number.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7"/>
          <w:szCs w:val="17"/>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4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875"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completed if true.)</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and are not issued with respect to Voting Shares underlying a Derivative Transaction described in the definition of Beneficial Owner. Capitalized terms shall have the meaning ascribed thereto in the Shareholder Rights Agreement.</w:t>
      </w:r>
    </w:p>
    <w:p>
      <w:pPr>
        <w:spacing w:after="0" w:line="3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attached to each Rights Certificate.)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NOTICE</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the event the certification set forth above in the Forms of Assignment and Election to Exercise is not completed, the Corporation will deem the Beneficial Owner of the Rights evidenced by this Rights Certificate to be an Acquiring Person or an Affiliate or Associate thereof (as defined in the Shareholder Rights Agreement).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Letter"/>
      <w:start w:val="1"/>
    </w:lvl>
  </w:abstractNum>
  <w:abstractNum w:abstractNumId="1">
    <w:nsid w:val="22221A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
    <w:nsid w:val="4516DDE9"/>
    <w:multiLevelType w:val="hybridMultilevel"/>
    <w:lvl w:ilvl="0">
      <w:lvlJc w:val="left"/>
      <w:lvlText w:val="%1"/>
      <w:numFmt w:val="lowerLetter"/>
      <w:start w:val="1"/>
    </w:lvl>
    <w:lvl w:ilvl="1">
      <w:lvlJc w:val="left"/>
      <w:lvlText w:val="(%2)"/>
      <w:numFmt w:val="lowerRoman"/>
      <w:start w:val="3"/>
    </w:lvl>
  </w:abstractNum>
  <w:abstractNum w:abstractNumId="3">
    <w:nsid w:val="3006C83E"/>
    <w:multiLevelType w:val="hybridMultilevel"/>
    <w:lvl w:ilvl="0">
      <w:lvlJc w:val="left"/>
      <w:lvlText w:val="(%1)"/>
      <w:numFmt w:val="lowerLetter"/>
      <w:start w:val="2"/>
    </w:lvl>
    <w:lvl w:ilvl="1">
      <w:lvlJc w:val="left"/>
      <w:lvlText w:val="(%2)"/>
      <w:numFmt w:val="lowerRoman"/>
      <w:start w:val="1"/>
    </w:lvl>
  </w:abstractNum>
  <w:abstractNum w:abstractNumId="4">
    <w:nsid w:val="614FD4A1"/>
    <w:multiLevelType w:val="hybridMultilevel"/>
    <w:lvl w:ilvl="0">
      <w:lvlJc w:val="left"/>
      <w:lvlText w:val="(%1)"/>
      <w:numFmt w:val="lowerRoman"/>
      <w:start w:val="3"/>
    </w:lvl>
  </w:abstractNum>
  <w:abstractNum w:abstractNumId="5">
    <w:nsid w:val="419AC241"/>
    <w:multiLevelType w:val="hybridMultilevel"/>
    <w:lvl w:ilvl="0">
      <w:lvlJc w:val="left"/>
      <w:lvlText w:val="(%1)"/>
      <w:numFmt w:val="upperLetter"/>
      <w:start w:val="1"/>
    </w:lvl>
    <w:lvl w:ilvl="1">
      <w:lvlJc w:val="left"/>
      <w:lvlText w:val="(%2)"/>
      <w:numFmt w:val="decimal"/>
      <w:start w:val="1"/>
    </w:lvl>
  </w:abstractNum>
  <w:abstractNum w:abstractNumId="6">
    <w:nsid w:val="5577F8E1"/>
    <w:multiLevelType w:val="hybridMultilevel"/>
    <w:lvl w:ilvl="0">
      <w:lvlJc w:val="left"/>
      <w:lvlText w:val="(%1)"/>
      <w:numFmt w:val="decimal"/>
      <w:start w:val="3"/>
    </w:lvl>
  </w:abstractNum>
  <w:abstractNum w:abstractNumId="7">
    <w:nsid w:val="440BADFC"/>
    <w:multiLevelType w:val="hybridMultilevel"/>
    <w:lvl w:ilvl="0">
      <w:lvlJc w:val="left"/>
      <w:lvlText w:val="%1"/>
      <w:numFmt w:val="lowerLetter"/>
      <w:start w:val="1"/>
    </w:lvl>
    <w:lvl w:ilvl="1">
      <w:lvlJc w:val="left"/>
      <w:lvlText w:val="(%2)"/>
      <w:numFmt w:val="upperLetter"/>
      <w:start w:val="3"/>
    </w:lvl>
  </w:abstractNum>
  <w:abstractNum w:abstractNumId="8">
    <w:nsid w:val="5072367"/>
    <w:multiLevelType w:val="hybridMultilevel"/>
    <w:lvl w:ilvl="0">
      <w:lvlJc w:val="left"/>
      <w:lvlText w:val="(%1)"/>
      <w:numFmt w:val="lowerLetter"/>
      <w:start w:val="7"/>
    </w:lvl>
    <w:lvl w:ilvl="1">
      <w:lvlJc w:val="left"/>
      <w:lvlText w:val="%2"/>
      <w:numFmt w:val="upperLetter"/>
      <w:start w:val="1"/>
    </w:lvl>
  </w:abstractNum>
  <w:abstractNum w:abstractNumId="9">
    <w:nsid w:val="3804823E"/>
    <w:multiLevelType w:val="hybridMultilevel"/>
    <w:lvl w:ilvl="0">
      <w:lvlJc w:val="left"/>
      <w:lvlText w:val="(%1)"/>
      <w:numFmt w:val="lowerLetter"/>
      <w:start w:val="12"/>
    </w:lvl>
    <w:lvl w:ilvl="1">
      <w:lvlJc w:val="left"/>
      <w:lvlText w:val="(%2)"/>
      <w:numFmt w:val="lowerRoman"/>
      <w:start w:val="1"/>
    </w:lvl>
  </w:abstractNum>
  <w:abstractNum w:abstractNumId="10">
    <w:nsid w:val="77465F01"/>
    <w:multiLevelType w:val="hybridMultilevel"/>
    <w:lvl w:ilvl="0">
      <w:lvlJc w:val="left"/>
      <w:lvlText w:val="(%1)"/>
      <w:numFmt w:val="lowerLetter"/>
      <w:start w:val="13"/>
    </w:lvl>
    <w:lvl w:ilvl="1">
      <w:lvlJc w:val="left"/>
      <w:lvlText w:val="(%2)"/>
      <w:numFmt w:val="lowerRoman"/>
      <w:start w:val="1"/>
    </w:lvl>
  </w:abstractNum>
  <w:abstractNum w:abstractNumId="11">
    <w:nsid w:val="7724C67E"/>
    <w:multiLevelType w:val="hybridMultilevel"/>
    <w:lvl w:ilvl="0">
      <w:lvlJc w:val="left"/>
      <w:lvlText w:val="(%1)"/>
      <w:numFmt w:val="lowerLetter"/>
      <w:start w:val="14"/>
    </w:lvl>
    <w:lvl w:ilvl="1">
      <w:lvlJc w:val="left"/>
      <w:lvlText w:val="(%2)"/>
      <w:numFmt w:val="lowerRoman"/>
      <w:start w:val="1"/>
    </w:lvl>
  </w:abstractNum>
  <w:abstractNum w:abstractNumId="12">
    <w:nsid w:val="5C482A97"/>
    <w:multiLevelType w:val="hybridMultilevel"/>
    <w:lvl w:ilvl="0">
      <w:lvlJc w:val="left"/>
      <w:lvlText w:val="(%1)"/>
      <w:numFmt w:val="lowerLetter"/>
      <w:start w:val="19"/>
    </w:lvl>
  </w:abstractNum>
  <w:abstractNum w:abstractNumId="13">
    <w:nsid w:val="2463B9EA"/>
    <w:multiLevelType w:val="hybridMultilevel"/>
    <w:lvl w:ilvl="0">
      <w:lvlJc w:val="left"/>
      <w:lvlText w:val="(%1)"/>
      <w:numFmt w:val="lowerLetter"/>
      <w:start w:val="21"/>
    </w:lvl>
  </w:abstractNum>
  <w:abstractNum w:abstractNumId="14">
    <w:nsid w:val="5E884ADC"/>
    <w:multiLevelType w:val="hybridMultilevel"/>
    <w:lvl w:ilvl="0">
      <w:lvlJc w:val="left"/>
      <w:lvlText w:val="(%1)"/>
      <w:numFmt w:val="lowerLetter"/>
      <w:start w:val="9"/>
    </w:lvl>
  </w:abstractNum>
  <w:abstractNum w:abstractNumId="15">
    <w:nsid w:val="51EAD36B"/>
    <w:multiLevelType w:val="hybridMultilevel"/>
    <w:lvl w:ilvl="0">
      <w:lvlJc w:val="left"/>
      <w:lvlText w:val="%1"/>
      <w:numFmt w:val="lowerLetter"/>
      <w:start w:val="1"/>
    </w:lvl>
    <w:lvl w:ilvl="1">
      <w:lvlJc w:val="left"/>
      <w:lvlText w:val="(%2)"/>
      <w:numFmt w:val="lowerRoman"/>
      <w:start w:val="2"/>
    </w:lvl>
  </w:abstractNum>
  <w:abstractNum w:abstractNumId="16">
    <w:nsid w:val="2D517796"/>
    <w:multiLevelType w:val="hybridMultilevel"/>
    <w:lvl w:ilvl="0">
      <w:lvlJc w:val="left"/>
      <w:lvlText w:val="(%1)"/>
      <w:numFmt w:val="lowerLetter"/>
      <w:start w:val="22"/>
    </w:lvl>
    <w:lvl w:ilvl="1">
      <w:lvlJc w:val="left"/>
      <w:lvlText w:val="(%2)"/>
      <w:numFmt w:val="lowerRoman"/>
      <w:start w:val="1"/>
    </w:lvl>
  </w:abstractNum>
  <w:abstractNum w:abstractNumId="17">
    <w:nsid w:val="580BD78F"/>
    <w:multiLevelType w:val="hybridMultilevel"/>
    <w:lvl w:ilvl="0">
      <w:lvlJc w:val="left"/>
      <w:lvlText w:val="(%1)"/>
      <w:numFmt w:val="lowerLetter"/>
      <w:start w:val="27"/>
    </w:lvl>
    <w:lvl w:ilvl="1">
      <w:lvlJc w:val="left"/>
      <w:lvlText w:val="(%2)"/>
      <w:numFmt w:val="lowerRoman"/>
      <w:start w:val="1"/>
    </w:lvl>
  </w:abstractNum>
  <w:abstractNum w:abstractNumId="18">
    <w:nsid w:val="153EA438"/>
    <w:multiLevelType w:val="hybridMultilevel"/>
    <w:lvl w:ilvl="0">
      <w:lvlJc w:val="left"/>
      <w:lvlText w:val="(%1)"/>
      <w:numFmt w:val="lowerLetter"/>
      <w:start w:val="29"/>
    </w:lvl>
    <w:lvl w:ilvl="1">
      <w:lvlJc w:val="left"/>
      <w:lvlText w:val="(%2)"/>
      <w:numFmt w:val="lowerRoman"/>
      <w:start w:val="1"/>
    </w:lvl>
  </w:abstractNum>
  <w:abstractNum w:abstractNumId="19">
    <w:nsid w:val="3855585C"/>
    <w:multiLevelType w:val="hybridMultilevel"/>
    <w:lvl w:ilvl="0">
      <w:lvlJc w:val="left"/>
      <w:lvlText w:val="(%1)"/>
      <w:numFmt w:val="lowerLetter"/>
      <w:start w:val="30"/>
    </w:lvl>
    <w:lvl w:ilvl="1">
      <w:lvlJc w:val="left"/>
      <w:lvlText w:val="(%2)"/>
      <w:numFmt w:val="lowerRoman"/>
      <w:start w:val="1"/>
    </w:lvl>
  </w:abstractNum>
  <w:abstractNum w:abstractNumId="20">
    <w:nsid w:val="70A64E2A"/>
    <w:multiLevelType w:val="hybridMultilevel"/>
    <w:lvl w:ilvl="0">
      <w:lvlJc w:val="left"/>
      <w:lvlText w:val="(%1)"/>
      <w:numFmt w:val="lowerLetter"/>
      <w:start w:val="34"/>
    </w:lvl>
    <w:lvl w:ilvl="1">
      <w:lvlJc w:val="left"/>
      <w:lvlText w:val="(%2)"/>
      <w:numFmt w:val="lowerRoman"/>
      <w:start w:val="1"/>
    </w:lvl>
  </w:abstractNum>
  <w:abstractNum w:abstractNumId="21">
    <w:nsid w:val="6A2342EC"/>
    <w:multiLevelType w:val="hybridMultilevel"/>
    <w:lvl w:ilvl="0">
      <w:lvlJc w:val="left"/>
      <w:lvlText w:val="(%1)"/>
      <w:numFmt w:val="lowerRoman"/>
      <w:start w:val="4"/>
    </w:lvl>
  </w:abstractNum>
  <w:abstractNum w:abstractNumId="22">
    <w:nsid w:val="2A487CB0"/>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
    <w:nsid w:val="1D4ED43B"/>
    <w:multiLevelType w:val="hybridMultilevel"/>
    <w:lvl w:ilvl="0">
      <w:lvlJc w:val="left"/>
      <w:lvlText w:val="(%1)"/>
      <w:numFmt w:val="lowerRoman"/>
      <w:start w:val="3"/>
    </w:lvl>
    <w:lvl w:ilvl="1">
      <w:lvlJc w:val="left"/>
      <w:lvlText w:val="(%2)"/>
      <w:numFmt w:val="upperLetter"/>
      <w:start w:val="1"/>
    </w:lvl>
  </w:abstractNum>
  <w:abstractNum w:abstractNumId="24">
    <w:nsid w:val="725A06FB"/>
    <w:multiLevelType w:val="hybridMultilevel"/>
    <w:lvl w:ilvl="0">
      <w:lvlJc w:val="left"/>
      <w:lvlText w:val="(%1)"/>
      <w:numFmt w:val="lowerLetter"/>
      <w:start w:val="38"/>
    </w:lvl>
    <w:lvl w:ilvl="1">
      <w:lvlJc w:val="left"/>
      <w:lvlText w:val="(%2)"/>
      <w:numFmt w:val="lowerRoman"/>
      <w:start w:val="1"/>
    </w:lvl>
  </w:abstractNum>
  <w:abstractNum w:abstractNumId="25">
    <w:nsid w:val="2CD89A32"/>
    <w:multiLevelType w:val="hybridMultilevel"/>
    <w:lvl w:ilvl="0">
      <w:lvlJc w:val="left"/>
      <w:lvlText w:val="(%1)"/>
      <w:numFmt w:val="lowerLetter"/>
      <w:start w:val="40"/>
    </w:lvl>
    <w:lvl w:ilvl="1">
      <w:lvlJc w:val="left"/>
      <w:lvlText w:val="(%2)"/>
      <w:numFmt w:val="lowerRoman"/>
      <w:start w:val="1"/>
    </w:lvl>
  </w:abstractNum>
  <w:abstractNum w:abstractNumId="26">
    <w:nsid w:val="57E4CCAF"/>
    <w:multiLevelType w:val="hybridMultilevel"/>
    <w:lvl w:ilvl="0">
      <w:lvlJc w:val="left"/>
      <w:lvlText w:val="(%1)"/>
      <w:numFmt w:val="lowerLetter"/>
      <w:start w:val="48"/>
    </w:lvl>
    <w:lvl w:ilvl="1">
      <w:lvlJc w:val="left"/>
      <w:lvlText w:val="(%2)"/>
      <w:numFmt w:val="lowerRoman"/>
      <w:start w:val="1"/>
    </w:lvl>
    <w:lvl w:ilvl="2">
      <w:lvlJc w:val="left"/>
      <w:lvlText w:val="(%3)"/>
      <w:numFmt w:val="upperLetter"/>
      <w:start w:val="1"/>
    </w:lvl>
  </w:abstractNum>
  <w:abstractNum w:abstractNumId="27">
    <w:nsid w:val="7A6D8D3C"/>
    <w:multiLevelType w:val="hybridMultilevel"/>
    <w:lvl w:ilvl="0">
      <w:lvlJc w:val="left"/>
      <w:lvlText w:val="(%1)"/>
      <w:numFmt w:val="lowerLetter"/>
      <w:start w:val="53"/>
    </w:lvl>
    <w:lvl w:ilvl="1">
      <w:lvlJc w:val="left"/>
      <w:lvlText w:val="(%2)"/>
      <w:numFmt w:val="lowerRoman"/>
      <w:start w:val="1"/>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lvl w:ilvl="1">
      <w:lvlJc w:val="left"/>
      <w:lvlText w:val="(%2)"/>
      <w:numFmt w:val="lowerRoman"/>
      <w:start w:val="1"/>
    </w:lvl>
  </w:abstractNum>
  <w:abstractNum w:abstractNumId="30">
    <w:nsid w:val="6DE91B18"/>
    <w:multiLevelType w:val="hybridMultilevel"/>
    <w:lvl w:ilvl="0">
      <w:lvlJc w:val="left"/>
      <w:lvlText w:val="(%1)"/>
      <w:numFmt w:val="lowerLetter"/>
      <w:start w:val="24"/>
    </w:lvl>
  </w:abstractNum>
  <w:abstractNum w:abstractNumId="31">
    <w:nsid w:val="38437FDB"/>
    <w:multiLevelType w:val="hybridMultilevel"/>
    <w:lvl w:ilvl="0">
      <w:lvlJc w:val="left"/>
      <w:lvlText w:val="(%1)"/>
      <w:numFmt w:val="lowerLetter"/>
      <w:start w:val="4"/>
    </w:lvl>
    <w:lvl w:ilvl="1">
      <w:lvlJc w:val="left"/>
      <w:lvlText w:val="(%2)"/>
      <w:numFmt w:val="lowerRoman"/>
      <w:start w:val="1"/>
    </w:lvl>
  </w:abstractNum>
  <w:abstractNum w:abstractNumId="32">
    <w:nsid w:val="7644A45C"/>
    <w:multiLevelType w:val="hybridMultilevel"/>
    <w:lvl w:ilvl="0">
      <w:lvlJc w:val="left"/>
      <w:lvlText w:val="(%1)"/>
      <w:numFmt w:val="lowerLetter"/>
      <w:start w:val="6"/>
    </w:lvl>
    <w:lvl w:ilvl="1">
      <w:lvlJc w:val="left"/>
      <w:lvlText w:val="(%2)"/>
      <w:numFmt w:val="lowerRoman"/>
      <w:start w:val="1"/>
    </w:lvl>
  </w:abstractNum>
  <w:abstractNum w:abstractNumId="33">
    <w:nsid w:val="32FFF902"/>
    <w:multiLevelType w:val="hybridMultilevel"/>
    <w:lvl w:ilvl="0">
      <w:lvlJc w:val="left"/>
      <w:lvlText w:val="(%1)"/>
      <w:numFmt w:val="lowerRoman"/>
      <w:start w:val="4"/>
    </w:lvl>
  </w:abstractNum>
  <w:abstractNum w:abstractNumId="34">
    <w:nsid w:val="684A481A"/>
    <w:multiLevelType w:val="hybridMultilevel"/>
    <w:lvl w:ilvl="0">
      <w:lvlJc w:val="left"/>
      <w:lvlText w:val="(%1)"/>
      <w:numFmt w:val="lowerLetter"/>
      <w:start w:val="1"/>
    </w:lvl>
    <w:lvl w:ilvl="1">
      <w:lvlJc w:val="left"/>
      <w:lvlText w:val="(%2)"/>
      <w:numFmt w:val="lowerRoman"/>
      <w:start w:val="1"/>
    </w:lvl>
  </w:abstractNum>
  <w:abstractNum w:abstractNumId="35">
    <w:nsid w:val="579478FE"/>
    <w:multiLevelType w:val="hybridMultilevel"/>
    <w:lvl w:ilvl="0">
      <w:lvlJc w:val="left"/>
      <w:lvlText w:val="x"/>
      <w:numFmt w:val="bullet"/>
      <w:start w:val="1"/>
    </w:lvl>
  </w:abstractNum>
  <w:abstractNum w:abstractNumId="36">
    <w:nsid w:val="749ABB43"/>
    <w:multiLevelType w:val="hybridMultilevel"/>
    <w:lvl w:ilvl="0">
      <w:lvlJc w:val="left"/>
      <w:lvlText w:val="y"/>
      <w:numFmt w:val="bullet"/>
      <w:start w:val="1"/>
    </w:lvl>
  </w:abstractNum>
  <w:abstractNum w:abstractNumId="37">
    <w:nsid w:val="3DC240FB"/>
    <w:multiLevelType w:val="hybridMultilevel"/>
    <w:lvl w:ilvl="0">
      <w:lvlJc w:val="left"/>
      <w:lvlText w:val="(%1)"/>
      <w:numFmt w:val="lowerLetter"/>
      <w:start w:val="2"/>
    </w:lvl>
    <w:lvl w:ilvl="1">
      <w:lvlJc w:val="left"/>
      <w:lvlText w:val="(%2)"/>
      <w:numFmt w:val="lowerRoman"/>
      <w:start w:val="1"/>
    </w:lvl>
  </w:abstractNum>
  <w:abstractNum w:abstractNumId="38">
    <w:nsid w:val="1BA026FA"/>
    <w:multiLevelType w:val="hybridMultilevel"/>
    <w:lvl w:ilvl="0">
      <w:lvlJc w:val="left"/>
      <w:lvlText w:val="(%1)"/>
      <w:numFmt w:val="lowerLetter"/>
      <w:start w:val="3"/>
    </w:lvl>
    <w:lvl w:ilvl="1">
      <w:lvlJc w:val="left"/>
      <w:lvlText w:val="(%2)"/>
      <w:numFmt w:val="lowerRoman"/>
      <w:start w:val="1"/>
    </w:lvl>
  </w:abstractNum>
  <w:abstractNum w:abstractNumId="39">
    <w:nsid w:val="79A1DEAA"/>
    <w:multiLevelType w:val="hybridMultilevel"/>
    <w:lvl w:ilvl="0">
      <w:lvlJc w:val="left"/>
      <w:lvlText w:val="(%1)"/>
      <w:numFmt w:val="lowerLetter"/>
      <w:start w:val="5"/>
    </w:lvl>
    <w:lvl w:ilvl="1">
      <w:lvlJc w:val="left"/>
      <w:lvlText w:val="(%2)"/>
      <w:numFmt w:val="lowerRoman"/>
      <w:start w:val="1"/>
    </w:lvl>
  </w:abstractNum>
  <w:abstractNum w:abstractNumId="40">
    <w:nsid w:val="75C6C33A"/>
    <w:multiLevelType w:val="hybridMultilevel"/>
    <w:lvl w:ilvl="0">
      <w:lvlJc w:val="left"/>
      <w:lvlText w:val="(%1)"/>
      <w:numFmt w:val="lowerLetter"/>
      <w:start w:val="10"/>
    </w:lvl>
    <w:lvl w:ilvl="1">
      <w:lvlJc w:val="left"/>
      <w:lvlText w:val="(%2)"/>
      <w:numFmt w:val="lowerRoman"/>
      <w:start w:val="1"/>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3"/>
    </w:lvl>
  </w:abstractNum>
  <w:abstractNum w:abstractNumId="44">
    <w:nsid w:val="374A3FE6"/>
    <w:multiLevelType w:val="hybridMultilevel"/>
    <w:lvl w:ilvl="0">
      <w:lvlJc w:val="left"/>
      <w:lvlText w:val="(%1)"/>
      <w:numFmt w:val="lowerLetter"/>
      <w:start w:val="1"/>
    </w:lvl>
    <w:lvl w:ilvl="1">
      <w:lvlJc w:val="left"/>
      <w:lvlText w:val="(%2)"/>
      <w:numFmt w:val="lowerRoman"/>
      <w:start w:val="1"/>
    </w:lvl>
  </w:abstractNum>
  <w:abstractNum w:abstractNumId="45">
    <w:nsid w:val="4F4EF005"/>
    <w:multiLevelType w:val="hybridMultilevel"/>
    <w:lvl w:ilvl="0">
      <w:lvlJc w:val="left"/>
      <w:lvlText w:val="(%1)"/>
      <w:numFmt w:val="lowerLetter"/>
      <w:start w:val="3"/>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1"/>
    </w:lvl>
    <w:lvl w:ilvl="1">
      <w:lvlJc w:val="left"/>
      <w:lvlText w:val="(%2)"/>
      <w:numFmt w:val="lowerRoman"/>
      <w:start w:val="1"/>
    </w:lvl>
  </w:abstractNum>
  <w:abstractNum w:abstractNumId="48">
    <w:nsid w:val="275AC794"/>
    <w:multiLevelType w:val="hybridMultilevel"/>
    <w:lvl w:ilvl="0">
      <w:lvlJc w:val="left"/>
      <w:lvlText w:val="(%1)"/>
      <w:numFmt w:val="lowerLetter"/>
      <w:start w:val="3"/>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3"/>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7"/>
    </w:lvl>
    <w:lvl w:ilvl="1">
      <w:lvlJc w:val="left"/>
      <w:lvlText w:val="(%2)"/>
      <w:numFmt w:val="lowerLetter"/>
      <w:start w:val="22"/>
    </w:lvl>
  </w:abstractNum>
  <w:abstractNum w:abstractNumId="56">
    <w:nsid w:val="741226BB"/>
    <w:multiLevelType w:val="hybridMultilevel"/>
    <w:lvl w:ilvl="0">
      <w:lvlJc w:val="left"/>
      <w:lvlText w:val="(%1)"/>
      <w:numFmt w:val="lowerLetter"/>
      <w:start w:val="1"/>
    </w:lvl>
    <w:lvl w:ilvl="1">
      <w:lvlJc w:val="left"/>
      <w:lvlText w:val="(%2)"/>
      <w:numFmt w:val="lowerLetter"/>
      <w:start w:val="9"/>
    </w:lvl>
  </w:abstractNum>
  <w:abstractNum w:abstractNumId="57">
    <w:nsid w:val="D34B6A8"/>
    <w:multiLevelType w:val="hybridMultilevel"/>
    <w:lvl w:ilvl="0">
      <w:lvlJc w:val="left"/>
      <w:lvlText w:val="(%1)"/>
      <w:numFmt w:val="lowerRoman"/>
      <w:start w:val="2"/>
    </w:lvl>
  </w:abstractNum>
  <w:abstractNum w:abstractNumId="58">
    <w:nsid w:val="10233C99"/>
    <w:multiLevelType w:val="hybridMultilevel"/>
    <w:lvl w:ilvl="0">
      <w:lvlJc w:val="left"/>
      <w:lvlText w:val="(%1)"/>
      <w:numFmt w:val="lowerLetter"/>
      <w:start w:val="2"/>
    </w:lvl>
    <w:lvl w:ilvl="1">
      <w:lvlJc w:val="left"/>
      <w:lvlText w:val="(%2)"/>
      <w:numFmt w:val="lowerRoman"/>
      <w:start w:val="1"/>
    </w:lvl>
  </w:abstractNum>
  <w:abstractNum w:abstractNumId="59">
    <w:nsid w:val="3F6AB60F"/>
    <w:multiLevelType w:val="hybridMultilevel"/>
    <w:lvl w:ilvl="0">
      <w:lvlJc w:val="left"/>
      <w:lvlText w:val="(%1)"/>
      <w:numFmt w:val="lowerLetter"/>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2024-06-10T15:59:43Z</dcterms:created>
  <dcterms:modified xsi:type="dcterms:W3CDTF">2024-06-10T15:59:43Z</dcterms:modified>
</cp:coreProperties>
</file>