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July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34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July 3,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July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5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80" w:val="left"/>
        </w:tabs>
        <w:rPr>
          <w:sz w:val="20"/>
          <w:szCs w:val="20"/>
          <w:color w:val="auto"/>
        </w:rPr>
      </w:pPr>
      <w:r>
        <w:rPr>
          <w:rFonts w:ascii="Arial" w:cs="Arial" w:eastAsia="Arial" w:hAnsi="Arial"/>
          <w:sz w:val="18"/>
          <w:szCs w:val="18"/>
          <w:color w:val="auto"/>
        </w:rPr>
        <w:t>Title:</w:t>
        <w:tab/>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3,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July 3, 2023, by a newswire company in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 gmorphy@bitfarms.com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894840"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8948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Bitfarms Mines 385 BTC in June</w:t>
      </w:r>
    </w:p>
    <w:p>
      <w:pPr>
        <w:spacing w:after="0" w:line="23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Miners purchased to ramp up Argentina to its 50 MW capacity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(July 3,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provided a Bitcoin (BTC) production and mining operations update for June 2023.</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“Deliveries and installations in Rio Cuarto, Argentina, continued on pace, and we remain on track to expand to our full operating capacity of 50 MW in Rio Cuarto and achieve 6.0 EH/s overall in Q3 2023,” said Geoff Morphy, CEO of Bitfarms. “We continue to identify opportunities for accretive growth ahead of the halving in April 2024. To this end, we are in the final stages of completing our acquisition in Baie-Comeau, Quebec. Once closed, we are positioned to move quickly with miner deployments and expect the first 11 MW of the 22 MW Baie-Comeau expansion to come online this year.”</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Ben Gagnon, Chief Mining Officer of Bitfarms, said, “In June, BTC production was 385 as compared to 420 BTC in June 2022, as a 47% year-over-year increase in our hashrate offset a 71% increase in network difficulty over the same period. On a sequential month-over-month basis, our corporate hashrate increased by 6%, from 5.0 EH/s to 5.3 EH/s. We recently purchased an additional 1,650 Bitmain S19 Pro + miners for a competitive price of $12.98/TH. Continuing our strategy of focusing on return on investment and accreditive growth, these miners provide the optimal balance between high energy efficiency and performance without the premium pricing associated with the highest efficiency miners available on the market. These miners will be added to the 3,300 miners currently en route to Argentina, representing a total of 4,950 high efficiency miners that will soon fully utilize the 50 MW of infrastructure in Rio Cuarto.”</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average BTC price of $27,600 in June, cash flow continues to be positive, both from operations and after scheduled interest and principal payments. We mined 385 BTC and sold 346 BTC, adding 39 BTC to our treasury in June and bringing the total held at month-end to 549 BTC,” concluded Morphy.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June production of 389 BTC was 16.1% lower than the 459 BTC produced in May largely due to the temporary spike in transaction fees received in May along with one less production day.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Network difficulty decreased 1.1% in June as the Bitcoin network responded to summer heatwaves. Difficulty is up 43.2% year-to-date in 2023, while the Bitcoin price is up roughly 84.3% in the same period, resulting in a 31.3% improvement in mining economics as measured by USD/TH/day.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r>
              <w:rPr>
                <w:rFonts w:ascii="Arial" w:cs="Arial" w:eastAsia="Arial" w:hAnsi="Arial"/>
                <w:sz w:val="18"/>
                <w:szCs w:val="18"/>
                <w:b w:val="1"/>
                <w:bCs w:val="1"/>
                <w:color w:val="auto"/>
              </w:rPr>
              <w:t>Key Performance Indicators</w:t>
            </w: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2023</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May 2023</w:t>
            </w:r>
          </w:p>
        </w:tc>
        <w:tc>
          <w:tcPr>
            <w:tcW w:w="2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2022</w:t>
            </w: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Month End Operating EH/s</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5.3</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BTC/Avg. EH/s</w:t>
            </w:r>
          </w:p>
        </w:tc>
        <w:tc>
          <w:tcPr>
            <w:tcW w:w="4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Operating Capacity (MW)</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207</w:t>
            </w: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Hydropower MW</w:t>
            </w:r>
          </w:p>
        </w:tc>
        <w:tc>
          <w:tcPr>
            <w:tcW w:w="4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Watts/Terahash Efficiency (w/TH)</w:t>
            </w:r>
          </w:p>
        </w:tc>
        <w:tc>
          <w:tcPr>
            <w:tcW w:w="4620" w:type="dxa"/>
            <w:vAlign w:val="bottom"/>
            <w:gridSpan w:val="4"/>
          </w:tcPr>
          <w:p>
            <w:pPr>
              <w:jc w:val="right"/>
              <w:ind w:right="220"/>
              <w:spacing w:after="0"/>
              <w:rPr>
                <w:sz w:val="20"/>
                <w:szCs w:val="20"/>
                <w:color w:val="auto"/>
              </w:rPr>
            </w:pPr>
            <w:r>
              <w:rPr>
                <w:rFonts w:ascii="Arial" w:cs="Arial" w:eastAsia="Arial" w:hAnsi="Arial"/>
                <w:sz w:val="18"/>
                <w:szCs w:val="18"/>
                <w:color w:val="auto"/>
              </w:rPr>
              <w:t>39</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BTC Sold</w:t>
            </w:r>
          </w:p>
        </w:tc>
        <w:tc>
          <w:tcPr>
            <w:tcW w:w="4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8"/>
                <w:szCs w:val="18"/>
                <w:color w:val="auto"/>
              </w:rPr>
            </w:pPr>
          </w:p>
        </w:tc>
      </w:tr>
      <w:tr>
        <w:trPr>
          <w:trHeight w:val="547"/>
        </w:trPr>
        <w:tc>
          <w:tcPr>
            <w:tcW w:w="4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June 2023 Select Operating Highlights</w:t>
      </w:r>
    </w:p>
    <w:p>
      <w:pPr>
        <w:spacing w:after="0" w:line="229" w:lineRule="exact"/>
        <w:rPr>
          <w:sz w:val="20"/>
          <w:szCs w:val="20"/>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5.3 EH/s online as of June 30, 2023, up 47% from June 30, 2022, and up 6% from May 31, 2023.</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 EH/s average online, up 2.0% from May 2023.</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76.7 BTC/average EH/s, down 17.2% from 92.6 in May 2023.</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385 BTC mined, down 8.3% from June 2022 and 16.1% from May 2023.</w:t>
      </w:r>
    </w:p>
    <w:p>
      <w:pPr>
        <w:spacing w:after="0" w:line="22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12.8 BTC mined daily on average, equivalent to about $390,400 per day and approximately $11.7 million for the month, based on a BTC price of $30,500 on June 30, 2023.</w:t>
      </w:r>
    </w:p>
    <w:p>
      <w:pPr>
        <w:spacing w:after="0" w:line="17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Purchased 6,310 Bitmain S19 Pro+, S19 j Pro and MicroBT M50S+ miners with a blended energy efficiency of 28.5 W/TH and a combined hashrate of 748.5 PH/s for $13.68/TH.</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Rio Cuarto, Argentina:</w:t>
      </w:r>
    </w:p>
    <w:p>
      <w:pPr>
        <w:spacing w:after="0" w:line="225" w:lineRule="exact"/>
        <w:rPr>
          <w:sz w:val="20"/>
          <w:szCs w:val="20"/>
          <w:color w:val="auto"/>
        </w:rPr>
      </w:pPr>
    </w:p>
    <w:p>
      <w:pPr>
        <w:ind w:left="1300" w:hanging="33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Installed 2,900 MicroBT miners in June.</w:t>
      </w:r>
    </w:p>
    <w:p>
      <w:pPr>
        <w:spacing w:after="0" w:line="225" w:lineRule="exact"/>
        <w:rPr>
          <w:rFonts w:ascii="Arial" w:cs="Arial" w:eastAsia="Arial" w:hAnsi="Arial"/>
          <w:sz w:val="18"/>
          <w:szCs w:val="18"/>
          <w:color w:val="auto"/>
        </w:rPr>
      </w:pPr>
    </w:p>
    <w:p>
      <w:pPr>
        <w:ind w:left="1300" w:hanging="33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Expect to receive and install another 4,950 new miners in July and August.</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executing Baie-Comeau acquisition representing 22 MW of hydro power capacity, which is expected to close in early July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Bitfarms’ BTC Monthly Production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an overview of BTC mined per month in each of the first six months of 2023 and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BTC</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BTC</w:t>
            </w:r>
          </w:p>
        </w:tc>
      </w:tr>
      <w:tr>
        <w:trPr>
          <w:trHeight w:val="241"/>
        </w:trPr>
        <w:tc>
          <w:tcPr>
            <w:tcW w:w="854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Mined 2023</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Mined 2022</w:t>
            </w:r>
          </w:p>
        </w:tc>
      </w:tr>
      <w:tr>
        <w:trPr>
          <w:trHeight w:val="216"/>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February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April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r>
      <w:tr>
        <w:trPr>
          <w:trHeight w:val="237"/>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June</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20"/>
                <w:szCs w:val="20"/>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YTD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2,218</w:t>
            </w:r>
          </w:p>
        </w:tc>
        <w:tc>
          <w:tcPr>
            <w:tcW w:w="100" w:type="dxa"/>
            <w:vAlign w:val="bottom"/>
            <w:shd w:val="clear" w:color="auto" w:fill="CCEEFF"/>
          </w:tcPr>
          <w:p>
            <w:pPr>
              <w:spacing w:after="0"/>
              <w:rPr>
                <w:sz w:val="21"/>
                <w:szCs w:val="2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June 2023 Financial Update</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Sold 346 BTC of the 385 BTC mined, generating total proceeds of $9.5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total outstanding indebtedness by $1.8 million with a remaining balance of $15.5 million at June 30, 2023.</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39 BTC to treasury, increasing custody to 549 BTC, representing approximately $16.7 million based on a BTC price of $30,500 on June 30, 2023.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Held $30 million in cash and cash equivalents at June 30,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Held $19 million in remaining credits for pre-paid deposits to be applied against future miner purchase agreements at June 30, 2023.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plans to attend the following upcoming event: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September 11-13, HC Wainwright Conference,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4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25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This news release contains certain “forward-looking information” and “forward-looking statements” (collectively, “forward-looking information”) that </w:t>
      </w:r>
      <w:r>
        <w:rPr>
          <w:rFonts w:ascii="Arial" w:cs="Arial" w:eastAsia="Arial" w:hAnsi="Arial"/>
          <w:sz w:val="17"/>
          <w:szCs w:val="17"/>
          <w:i w:val="1"/>
          <w:iCs w:val="1"/>
          <w:color w:val="auto"/>
          <w:highlight w:val="white"/>
        </w:rPr>
        <w:t>are based on expectations, estimates and projections as at the date of this news release and are covered by safe harbors under Canadian and United States securities laws. The statements and information in this release regarding growth opportunities and prospects, including as to expansion of operating capacity, completion of the Quebec acquisition and deployment of miners in Quebec and Argentina,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t xml:space="preserve">Any statements that involve discussions with respect to predictions, expectations, beliefs, plans, projections, objectives, assumptions, future events or </w:t>
      </w:r>
      <w:r>
        <w:rPr>
          <w:rFonts w:ascii="Arial" w:cs="Arial" w:eastAsia="Arial" w:hAnsi="Arial"/>
          <w:sz w:val="18"/>
          <w:szCs w:val="18"/>
          <w:i w:val="1"/>
          <w:iCs w:val="1"/>
          <w:color w:val="auto"/>
          <w:highlight w:val="white"/>
        </w:rPr>
        <w:t>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2023-07-03T15:07:44Z</dcterms:created>
  <dcterms:modified xsi:type="dcterms:W3CDTF">2023-07-03T15:07:44Z</dcterms:modified>
</cp:coreProperties>
</file>