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214630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240665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600710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107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13, 2024, the Registrant filed with the Canadian Securities Regulatory Authorities on the System for Electronic Data Analysis and Retrieval</w:t>
      </w:r>
    </w:p>
    <w:p>
      <w:pPr>
        <w:spacing w:after="0" w:line="27" w:lineRule="exact"/>
        <w:rPr>
          <w:sz w:val="20"/>
          <w:szCs w:val="20"/>
          <w:color w:val="auto"/>
        </w:rPr>
      </w:pPr>
    </w:p>
    <w:p>
      <w:pPr>
        <w:ind w:right="2340" w:firstLine="8"/>
        <w:spacing w:after="0" w:line="487" w:lineRule="auto"/>
        <w:tabs>
          <w:tab w:leader="none" w:pos="1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(SEDAR +) a press release, a copy of which is attached hereto as Exhibit 99.1, which is incorporated herein by reference. See the Exhibits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4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September 13, 2024</w:t>
            </w:r>
          </w:p>
        </w:tc>
      </w:tr>
      <w:tr>
        <w:trPr>
          <w:trHeight w:val="412"/>
        </w:trPr>
        <w:tc>
          <w:tcPr>
            <w:tcW w:w="1360" w:type="dxa"/>
            <w:vAlign w:val="bottom"/>
            <w:tcBorders>
              <w:top w:val="single" w:sz="8" w:color="CCEEFF"/>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7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864" w:right="11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175260</wp:posOffset>
            </wp:positionV>
            <wp:extent cx="202311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Enters into 10,000 Miner Hosting Agreement with Stronghold Digital Mining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Agreement to support 2.2 EH/s with energization expected in October, two months ahead of schedule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Company reiterates 2024 &amp; 2025 guidance of 21 EH/s &amp; 35+ EH/s, respectively -</w:t>
      </w:r>
    </w:p>
    <w:p>
      <w:pPr>
        <w:spacing w:after="0" w:line="203" w:lineRule="exact"/>
        <w:rPr>
          <w:sz w:val="20"/>
          <w:szCs w:val="20"/>
          <w:color w:val="auto"/>
        </w:rPr>
      </w:pPr>
    </w:p>
    <w:p>
      <w:pPr>
        <w:jc w:val="both"/>
        <w:ind w:hanging="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13, 2024) </w:t>
      </w:r>
      <w:r>
        <w:rPr>
          <w:rFonts w:ascii="Times New Roman" w:cs="Times New Roman" w:eastAsia="Times New Roman" w:hAnsi="Times New Roman"/>
          <w:sz w:val="18"/>
          <w:szCs w:val="18"/>
          <w:color w:val="auto"/>
        </w:rPr>
        <w:t>- Bitfarms Ltd. (NASDAQ/TSX: BITF) ("Bitfarms" or the "Company"), a global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vertically integrated Bitcoin data center operations, has entered into a miner hosting agreement (the "Hosting Agreement") with Stronghold Digital Mining Hosting, LLC, a subsidiary of Stronghold Digital Mining, Inc. (NASDAQ: SDIG) (“Stronghold”) at Stronghold’s Panther Creek site in Pennsylvania.</w:t>
      </w:r>
    </w:p>
    <w:p>
      <w:pPr>
        <w:spacing w:after="0" w:line="180"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Under the terms of the Hosting Agreement, Bitfarms will be accelerating the deployment of 10,000 Bitmain T21 miners, originally scheduled to come online at the Company’s Yguazu, Paraguay site in December 2024, to Stronghold’s Panther Creek site. Energization is anticipated in October 2024 and will bring 2.2 EH/s online immediately.</w:t>
      </w:r>
    </w:p>
    <w:p>
      <w:pPr>
        <w:spacing w:after="0" w:line="176" w:lineRule="exact"/>
        <w:rPr>
          <w:sz w:val="20"/>
          <w:szCs w:val="20"/>
          <w:color w:val="auto"/>
        </w:rPr>
      </w:pPr>
    </w:p>
    <w:p>
      <w:pPr>
        <w:jc w:val="both"/>
        <w:ind w:hanging="11"/>
        <w:spacing w:after="0" w:line="258" w:lineRule="auto"/>
        <w:rPr>
          <w:sz w:val="20"/>
          <w:szCs w:val="20"/>
          <w:color w:val="auto"/>
        </w:rPr>
      </w:pPr>
      <w:r>
        <w:rPr>
          <w:rFonts w:ascii="Times New Roman" w:cs="Times New Roman" w:eastAsia="Times New Roman" w:hAnsi="Times New Roman"/>
          <w:sz w:val="18"/>
          <w:szCs w:val="18"/>
          <w:color w:val="auto"/>
        </w:rPr>
        <w:t>“This Hosting Agreement represents an important milestone in our efforts to further optimize our assets and take greater control over our top cost element, the cost of power,” stated Ben Gagnon, Chief Executive Officer. “The opportunity to vertically integrate our operations with Stronghold’s existing power generation infrastructure provides a robust pathway to continued, profitable growth. Further, Stronghold’s Pennsylvania sites have substantial multi-year expansion potential and provide access to energy trading opportunities, competitive power costs, and HPC/AI. We look forward to completing our acquisition of Stronghold and accelerating our strategy to diversify beyond Bitcoin mining to create greater long-term shareholder value.”</w:t>
      </w:r>
    </w:p>
    <w:p>
      <w:pPr>
        <w:spacing w:after="0" w:line="183" w:lineRule="exact"/>
        <w:rPr>
          <w:sz w:val="20"/>
          <w:szCs w:val="20"/>
          <w:color w:val="auto"/>
        </w:rPr>
      </w:pPr>
    </w:p>
    <w:p>
      <w:pPr>
        <w:jc w:val="both"/>
        <w:ind w:hanging="11"/>
        <w:spacing w:after="0" w:line="255" w:lineRule="auto"/>
        <w:rPr>
          <w:sz w:val="20"/>
          <w:szCs w:val="20"/>
          <w:color w:val="auto"/>
        </w:rPr>
      </w:pPr>
      <w:r>
        <w:rPr>
          <w:rFonts w:ascii="Times New Roman" w:cs="Times New Roman" w:eastAsia="Times New Roman" w:hAnsi="Times New Roman"/>
          <w:sz w:val="18"/>
          <w:szCs w:val="18"/>
          <w:color w:val="auto"/>
        </w:rPr>
        <w:t>The Hosting Agreement will commence on October 1, 2024, and continue for an initial term expiring on December 31, 2025, after which it will automatically renew for additional one- year periods unless either party provides written notice of non-renewal. Pursuant to the Hosting Agreement, Bitfarms will pay Stronghold a monthly fee equal to fifty percent of the profit generated by the Bitfarms miners, subject to certain monthly adjustments between the parties to account for the upfront monthly payment due from Bitfarms to Stronghold in the amount of $210,000 and for taxes and the net cost of power associated with the operation of the Bitfarms miners. In connection with the execution of the Hosting Agreement, Bitfarms also deposited with Stronghold $7.8 million, equal to the estimated cost of power for three months of operations of the Bitfarms miners, which will be refundable in full to Bitfarms within one business day of the end of the initial term expiring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1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464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t>Forward-Looking Statements</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Hosting Agreement, projected growth, target hashrate, opportunities relating to the Company’s geographical diversification and expansion, upgrading and deployment of miners as well as the timing therefor, closing of the Stronghold acquisition on a timely basis and on the terms as announced, the ability to integrate and successfully operate the Sharon mega-site with access to up to 120 MW, entering into a definitive lease agreement and receiving regulatory approvals in respect of the letter of intent for a lease to an additional 10 MW site in Sharon, the benefits of the Stronghold acquisition and the other Sharon lease transactions (collectively, the “</w:t>
      </w:r>
      <w:r>
        <w:rPr>
          <w:rFonts w:ascii="Times New Roman" w:cs="Times New Roman" w:eastAsia="Times New Roman" w:hAnsi="Times New Roman"/>
          <w:sz w:val="18"/>
          <w:szCs w:val="18"/>
          <w:b w:val="1"/>
          <w:bCs w:val="1"/>
          <w:i w:val="1"/>
          <w:iCs w:val="1"/>
          <w:color w:val="auto"/>
        </w:rPr>
        <w:t>Sharon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Acquisitions</w:t>
      </w:r>
      <w:r>
        <w:rPr>
          <w:rFonts w:ascii="Times New Roman" w:cs="Times New Roman" w:eastAsia="Times New Roman" w:hAnsi="Times New Roman"/>
          <w:sz w:val="18"/>
          <w:szCs w:val="18"/>
          <w:i w:val="1"/>
          <w:iCs w:val="1"/>
          <w:color w:val="auto"/>
        </w:rPr>
        <w:t>”), the ability to gain access to additional electrical power and grow hashrate of the Stronghold business and the Sharon Acquisitions,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performance of the plants and equipment upgrades and the impact on operating capacity including the target hashrate and multi-year expansion capacity, the opportunities to leverage Bitfarms’ proven expertise to successfully enhance energy efficiency and hashrate, the benefits of the growth strategy including to merge HPC / AI with Bitcoin mining operations, and other statements regarding future growth, plans and objectives of the Company are forward-looking information.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a letter of intent on an additional 10 MW site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98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7955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795528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2024-09-13T16:27:51Z</dcterms:created>
  <dcterms:modified xsi:type="dcterms:W3CDTF">2024-09-13T16:27:51Z</dcterms:modified>
</cp:coreProperties>
</file>