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SECURITIES AND EXCHANGE COMMISSION</w:t>
      </w: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For the month of March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color w:val="auto"/>
        </w:rPr>
        <w:t>BITFARMS LTD.</w:t>
      </w:r>
    </w:p>
    <w:p>
      <w:pPr>
        <w:spacing w:after="0" w:line="1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32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93"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On March 17, 2022, the Registrant filed with the Canadian Securities Regulatory Authorities on the System for Electronic Data Analysis and Retrieval (SEDAR) a material change report that includes a copy of a press release, a copy of which is attached hereto as Exhibit 99.1, and which is incorporated by reference to the Company’s Registration Statement on Form F-10 (File No. 333-258788).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3360" w:type="dxa"/>
            <w:vAlign w:val="bottom"/>
          </w:tcPr>
          <w:p>
            <w:pPr>
              <w:spacing w:after="0"/>
              <w:rPr>
                <w:sz w:val="20"/>
                <w:szCs w:val="20"/>
                <w:color w:val="auto"/>
              </w:rPr>
            </w:pPr>
          </w:p>
        </w:tc>
        <w:tc>
          <w:tcPr>
            <w:tcW w:w="6520" w:type="dxa"/>
            <w:vAlign w:val="bottom"/>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Exhibit No.</w:t>
            </w:r>
          </w:p>
        </w:tc>
        <w:tc>
          <w:tcPr>
            <w:tcW w:w="988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16"/>
        </w:trPr>
        <w:tc>
          <w:tcPr>
            <w:tcW w:w="13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6520" w:type="dxa"/>
            <w:vAlign w:val="bottom"/>
          </w:tcPr>
          <w:p>
            <w:pPr>
              <w:spacing w:after="0"/>
              <w:rPr>
                <w:sz w:val="18"/>
                <w:szCs w:val="18"/>
                <w:color w:val="auto"/>
              </w:rPr>
            </w:pPr>
          </w:p>
        </w:tc>
      </w:tr>
      <w:tr>
        <w:trPr>
          <w:trHeight w:val="17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9880" w:type="dxa"/>
            <w:vAlign w:val="bottom"/>
            <w:gridSpan w:val="2"/>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Material Change Report dated March 17, 2022</w:t>
              </w:r>
            </w:hyperlink>
          </w:p>
        </w:tc>
      </w:tr>
      <w:tr>
        <w:trPr>
          <w:trHeight w:val="20"/>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0000EE"/>
            </w:tcBorders>
            <w:shd w:val="clear" w:color="auto" w:fill="CCEEFF"/>
          </w:tcPr>
          <w:p>
            <w:pPr>
              <w:spacing w:after="0" w:line="20" w:lineRule="exact"/>
              <w:rPr>
                <w:sz w:val="1"/>
                <w:szCs w:val="1"/>
                <w:color w:val="auto"/>
              </w:rPr>
            </w:pPr>
          </w:p>
        </w:tc>
        <w:tc>
          <w:tcPr>
            <w:tcW w:w="6520" w:type="dxa"/>
            <w:vAlign w:val="bottom"/>
            <w:tcBorders>
              <w:top w:val="single" w:sz="8" w:color="CCEEFF"/>
            </w:tcBorders>
            <w:shd w:val="clear" w:color="auto" w:fill="CCEEFF"/>
          </w:tcPr>
          <w:p>
            <w:pPr>
              <w:spacing w:after="0" w:line="20" w:lineRule="exact"/>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ind w:left="6080"/>
        <w:spacing w:after="0"/>
        <w:tabs>
          <w:tab w:leader="none" w:pos="666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17, 2022</w:t>
      </w:r>
    </w:p>
    <w:p>
      <w:pPr>
        <w:spacing w:after="0" w:line="326"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800" w:right="9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51-102F3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CHANGE REPORT</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Bitfarms Ltd. (“Bitfarms” or the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King Street East, Suite 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Toronto, Ontario M5C 1C4</w:t>
      </w:r>
    </w:p>
    <w:p>
      <w:pPr>
        <w:sectPr>
          <w:pgSz w:w="11900" w:h="16838" w:orient="portrait"/>
          <w:cols w:equalWidth="0" w:num="1">
            <w:col w:w="11240"/>
          </w:cols>
          <w:pgMar w:left="320" w:top="355" w:right="3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Date of Material Change</w:t>
      </w:r>
    </w:p>
    <w:p>
      <w:pPr>
        <w:spacing w:after="0" w:line="211" w:lineRule="exact"/>
        <w:rPr>
          <w:sz w:val="20"/>
          <w:szCs w:val="20"/>
          <w:color w:val="auto"/>
        </w:rPr>
      </w:pPr>
    </w:p>
    <w:p>
      <w:pPr>
        <w:sectPr>
          <w:pgSz w:w="11900" w:h="16838" w:orient="portrait"/>
          <w:cols w:equalWidth="0" w:num="2">
            <w:col w:w="580" w:space="720"/>
            <w:col w:w="9940"/>
          </w:cols>
          <w:pgMar w:left="320" w:top="355"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March 17, 2022.</w:t>
      </w:r>
    </w:p>
    <w:p>
      <w:pPr>
        <w:sectPr>
          <w:pgSz w:w="11900" w:h="16838" w:orient="portrait"/>
          <w:cols w:equalWidth="0" w:num="1">
            <w:col w:w="11240"/>
          </w:cols>
          <w:pgMar w:left="320" w:top="355"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News Release</w:t>
      </w:r>
    </w:p>
    <w:p>
      <w:pPr>
        <w:spacing w:after="0" w:line="222" w:lineRule="exact"/>
        <w:rPr>
          <w:sz w:val="20"/>
          <w:szCs w:val="20"/>
          <w:color w:val="auto"/>
        </w:rPr>
      </w:pPr>
    </w:p>
    <w:p>
      <w:pPr>
        <w:sectPr>
          <w:pgSz w:w="11900" w:h="16838" w:orient="portrait"/>
          <w:cols w:equalWidth="0" w:num="2">
            <w:col w:w="580" w:space="720"/>
            <w:col w:w="9940"/>
          </w:cols>
          <w:pgMar w:left="320" w:top="355"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The press release attached as Schedule “A” was released on March 17, 2022 by a newswire company in Canada.</w:t>
      </w:r>
    </w:p>
    <w:p>
      <w:pPr>
        <w:spacing w:after="0" w:line="2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material change is described in the press release attached as Schedule “A”.</w:t>
      </w:r>
    </w:p>
    <w:p>
      <w:pPr>
        <w:sectPr>
          <w:pgSz w:w="11900" w:h="16838" w:orient="portrait"/>
          <w:cols w:equalWidth="0" w:num="1">
            <w:col w:w="11240"/>
          </w:cols>
          <w:pgMar w:left="320" w:top="355" w:right="3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Reliance of subsection 7.1(2) of National Instrument 51-102</w:t>
      </w:r>
    </w:p>
    <w:p>
      <w:pPr>
        <w:spacing w:after="0" w:line="211" w:lineRule="exact"/>
        <w:rPr>
          <w:sz w:val="20"/>
          <w:szCs w:val="20"/>
          <w:color w:val="auto"/>
        </w:rPr>
      </w:pPr>
    </w:p>
    <w:p>
      <w:pPr>
        <w:sectPr>
          <w:pgSz w:w="11900" w:h="16838" w:orient="portrait"/>
          <w:cols w:equalWidth="0" w:num="2">
            <w:col w:w="580" w:space="720"/>
            <w:col w:w="9940"/>
          </w:cols>
          <w:pgMar w:left="320" w:top="355"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355"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Omitted Information</w:t>
      </w:r>
    </w:p>
    <w:p>
      <w:pPr>
        <w:spacing w:after="0" w:line="211" w:lineRule="exact"/>
        <w:rPr>
          <w:sz w:val="20"/>
          <w:szCs w:val="20"/>
          <w:color w:val="auto"/>
        </w:rPr>
      </w:pPr>
    </w:p>
    <w:p>
      <w:pPr>
        <w:sectPr>
          <w:pgSz w:w="11900" w:h="16838" w:orient="portrait"/>
          <w:cols w:equalWidth="0" w:num="2">
            <w:col w:w="580" w:space="720"/>
            <w:col w:w="9940"/>
          </w:cols>
          <w:pgMar w:left="320" w:top="355"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240"/>
          </w:cols>
          <w:pgMar w:left="320" w:top="355"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w:t>
      </w:r>
    </w:p>
    <w:p>
      <w:pPr>
        <w:spacing w:after="0" w:line="211" w:lineRule="exact"/>
        <w:rPr>
          <w:sz w:val="20"/>
          <w:szCs w:val="20"/>
          <w:color w:val="auto"/>
        </w:rPr>
      </w:pPr>
    </w:p>
    <w:p>
      <w:pPr>
        <w:sectPr>
          <w:pgSz w:w="11900" w:h="16838" w:orient="portrait"/>
          <w:cols w:equalWidth="0" w:num="2">
            <w:col w:w="580" w:space="720"/>
            <w:col w:w="9940"/>
          </w:cols>
          <w:pgMar w:left="320" w:top="355" w:right="3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Nicolas Bonta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Executive Chairman &amp; Director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Bitfarms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nbonta@bitfarms.com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Date of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March 17,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4" w:name="page5"/>
    <w:bookmarkEnd w:id="4"/>
    <w:p>
      <w:pPr>
        <w:jc w:val="center"/>
        <w:ind w:right="240"/>
        <w:spacing w:after="0"/>
        <w:rPr>
          <w:sz w:val="20"/>
          <w:szCs w:val="20"/>
          <w:color w:val="auto"/>
        </w:rPr>
      </w:pPr>
      <w:r>
        <w:rPr>
          <w:rFonts w:ascii="Arial" w:cs="Arial" w:eastAsia="Arial" w:hAnsi="Arial"/>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151765</wp:posOffset>
            </wp:positionV>
            <wp:extent cx="2074545" cy="557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7454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Bitfarms Commences Production at The Bunker</w:t>
      </w:r>
    </w:p>
    <w:p>
      <w:pPr>
        <w:spacing w:after="0" w:line="2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b w:val="1"/>
          <w:bCs w:val="1"/>
          <w:color w:val="auto"/>
        </w:rPr>
        <w:t>New Location Delivering 300 Petahash -</w:t>
      </w:r>
    </w:p>
    <w:p>
      <w:pPr>
        <w:spacing w:after="0" w:line="195" w:lineRule="exact"/>
        <w:rPr>
          <w:sz w:val="20"/>
          <w:szCs w:val="20"/>
          <w:color w:val="auto"/>
        </w:rPr>
      </w:pPr>
    </w:p>
    <w:p>
      <w:pPr>
        <w:jc w:val="center"/>
        <w:ind w:right="760"/>
        <w:spacing w:after="0" w:line="277" w:lineRule="auto"/>
        <w:rPr>
          <w:sz w:val="20"/>
          <w:szCs w:val="20"/>
          <w:color w:val="auto"/>
        </w:rPr>
      </w:pPr>
      <w:r>
        <w:rPr>
          <w:rFonts w:ascii="Arial" w:cs="Arial" w:eastAsia="Arial" w:hAnsi="Arial"/>
          <w:sz w:val="18"/>
          <w:szCs w:val="18"/>
          <w:i w:val="1"/>
          <w:iCs w:val="1"/>
          <w:color w:val="545454"/>
        </w:rPr>
        <w:t>This news release constitutes a “designated news release” for the purposes of the Company’s prospectus supplement dated August 16, 2021 to its short form base shelf prospectus dated August 12, 2021.</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Toronto, Ontario and Brossard, Québec (March 17, 2022) </w:t>
      </w:r>
      <w:r>
        <w:rPr>
          <w:rFonts w:ascii="Arial" w:cs="Arial" w:eastAsia="Arial" w:hAnsi="Arial"/>
          <w:sz w:val="17"/>
          <w:szCs w:val="17"/>
          <w:color w:val="auto"/>
        </w:rPr>
        <w:t>- Bitfarms Ltd. (</w:t>
      </w:r>
      <w:r>
        <w:rPr>
          <w:rFonts w:ascii="Arial" w:cs="Arial" w:eastAsia="Arial" w:hAnsi="Arial"/>
          <w:sz w:val="17"/>
          <w:szCs w:val="17"/>
          <w:u w:val="single" w:color="auto"/>
          <w:color w:val="auto"/>
        </w:rPr>
        <w:t>NASDAQ: BITF // TSX-V: BITF</w:t>
      </w:r>
      <w:r>
        <w:rPr>
          <w:rFonts w:ascii="Arial" w:cs="Arial" w:eastAsia="Arial" w:hAnsi="Arial"/>
          <w:sz w:val="17"/>
          <w:szCs w:val="17"/>
          <w:color w:val="auto"/>
        </w:rPr>
        <w:t>), a global Bitcoin self-mining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commenced production at The Bunker, located in Sherbrooke, Québec. As Bitfarms previously announced in October 2021, The Bunker is being constructed in three phases, phase one of which has been completed, and initial capacity of 12 megawatts (MW) is available and being utilized as previous miner deliveries are already installed. The Bunker increases farms in production to eight and total capacity to 118 MW.</w:t>
      </w:r>
    </w:p>
    <w:p>
      <w:pPr>
        <w:spacing w:after="0" w:line="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“Timely construction and miner deployments are key factors to achieving our 3 exahash per second (EH/s) goal,” said Emiliano Grodzki, CEO of Bitfarms. “Energizing The Bunker moves us one step closer to meeting that target. Rapid deployment of mining assets is underway, and The Bunker is presently operating at 300 petahash. With an additional 1,000 miners contemporaneously being redeployed in Paraguay, this brings our total current hashrate to 2.7 EH/s, which is a 17% increase since the beginning of March. The Bunker, along with our nearby Leger location, will contribute a substantial boost to our goal of achieving 3 EH/s for early Q2-2022.”</w:t>
      </w:r>
    </w:p>
    <w:p>
      <w:pPr>
        <w:spacing w:after="0" w:line="19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Upon full buildout, The Bunker is expected to be a 48 MW facility housing 13,000 miners, anticipated to deliver 1,300 petahash per second (PH/s). Construction is being done in three phases. As described, phase one of the construction has been completed and miner deliveries and installations are underway. Phases two and three, each representing 18 MW, are proceeding as planned toward targeted completion in Q2-2022 and Q3-2022, respectively.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Founded in 2017, Bitfarms is a global Bitcoin self-mining company, running vertically integrated mining operations with onsite technical repair, proprietary data analytics and Company-owned electrical engineering and installation services to deliver high operational performance and uptime.</w:t>
      </w:r>
    </w:p>
    <w:p>
      <w:pPr>
        <w:spacing w:after="0" w:line="16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Bitfarms was honoured to be announced as a Rising Star by the TSX-V. On June 21, 2021, Bitfarms started trading on the Nasdaq Stock Market. On February 24, 2022, the Company was further honoured by the TSX-V as a Venture 50 Winner, placing first in the Technology sector.</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Operationally, Bitfarms has a diversified production platform with five industrial scale facilities located in Québec, one in Washington state, and one in Paraguay. Each facility is over 99% powered with environmentally friendly hydro power and secured with long- term power contracts. Bitfarms is currently the only publicly traded pure-play crypto mining company audited by a Big Four accounting firm.</w:t>
      </w:r>
    </w:p>
    <w:p>
      <w:pPr>
        <w:spacing w:after="0" w:line="184" w:lineRule="exact"/>
        <w:rPr>
          <w:sz w:val="20"/>
          <w:szCs w:val="20"/>
          <w:color w:val="auto"/>
        </w:rPr>
      </w:pPr>
    </w:p>
    <w:p>
      <w:pPr>
        <w:ind w:right="3400"/>
        <w:spacing w:after="0" w:line="263" w:lineRule="auto"/>
        <w:rPr>
          <w:sz w:val="20"/>
          <w:szCs w:val="20"/>
          <w:color w:val="auto"/>
        </w:rPr>
      </w:pPr>
      <w:r>
        <w:rPr>
          <w:rFonts w:ascii="Arial" w:cs="Arial" w:eastAsia="Arial" w:hAnsi="Arial"/>
          <w:sz w:val="18"/>
          <w:szCs w:val="18"/>
          <w:color w:val="auto"/>
        </w:rPr>
        <w:t xml:space="preserve">To learn more about Bitfarms’ events, developments, and online communities: </w:t>
      </w:r>
      <w:r>
        <w:rPr>
          <w:rFonts w:ascii="Arial" w:cs="Arial" w:eastAsia="Arial" w:hAnsi="Arial"/>
          <w:sz w:val="18"/>
          <w:szCs w:val="18"/>
          <w:color w:val="444444"/>
        </w:rPr>
        <w:t>Website:</w:t>
      </w:r>
      <w:r>
        <w:rPr>
          <w:rFonts w:ascii="Arial" w:cs="Arial" w:eastAsia="Arial" w:hAnsi="Arial"/>
          <w:sz w:val="18"/>
          <w:szCs w:val="18"/>
          <w:color w:val="auto"/>
        </w:rPr>
        <w:t xml:space="preserve"> www.bitfarms.com https://www.facebook.com/bitfarms/ https://twitter.com/Bitfarms_io https://www.instagram.com/bitfarms/ https://www.linkedin.com/company/bitfarms/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800"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444444"/>
        </w:rPr>
        <w:t>Cautionary Statement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444444"/>
        </w:rPr>
        <w:t>Trading in the securities of the Company should be considered highly speculative. No stock exchange, securities commission or other regulatory authority has approved or disapproved the information contained herein. Neither the TSX Venture Exchange nor its Regulation Services Provider (as that term is defined in the policies of the TSX Venture Exchange), Nasdaq, or any other securities exchange or regulatory authority accepts responsibility for the adequacy or accuracy of this release.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44444"/>
        </w:rPr>
        <w:t>Forward-Looking Statements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444444"/>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information in this release regarding expectations in respect to successful operation of the first phase of The Bunker mining facility on an economic basis, and construction and operation of the remaining phases of The Bunker mining facility on the terms as announced and on an economic basis, meeting the Company’s capacity and hashrate goals and the Company’s expansion plans, and about other future plans and objectives of the Company are forward- 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444444"/>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800" w:right="439" w:bottom="1440" w:gutter="0" w:footer="0" w:header="0"/>
        </w:sectPr>
      </w:pPr>
    </w:p>
    <w:bookmarkStart w:id="6" w:name="page7"/>
    <w:bookmarkEnd w:id="6"/>
    <w:p>
      <w:pPr>
        <w:jc w:val="both"/>
        <w:spacing w:after="0" w:line="283" w:lineRule="auto"/>
        <w:rPr>
          <w:sz w:val="20"/>
          <w:szCs w:val="20"/>
          <w:color w:val="auto"/>
        </w:rPr>
      </w:pPr>
      <w:r>
        <w:rPr>
          <w:rFonts w:ascii="Arial" w:cs="Arial" w:eastAsia="Arial" w:hAnsi="Arial"/>
          <w:sz w:val="16"/>
          <w:szCs w:val="16"/>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ability to successfully operate the first phase of The Bunker mining facility on an economic basis, and the ability to construct and operate the remaining phases of The Bunker mining facility on the terms as announced and on an economic basis; the global economic climate; dilution; the Company’s limited operating history; future capital needs and uncertainty of additional financing, including the Company’s ability to utilize the Company’s at-the-market offering (the “ATM Program”) and the prices at which the Company may sell Common Shares in the ATM Program, as well as capital market conditions in general; risks relating to the strategy of maintaining and increasing Bitcoin holdings and the impact of depreciating Bitcoin prices on working capital; the competitive nature of the industry; currency exchange risks; the need for the Company to manage its planned growth and expansion; the effects of product development and need for continued technology change;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share dilution resulting from the ATM Program and from other equity issuances; and volatile securities markets impacting security pricing unrelated to operating performance. In addition, particular factors that could impact future results of the business of Bitfarms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annual information form for the year ended December 31, 2020, filed on April 7, 2021.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LHA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303030"/>
        </w:rPr>
        <w:t>David Barnard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303030"/>
        </w:rPr>
        <w:t>+1 415-433-3777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YAP Global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Mia Grodsky,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 Executive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mia@yapglobal.com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212121"/>
        </w:rPr>
        <w:t>Québec Media: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Affaires publiques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Valérie Pomerleau, Public Affairs and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valerie@ryanap.com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40"/>
      </w:cols>
      <w:pgMar w:left="320" w:top="80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2022-03-17T15:43:10Z</dcterms:created>
  <dcterms:modified xsi:type="dcterms:W3CDTF">2022-03-17T15:43:10Z</dcterms:modified>
</cp:coreProperties>
</file>