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August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4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9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77" w:lineRule="auto"/>
        <w:rPr>
          <w:rFonts w:ascii="Arial" w:cs="Arial" w:eastAsia="Arial" w:hAnsi="Arial"/>
          <w:sz w:val="18"/>
          <w:szCs w:val="18"/>
          <w:color w:val="0000EE"/>
        </w:rPr>
      </w:pPr>
      <w:hyperlink r:id="rId19">
        <w:r>
          <w:rPr>
            <w:rFonts w:ascii="Arial" w:cs="Arial" w:eastAsia="Arial" w:hAnsi="Arial"/>
            <w:sz w:val="18"/>
            <w:szCs w:val="18"/>
            <w:color w:val="auto"/>
          </w:rPr>
          <w:t xml:space="preserve">Exhibit 99.1 to this Form 6-K of Bitfarms Ltd. (the “Company”) is hereby incorporated by reference as an exhibit to the Registration Statement on </w:t>
        </w:r>
        <w:r>
          <w:rPr>
            <w:rFonts w:ascii="Arial" w:cs="Arial" w:eastAsia="Arial" w:hAnsi="Arial"/>
            <w:sz w:val="18"/>
            <w:szCs w:val="18"/>
            <w:u w:val="single" w:color="auto"/>
            <w:color w:val="0000EE"/>
          </w:rPr>
          <w:t>Form F-</w:t>
        </w:r>
      </w:hyperlink>
      <w:hyperlink r:id="rId19">
        <w:r>
          <w:rPr>
            <w:rFonts w:ascii="Arial" w:cs="Arial" w:eastAsia="Arial" w:hAnsi="Arial"/>
            <w:sz w:val="18"/>
            <w:szCs w:val="18"/>
            <w:u w:val="single" w:color="auto"/>
            <w:color w:val="0000EE"/>
          </w:rPr>
          <w:t>10</w:t>
        </w:r>
        <w:r>
          <w:rPr>
            <w:rFonts w:ascii="Arial" w:cs="Arial" w:eastAsia="Arial" w:hAnsi="Arial"/>
            <w:sz w:val="18"/>
            <w:szCs w:val="18"/>
            <w:color w:val="0000EE"/>
          </w:rPr>
          <w:t xml:space="preserve"> </w:t>
        </w:r>
        <w:r>
          <w:rPr>
            <w:rFonts w:ascii="Arial" w:cs="Arial" w:eastAsia="Arial" w:hAnsi="Arial"/>
            <w:sz w:val="18"/>
            <w:szCs w:val="18"/>
            <w:color w:val="000000"/>
          </w:rPr>
          <w:t>of the Company (File No. 333-258788).</w:t>
        </w:r>
      </w:hyperlink>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27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6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At The Market Offering Agreement, by and between Bitfarms Ltd. and H.C. Wainwright &amp; Co., LLC, dated August 16, 2021.</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Borders>
              <w:top w:val="single" w:sz="8" w:color="CCEEFF"/>
            </w:tcBorders>
          </w:tcPr>
          <w:p>
            <w:pPr>
              <w:spacing w:after="0"/>
              <w:rPr>
                <w:sz w:val="15"/>
                <w:szCs w:val="15"/>
                <w:color w:val="auto"/>
              </w:rPr>
            </w:pPr>
          </w:p>
        </w:tc>
        <w:tc>
          <w:tcPr>
            <w:tcW w:w="27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News Release dated August 16, 2021</w:t>
              </w:r>
            </w:hyperlink>
          </w:p>
        </w:tc>
        <w:tc>
          <w:tcPr>
            <w:tcW w:w="6360" w:type="dxa"/>
            <w:vAlign w:val="bottom"/>
            <w:tcBorders>
              <w:top w:val="single" w:sz="8" w:color="0000EE"/>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r>
      <w:tr>
        <w:trPr>
          <w:trHeight w:val="703"/>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
          </w:tcPr>
          <w:p>
            <w:pPr>
              <w:jc w:val="right"/>
              <w:ind w:right="4540"/>
              <w:spacing w:after="0"/>
              <w:rPr>
                <w:sz w:val="20"/>
                <w:szCs w:val="20"/>
                <w:color w:val="auto"/>
              </w:rPr>
            </w:pPr>
            <w:r>
              <w:rPr>
                <w:rFonts w:ascii="Arial" w:cs="Arial" w:eastAsia="Arial" w:hAnsi="Arial"/>
                <w:sz w:val="22"/>
                <w:szCs w:val="22"/>
                <w:color w:val="auto"/>
              </w:rPr>
              <w:t>1</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THE MARKET OFFERING AGREEMENT</w:t>
      </w:r>
    </w:p>
    <w:p>
      <w:pPr>
        <w:spacing w:after="0" w:line="22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August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Bitfarms Ltd., a corporation organized pursuant to the federal laws of Canada (the “</w:t>
      </w:r>
      <w:r>
        <w:rPr>
          <w:rFonts w:ascii="Arial" w:cs="Arial" w:eastAsia="Arial" w:hAnsi="Arial"/>
          <w:sz w:val="16"/>
          <w:szCs w:val="16"/>
          <w:u w:val="single" w:color="auto"/>
          <w:color w:val="auto"/>
        </w:rPr>
        <w:t>Company</w:t>
      </w:r>
      <w:r>
        <w:rPr>
          <w:rFonts w:ascii="Arial" w:cs="Arial" w:eastAsia="Arial" w:hAnsi="Arial"/>
          <w:sz w:val="16"/>
          <w:szCs w:val="16"/>
          <w:color w:val="auto"/>
        </w:rPr>
        <w:t>”),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LLC (the “</w:t>
      </w:r>
      <w:r>
        <w:rPr>
          <w:rFonts w:ascii="Arial" w:cs="Arial" w:eastAsia="Arial" w:hAnsi="Arial"/>
          <w:sz w:val="18"/>
          <w:szCs w:val="18"/>
          <w:u w:val="single" w:color="auto"/>
          <w:color w:val="auto"/>
        </w:rPr>
        <w:t>Manager</w:t>
      </w:r>
      <w:r>
        <w:rPr>
          <w:rFonts w:ascii="Arial" w:cs="Arial" w:eastAsia="Arial" w:hAnsi="Arial"/>
          <w:sz w:val="18"/>
          <w:szCs w:val="18"/>
          <w:color w:val="auto"/>
        </w:rPr>
        <w:t>”)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shall have the meaning ascribed to such term in Section 5(m).</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United States Securities Act of 1933, as amended, and the rules and regulations of the Commission promulgated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4(s).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ascribed to such term in Section 4(q).</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“Annual Information Form” means Form 51-102F2 – </w:t>
      </w:r>
      <w:r>
        <w:rPr>
          <w:rFonts w:ascii="Arial" w:cs="Arial" w:eastAsia="Arial" w:hAnsi="Arial"/>
          <w:sz w:val="18"/>
          <w:szCs w:val="18"/>
          <w:i w:val="1"/>
          <w:iCs w:val="1"/>
          <w:color w:val="auto"/>
        </w:rPr>
        <w:t>Annual Information Form</w:t>
      </w:r>
      <w:r>
        <w:rPr>
          <w:rFonts w:ascii="Arial" w:cs="Arial" w:eastAsia="Arial" w:hAnsi="Arial"/>
          <w:sz w:val="18"/>
          <w:szCs w:val="18"/>
          <w:color w:val="auto"/>
        </w:rPr>
        <w:t xml:space="preserve"> under </w:t>
      </w:r>
      <w:r>
        <w:rPr>
          <w:rFonts w:ascii="Arial" w:cs="Arial" w:eastAsia="Arial" w:hAnsi="Arial"/>
          <w:sz w:val="18"/>
          <w:szCs w:val="18"/>
          <w:u w:val="single" w:color="auto"/>
          <w:color w:val="auto"/>
        </w:rPr>
        <w:t>Canadian Securities Laws</w:t>
      </w:r>
      <w:r>
        <w:rPr>
          <w:rFonts w:ascii="Arial" w:cs="Arial" w:eastAsia="Arial" w:hAnsi="Arial"/>
          <w:sz w:val="18"/>
          <w:szCs w:val="18"/>
          <w:i w:val="1"/>
          <w:i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Shares, the time of sale of such Shares pursuant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Prospectuses</w:t>
      </w:r>
      <w:r>
        <w:rPr>
          <w:rFonts w:ascii="Arial" w:cs="Arial" w:eastAsia="Arial" w:hAnsi="Arial"/>
          <w:sz w:val="18"/>
          <w:szCs w:val="18"/>
          <w:color w:val="auto"/>
        </w:rPr>
        <w:t>” means, collectively, the Canadian Base Prospectus and the U.S. Base Prospectus.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ascribed to such term in Section 3(b)(iii).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 Fee</w:t>
      </w:r>
      <w:r>
        <w:rPr>
          <w:rFonts w:ascii="Arial" w:cs="Arial" w:eastAsia="Arial" w:hAnsi="Arial"/>
          <w:sz w:val="18"/>
          <w:szCs w:val="18"/>
          <w:color w:val="auto"/>
        </w:rPr>
        <w:t>” shall have the meaning ascribed to such term in Section 3(b)(v).</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shall mean any day other than Saturday, Sunday or other day on which commercial banks in The City of New York or Toronto, Ontario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Toronto, Ontario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Prospectus</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Market</w:t>
      </w:r>
      <w:r>
        <w:rPr>
          <w:rFonts w:ascii="Arial" w:cs="Arial" w:eastAsia="Arial" w:hAnsi="Arial"/>
          <w:sz w:val="18"/>
          <w:szCs w:val="18"/>
          <w:color w:val="auto"/>
        </w:rPr>
        <w:t>” shall have the meaning ascribed to such term in Section 3(b)(ix).</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Preliminary Base Prospectus</w:t>
      </w:r>
      <w:r>
        <w:rPr>
          <w:rFonts w:ascii="Arial" w:cs="Arial" w:eastAsia="Arial" w:hAnsi="Arial"/>
          <w:sz w:val="16"/>
          <w:szCs w:val="16"/>
          <w:color w:val="auto"/>
        </w:rPr>
        <w:t>” shall have the meaning ascribed to such term in Section 2.</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Prospectus</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Prospectus Supplement</w:t>
      </w:r>
      <w:r>
        <w:rPr>
          <w:rFonts w:ascii="Arial" w:cs="Arial" w:eastAsia="Arial" w:hAnsi="Arial"/>
          <w:sz w:val="17"/>
          <w:szCs w:val="17"/>
          <w:color w:val="auto"/>
        </w:rPr>
        <w:t>” shall have the meaning ascribed to such term in Section 2.</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Qualifying Authorities</w:t>
      </w:r>
      <w:r>
        <w:rPr>
          <w:rFonts w:ascii="Arial" w:cs="Arial" w:eastAsia="Arial" w:hAnsi="Arial"/>
          <w:sz w:val="17"/>
          <w:szCs w:val="17"/>
          <w:color w:val="auto"/>
        </w:rPr>
        <w:t>” shall have the meaning ascribed to such term in Section 2.</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Qualifying Jurisdictions</w:t>
      </w:r>
      <w:r>
        <w:rPr>
          <w:rFonts w:ascii="Arial" w:cs="Arial" w:eastAsia="Arial" w:hAnsi="Arial"/>
          <w:sz w:val="17"/>
          <w:szCs w:val="17"/>
          <w:color w:val="auto"/>
        </w:rPr>
        <w:t>” shall have the meaning ascribed to such term in Section 2.</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Securities Laws</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shall have the meaning ascribed to such term in Section 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 Equivalents</w:t>
      </w:r>
      <w:r>
        <w:rPr>
          <w:rFonts w:ascii="Arial" w:cs="Arial" w:eastAsia="Arial" w:hAnsi="Arial"/>
          <w:sz w:val="17"/>
          <w:szCs w:val="17"/>
          <w:color w:val="auto"/>
        </w:rPr>
        <w:t>” shall have the meaning ascribed to such term in Section 4(g).</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shall have the meaning ascribed to such term in Section 5(l).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have the meaning ascribed to such term in Section 3(b)(vii).</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Electronic Data Gathering Analysis and Retrieval System.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and any post-effective amendment or amendments thereto became or becomes effective.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United States Securities Exchange Act of 1934, as amended, and the rules and regulations of the Commission promulgated thereunder.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shall have the meaning ascribed to such term in Section 4(e).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F-10</w:t>
      </w:r>
      <w:r>
        <w:rPr>
          <w:rFonts w:ascii="Arial" w:cs="Arial" w:eastAsia="Arial" w:hAnsi="Arial"/>
          <w:sz w:val="18"/>
          <w:szCs w:val="18"/>
          <w:color w:val="auto"/>
        </w:rPr>
        <w:t>” shall mean the Commission’s Form F-10 registration statement under the Act.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F-X</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shall mean a free writing prospectus, as defined in Rule 405.</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shall have the meaning ascribed to such term in Section 4(o).</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Incorporated Documents</w:t>
      </w:r>
      <w:r>
        <w:rPr>
          <w:rFonts w:ascii="Arial" w:cs="Arial" w:eastAsia="Arial" w:hAnsi="Arial"/>
          <w:sz w:val="17"/>
          <w:szCs w:val="17"/>
          <w:color w:val="auto"/>
        </w:rPr>
        <w:t>” shall mean the documents or portions thereof filed with the Commission or the Reviewing Authority on or before the Effective Date that are incorporated by reference in the Prospectuses and any documents or portions thereof filed with the Commission or the Reviewing Authority after the Effective Date that are deemed to be incorporated by reference in the Prospectuses.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4(y).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shall have the meaning ascribed to such term in Section 4(a).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ascribed to such term in Section 8(d).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ascribed to such term in Section 4(b).</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 w:name="page7"/>
    <w:bookmarkEnd w:id="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4(w).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shall have the meaning ascribed to such term in Section 3(b)(v).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 44-102</w:t>
      </w:r>
      <w:r>
        <w:rPr>
          <w:rFonts w:ascii="Arial" w:cs="Arial" w:eastAsia="Arial" w:hAnsi="Arial"/>
          <w:sz w:val="18"/>
          <w:szCs w:val="18"/>
          <w:color w:val="auto"/>
        </w:rPr>
        <w:t xml:space="preserve">” means National Instrument 44-102 </w:t>
      </w:r>
      <w:r>
        <w:rPr>
          <w:rFonts w:ascii="Arial" w:cs="Arial" w:eastAsia="Arial" w:hAnsi="Arial"/>
          <w:sz w:val="18"/>
          <w:szCs w:val="18"/>
          <w:i w:val="1"/>
          <w:iCs w:val="1"/>
          <w:color w:val="auto"/>
        </w:rPr>
        <w:t>Shelf Distributions</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shall have the meaning ascribed to such term in Section 5(g).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shall have the meaning ascribed to such term in Section 4(b).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 Supplements</w:t>
      </w:r>
      <w:r>
        <w:rPr>
          <w:rFonts w:ascii="Arial" w:cs="Arial" w:eastAsia="Arial" w:hAnsi="Arial"/>
          <w:sz w:val="17"/>
          <w:szCs w:val="17"/>
          <w:color w:val="auto"/>
        </w:rPr>
        <w:t>” means, collectively, each Canadian Prospectus Supplement and each U.S. Prospectus Supplement.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Prospectuses</w:t>
      </w:r>
      <w:r>
        <w:rPr>
          <w:rFonts w:ascii="Arial" w:cs="Arial" w:eastAsia="Arial" w:hAnsi="Arial"/>
          <w:sz w:val="18"/>
          <w:szCs w:val="18"/>
          <w:color w:val="auto"/>
        </w:rPr>
        <w:t>” means, collectively, the Canadian Prospectus and the U.S. Prospectus.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the shelf registration statement (File Number 333-258788) on Form F-10, including exhibits and financial statements and any prospectus supplement relating to the offer and sale of the Shares pursuant to this Agreement that is filed with the Commission and deemed part of such registration statement, as amended on each Effective Date and, in the event any post-effective amendment thereto becomes effective, shall also mean such registration statement as so amended.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Representation Date</w:t>
      </w:r>
      <w:r>
        <w:rPr>
          <w:rFonts w:ascii="Arial" w:cs="Arial" w:eastAsia="Arial" w:hAnsi="Arial"/>
          <w:sz w:val="18"/>
          <w:szCs w:val="18"/>
          <w:color w:val="auto"/>
        </w:rPr>
        <w:t>” shall have the meaning ascribed to such term in Section 5(k).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4(e).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Reviewing Authority</w:t>
      </w:r>
      <w:r>
        <w:rPr>
          <w:rFonts w:ascii="Arial" w:cs="Arial" w:eastAsia="Arial" w:hAnsi="Arial"/>
          <w:sz w:val="18"/>
          <w:szCs w:val="18"/>
          <w:color w:val="auto"/>
        </w:rPr>
        <w:t>” means the Ontario Securities Commission.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158</w:t>
      </w:r>
      <w:r>
        <w:rPr>
          <w:rFonts w:ascii="Arial" w:cs="Arial" w:eastAsia="Arial" w:hAnsi="Arial"/>
          <w:sz w:val="17"/>
          <w:szCs w:val="17"/>
          <w:color w:val="auto"/>
        </w:rPr>
        <w:t>”, “</w:t>
      </w:r>
      <w:r>
        <w:rPr>
          <w:rFonts w:ascii="Arial" w:cs="Arial" w:eastAsia="Arial" w:hAnsi="Arial"/>
          <w:sz w:val="17"/>
          <w:szCs w:val="17"/>
          <w:u w:val="single" w:color="auto"/>
          <w:color w:val="auto"/>
        </w:rPr>
        <w:t>Rule 164</w:t>
      </w:r>
      <w:r>
        <w:rPr>
          <w:rFonts w:ascii="Arial" w:cs="Arial" w:eastAsia="Arial" w:hAnsi="Arial"/>
          <w:sz w:val="17"/>
          <w:szCs w:val="17"/>
          <w:color w:val="auto"/>
        </w:rPr>
        <w:t>”, “</w:t>
      </w:r>
      <w:r>
        <w:rPr>
          <w:rFonts w:ascii="Arial" w:cs="Arial" w:eastAsia="Arial" w:hAnsi="Arial"/>
          <w:sz w:val="17"/>
          <w:szCs w:val="17"/>
          <w:u w:val="single" w:color="auto"/>
          <w:color w:val="auto"/>
        </w:rPr>
        <w:t>Rule 172</w:t>
      </w:r>
      <w:r>
        <w:rPr>
          <w:rFonts w:ascii="Arial" w:cs="Arial" w:eastAsia="Arial" w:hAnsi="Arial"/>
          <w:sz w:val="17"/>
          <w:szCs w:val="17"/>
          <w:color w:val="auto"/>
        </w:rPr>
        <w:t>”, “</w:t>
      </w:r>
      <w:r>
        <w:rPr>
          <w:rFonts w:ascii="Arial" w:cs="Arial" w:eastAsia="Arial" w:hAnsi="Arial"/>
          <w:sz w:val="17"/>
          <w:szCs w:val="17"/>
          <w:u w:val="single" w:color="auto"/>
          <w:color w:val="auto"/>
        </w:rPr>
        <w:t>Rule 173</w:t>
      </w:r>
      <w:r>
        <w:rPr>
          <w:rFonts w:ascii="Arial" w:cs="Arial" w:eastAsia="Arial" w:hAnsi="Arial"/>
          <w:sz w:val="17"/>
          <w:szCs w:val="17"/>
          <w:color w:val="auto"/>
        </w:rPr>
        <w:t>”, “</w:t>
      </w:r>
      <w:r>
        <w:rPr>
          <w:rFonts w:ascii="Arial" w:cs="Arial" w:eastAsia="Arial" w:hAnsi="Arial"/>
          <w:sz w:val="17"/>
          <w:szCs w:val="17"/>
          <w:u w:val="single" w:color="auto"/>
          <w:color w:val="auto"/>
        </w:rPr>
        <w:t>Rule 405</w:t>
      </w:r>
      <w:r>
        <w:rPr>
          <w:rFonts w:ascii="Arial" w:cs="Arial" w:eastAsia="Arial" w:hAnsi="Arial"/>
          <w:sz w:val="17"/>
          <w:szCs w:val="17"/>
          <w:color w:val="auto"/>
        </w:rPr>
        <w:t>”, “</w:t>
      </w:r>
      <w:r>
        <w:rPr>
          <w:rFonts w:ascii="Arial" w:cs="Arial" w:eastAsia="Arial" w:hAnsi="Arial"/>
          <w:sz w:val="17"/>
          <w:szCs w:val="17"/>
          <w:u w:val="single" w:color="auto"/>
          <w:color w:val="auto"/>
        </w:rPr>
        <w:t>Rule 424</w:t>
      </w:r>
      <w:r>
        <w:rPr>
          <w:rFonts w:ascii="Arial" w:cs="Arial" w:eastAsia="Arial" w:hAnsi="Arial"/>
          <w:sz w:val="17"/>
          <w:szCs w:val="17"/>
          <w:color w:val="auto"/>
        </w:rPr>
        <w:t>”, “</w:t>
      </w:r>
      <w:r>
        <w:rPr>
          <w:rFonts w:ascii="Arial" w:cs="Arial" w:eastAsia="Arial" w:hAnsi="Arial"/>
          <w:sz w:val="17"/>
          <w:szCs w:val="17"/>
          <w:u w:val="single" w:color="auto"/>
          <w:color w:val="auto"/>
        </w:rPr>
        <w:t>Rule 430B</w:t>
      </w:r>
      <w:r>
        <w:rPr>
          <w:rFonts w:ascii="Arial" w:cs="Arial" w:eastAsia="Arial" w:hAnsi="Arial"/>
          <w:sz w:val="17"/>
          <w:szCs w:val="17"/>
          <w:color w:val="auto"/>
        </w:rPr>
        <w:t>” and “</w:t>
      </w:r>
      <w:r>
        <w:rPr>
          <w:rFonts w:ascii="Arial" w:cs="Arial" w:eastAsia="Arial" w:hAnsi="Arial"/>
          <w:sz w:val="17"/>
          <w:szCs w:val="17"/>
          <w:u w:val="single" w:color="auto"/>
          <w:color w:val="auto"/>
        </w:rPr>
        <w:t>Rule 433</w:t>
      </w:r>
      <w:r>
        <w:rPr>
          <w:rFonts w:ascii="Arial" w:cs="Arial" w:eastAsia="Arial" w:hAnsi="Arial"/>
          <w:sz w:val="17"/>
          <w:szCs w:val="17"/>
          <w:color w:val="auto"/>
        </w:rPr>
        <w:t>” refer to such rules under the Act.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Sales Notice</w:t>
      </w:r>
      <w:r>
        <w:rPr>
          <w:rFonts w:ascii="Arial" w:cs="Arial" w:eastAsia="Arial" w:hAnsi="Arial"/>
          <w:sz w:val="18"/>
          <w:szCs w:val="18"/>
          <w:color w:val="auto"/>
        </w:rPr>
        <w:t>” shall have the meaning ascribed to such term in Section 3(b)(i).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4(n).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SEDAR</w:t>
      </w:r>
      <w:r>
        <w:rPr>
          <w:rFonts w:ascii="Arial" w:cs="Arial" w:eastAsia="Arial" w:hAnsi="Arial"/>
          <w:sz w:val="18"/>
          <w:szCs w:val="18"/>
          <w:color w:val="auto"/>
        </w:rPr>
        <w:t>” means System for Electronic Document Analysis and Retrieval.</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 w:name="page8"/>
    <w:bookmarkEnd w:id="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shall have the meaning ascribed to such term in Section 3(b)(vii).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have the meaning ascribed to such term in Section 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Procedures</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Securities</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have the meaning ascribed to such term in Section 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Trading Market is open for trading.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Nasdaq Global Market.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TSX</w:t>
      </w:r>
      <w:r>
        <w:rPr>
          <w:rFonts w:ascii="Arial" w:cs="Arial" w:eastAsia="Arial" w:hAnsi="Arial"/>
          <w:sz w:val="18"/>
          <w:szCs w:val="18"/>
          <w:color w:val="auto"/>
        </w:rPr>
        <w:t>” means the TSX Venture Exchange.</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Base Prospectus</w:t>
      </w:r>
      <w:r>
        <w:rPr>
          <w:rFonts w:ascii="Arial" w:cs="Arial" w:eastAsia="Arial" w:hAnsi="Arial"/>
          <w:sz w:val="18"/>
          <w:szCs w:val="18"/>
          <w:color w:val="auto"/>
        </w:rPr>
        <w:t>” shall mean the base prospectus relating to the Shelf Securities contained in the Registration Statement at the Execution Time.</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Prospectus</w:t>
      </w:r>
      <w:r>
        <w:rPr>
          <w:rFonts w:ascii="Arial" w:cs="Arial" w:eastAsia="Arial" w:hAnsi="Arial"/>
          <w:sz w:val="18"/>
          <w:szCs w:val="18"/>
          <w:color w:val="auto"/>
        </w:rPr>
        <w:t>” shall mean the U.S. Base Prospectus, as supplemented by the most recently filed U.S. Prospectus Supplement (if any) and together with any Issuer Free Writing Prospectus.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Prospectus Supplement</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jc w:val="both"/>
        <w:ind w:firstLine="656"/>
        <w:spacing w:after="0" w:line="267" w:lineRule="auto"/>
        <w:tabs>
          <w:tab w:leader="none" w:pos="841"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Prospectuses and Registration Statement Filings</w:t>
      </w:r>
      <w:r>
        <w:rPr>
          <w:rFonts w:ascii="Arial" w:cs="Arial" w:eastAsia="Arial" w:hAnsi="Arial"/>
          <w:sz w:val="17"/>
          <w:szCs w:val="17"/>
          <w:color w:val="auto"/>
        </w:rPr>
        <w:t>. The Company has prepared and filed with the securities regulatory authorities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Qualifying Authorities</w:t>
      </w:r>
      <w:r>
        <w:rPr>
          <w:rFonts w:ascii="Arial" w:cs="Arial" w:eastAsia="Arial" w:hAnsi="Arial"/>
          <w:sz w:val="17"/>
          <w:szCs w:val="17"/>
          <w:color w:val="auto"/>
        </w:rPr>
        <w:t>”) in each of the provinces and territories of Canada (the “</w:t>
      </w:r>
      <w:r>
        <w:rPr>
          <w:rFonts w:ascii="Arial" w:cs="Arial" w:eastAsia="Arial" w:hAnsi="Arial"/>
          <w:sz w:val="17"/>
          <w:szCs w:val="17"/>
          <w:u w:val="single" w:color="auto"/>
          <w:color w:val="auto"/>
        </w:rPr>
        <w:t>Canadian Qualifying Jurisdictions</w:t>
      </w:r>
      <w:r>
        <w:rPr>
          <w:rFonts w:ascii="Arial" w:cs="Arial" w:eastAsia="Arial" w:hAnsi="Arial"/>
          <w:sz w:val="17"/>
          <w:szCs w:val="17"/>
          <w:color w:val="auto"/>
        </w:rPr>
        <w:t>”) in accordance with applicable securities laws and the respective applicable rules and regulations under such laws, together with applicable published national, multilateral and local policy statements, instruments, notices and blanket orders of the Canadian Qualifying Authorities in each of the Canadian Qualifying Jurisdictions (collectively, “</w:t>
      </w:r>
      <w:r>
        <w:rPr>
          <w:rFonts w:ascii="Arial" w:cs="Arial" w:eastAsia="Arial" w:hAnsi="Arial"/>
          <w:sz w:val="17"/>
          <w:szCs w:val="17"/>
          <w:u w:val="single" w:color="auto"/>
          <w:color w:val="auto"/>
        </w:rPr>
        <w:t>Canadian Securities Laws</w:t>
      </w:r>
      <w:r>
        <w:rPr>
          <w:rFonts w:ascii="Arial" w:cs="Arial" w:eastAsia="Arial" w:hAnsi="Arial"/>
          <w:sz w:val="17"/>
          <w:szCs w:val="17"/>
          <w:color w:val="auto"/>
        </w:rPr>
        <w:t>”), an amended and restated preliminary short-form base shelf prospectus, dated June 11, 2021 (the “</w:t>
      </w:r>
      <w:r>
        <w:rPr>
          <w:rFonts w:ascii="Arial" w:cs="Arial" w:eastAsia="Arial" w:hAnsi="Arial"/>
          <w:sz w:val="17"/>
          <w:szCs w:val="17"/>
          <w:u w:val="single" w:color="auto"/>
          <w:color w:val="auto"/>
        </w:rPr>
        <w:t>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Preliminary Base Prospectus</w:t>
      </w:r>
      <w:r>
        <w:rPr>
          <w:rFonts w:ascii="Arial" w:cs="Arial" w:eastAsia="Arial" w:hAnsi="Arial"/>
          <w:sz w:val="17"/>
          <w:szCs w:val="17"/>
          <w:color w:val="auto"/>
        </w:rPr>
        <w:t>”), in respect of offers and sales, from time to time, of up to US$500,000,000 (or the equivalent thereof in any other currency used to denominate Shelf Securities based on the applicable exchange rate at the time of issuance of such Shelf Securities) of (i) Common Shares, (ii) subscription receipts, (iii) debt securities, (iv) warrants, (v) share purchase contracts and (vi) units comprised of more than one of the Common Shares, subscription receipts, debt securities, warrants and/or share purchase contracts (collectively, the “</w:t>
      </w:r>
      <w:r>
        <w:rPr>
          <w:rFonts w:ascii="Arial" w:cs="Arial" w:eastAsia="Arial" w:hAnsi="Arial"/>
          <w:sz w:val="17"/>
          <w:szCs w:val="17"/>
          <w:u w:val="single" w:color="auto"/>
          <w:color w:val="auto"/>
        </w:rPr>
        <w:t>Shelf Securities</w:t>
      </w:r>
      <w:r>
        <w:rPr>
          <w:rFonts w:ascii="Arial" w:cs="Arial" w:eastAsia="Arial" w:hAnsi="Arial"/>
          <w:sz w:val="17"/>
          <w:szCs w:val="17"/>
          <w:color w:val="auto"/>
        </w:rPr>
        <w:t>”) and a final short-form base shelf prospectus, dated August 12, 2021 (“</w:t>
      </w:r>
      <w:r>
        <w:rPr>
          <w:rFonts w:ascii="Arial" w:cs="Arial" w:eastAsia="Arial" w:hAnsi="Arial"/>
          <w:sz w:val="17"/>
          <w:szCs w:val="17"/>
          <w:u w:val="single" w:color="auto"/>
          <w:color w:val="auto"/>
        </w:rPr>
        <w:t>Canadian Base Prospectus</w:t>
      </w:r>
      <w:r>
        <w:rPr>
          <w:rFonts w:ascii="Arial" w:cs="Arial" w:eastAsia="Arial" w:hAnsi="Arial"/>
          <w:sz w:val="17"/>
          <w:szCs w:val="17"/>
          <w:color w:val="auto"/>
        </w:rPr>
        <w:t xml:space="preserve">”), in respect of offers and sales, from time to time, of US$500,000,000 (or the equivalent thereof in any other currency used to denominate Shelf Securities based on the applicable exchange rate at the time of issuance of such Shelf Securities) of the Shelf Securities, and includes all documents incorporated therein by reference and the documents otherwise deemed to be a part thereof or included therein pursuant to Canadian Securities Laws. The Reviewing Authority is the principal regulator of the Company under the passport system procedures provided for under Multilateral Instrument 11-102 </w:t>
      </w:r>
      <w:r>
        <w:rPr>
          <w:rFonts w:ascii="Arial" w:cs="Arial" w:eastAsia="Arial" w:hAnsi="Arial"/>
          <w:sz w:val="17"/>
          <w:szCs w:val="17"/>
          <w:i w:val="1"/>
          <w:iCs w:val="1"/>
          <w:color w:val="auto"/>
        </w:rPr>
        <w:t>Passport System</w:t>
      </w:r>
      <w:r>
        <w:rPr>
          <w:rFonts w:ascii="Arial" w:cs="Arial" w:eastAsia="Arial" w:hAnsi="Arial"/>
          <w:sz w:val="17"/>
          <w:szCs w:val="17"/>
          <w:color w:val="auto"/>
        </w:rPr>
        <w:t xml:space="preserve"> and National Policy 11-202 </w:t>
      </w:r>
      <w:r>
        <w:rPr>
          <w:rFonts w:ascii="Arial" w:cs="Arial" w:eastAsia="Arial" w:hAnsi="Arial"/>
          <w:sz w:val="17"/>
          <w:szCs w:val="17"/>
          <w:i w:val="1"/>
          <w:iCs w:val="1"/>
          <w:color w:val="auto"/>
        </w:rPr>
        <w:t>Process for Prospectus Reviews in Multiple Jurisdictions</w:t>
      </w:r>
      <w:r>
        <w:rPr>
          <w:rFonts w:ascii="Arial" w:cs="Arial" w:eastAsia="Arial" w:hAnsi="Arial"/>
          <w:sz w:val="17"/>
          <w:szCs w:val="17"/>
          <w:color w:val="auto"/>
        </w:rPr>
        <w:t xml:space="preserve"> in respect of the Shelf Securities and the offering of Shares. The Reviewing Authority has issued a receipt evidencing that a receipt has been issued on behalf of itself and the other Canadian Qualifying Authorities, for the Canadian Preliminary Base Prospectus and the Reviewing Authority has issued a receipt evidencing that a receipt has been issued on behalf of itself and the other Canadian Qualifying Authorities for the Canadian Base Prospectus (the “</w:t>
      </w:r>
      <w:r>
        <w:rPr>
          <w:rFonts w:ascii="Arial" w:cs="Arial" w:eastAsia="Arial" w:hAnsi="Arial"/>
          <w:sz w:val="17"/>
          <w:szCs w:val="17"/>
          <w:u w:val="single" w:color="auto"/>
          <w:color w:val="auto"/>
        </w:rPr>
        <w:t>Receipts</w:t>
      </w:r>
      <w:r>
        <w:rPr>
          <w:rFonts w:ascii="Arial" w:cs="Arial" w:eastAsia="Arial" w:hAnsi="Arial"/>
          <w:sz w:val="17"/>
          <w:szCs w:val="17"/>
          <w:color w:val="auto"/>
        </w:rPr>
        <w:t>”). The Company has prepared the Canadian Base Prospectus pursuant to National Instrument 44-101—</w:t>
      </w:r>
      <w:r>
        <w:rPr>
          <w:rFonts w:ascii="Arial" w:cs="Arial" w:eastAsia="Arial" w:hAnsi="Arial"/>
          <w:sz w:val="17"/>
          <w:szCs w:val="17"/>
          <w:i w:val="1"/>
          <w:iCs w:val="1"/>
          <w:color w:val="auto"/>
        </w:rPr>
        <w:t>Short Form Prospectus Distributions</w:t>
      </w:r>
      <w:r>
        <w:rPr>
          <w:rFonts w:ascii="Arial" w:cs="Arial" w:eastAsia="Arial" w:hAnsi="Arial"/>
          <w:sz w:val="17"/>
          <w:szCs w:val="17"/>
          <w:color w:val="auto"/>
        </w:rPr>
        <w:t xml:space="preserve"> and NI 44-102 (together, the “</w:t>
      </w:r>
      <w:r>
        <w:rPr>
          <w:rFonts w:ascii="Arial" w:cs="Arial" w:eastAsia="Arial" w:hAnsi="Arial"/>
          <w:sz w:val="17"/>
          <w:szCs w:val="17"/>
          <w:u w:val="single" w:color="auto"/>
          <w:color w:val="auto"/>
        </w:rPr>
        <w:t>Shelf Procedures</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Promptly following the execution of this Agreement, the Company will file with the Reviewing Authority, in accordance with the Shelf Procedures, one or more prospectus supplements relating to the offer and sale of the Shares pursuant to this Agreement.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Canadian Prospectus Supplement</w:t>
      </w:r>
      <w:r>
        <w:rPr>
          <w:rFonts w:ascii="Arial" w:cs="Arial" w:eastAsia="Arial" w:hAnsi="Arial"/>
          <w:sz w:val="17"/>
          <w:szCs w:val="17"/>
          <w:color w:val="auto"/>
        </w:rPr>
        <w:t>” means the most recent prospectus supplement relating to the offer and sale of the Shares pursuant to this Agreement, to be filed by the Company with the Reviewing Authority and the other Canadian Qualifying Authorities, as applicable, in accordance with Canadian Securities Laws, in the form furnished by the Company to the Manager; and “</w:t>
      </w:r>
      <w:r>
        <w:rPr>
          <w:rFonts w:ascii="Arial" w:cs="Arial" w:eastAsia="Arial" w:hAnsi="Arial"/>
          <w:sz w:val="17"/>
          <w:szCs w:val="17"/>
          <w:u w:val="single" w:color="auto"/>
          <w:color w:val="auto"/>
        </w:rPr>
        <w:t>Canadian Prospectus</w:t>
      </w:r>
      <w:r>
        <w:rPr>
          <w:rFonts w:ascii="Arial" w:cs="Arial" w:eastAsia="Arial" w:hAnsi="Arial"/>
          <w:sz w:val="17"/>
          <w:szCs w:val="17"/>
          <w:color w:val="auto"/>
        </w:rPr>
        <w:t>” means the Canadian Prospectus Supplement (and any additional Canadian prospectus supplement relating to the offer and sale of Shares under, and prepared in accordance with the provisions of, this Agreement and filed with the Reviewing Authority and the other Canadian Qualifying Authorities, as applicable, in accordance with Canadian Securities Laws), together with the Canadian Base Prospectus.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filed, in accordance with the provisions of the Act, with the Commission the Registration Statement. The Company has also filed with the Commission an appointment of agent for service of process on Form F-X (the "</w:t>
      </w:r>
      <w:r>
        <w:rPr>
          <w:rFonts w:ascii="Arial" w:cs="Arial" w:eastAsia="Arial" w:hAnsi="Arial"/>
          <w:sz w:val="18"/>
          <w:szCs w:val="18"/>
          <w:u w:val="single" w:color="auto"/>
          <w:color w:val="auto"/>
        </w:rPr>
        <w:t>Form F-X</w:t>
      </w:r>
      <w:r>
        <w:rPr>
          <w:rFonts w:ascii="Arial" w:cs="Arial" w:eastAsia="Arial" w:hAnsi="Arial"/>
          <w:sz w:val="18"/>
          <w:szCs w:val="18"/>
          <w:color w:val="auto"/>
        </w:rPr>
        <w:t>") in conjunction with the filing of the Registration Statement.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will, concurrently with the filing of the Canadian Prospectus Supplement with the Reviewing Authority and the other Canadian Qualifying Authorities, as applicable, file the Canadian Prospectus Supplement with the Commission with such deletions therefrom and additions or changes thereto as are permitted or required by Form F-10. As used herein, “</w:t>
      </w:r>
      <w:r>
        <w:rPr>
          <w:rFonts w:ascii="Arial" w:cs="Arial" w:eastAsia="Arial" w:hAnsi="Arial"/>
          <w:sz w:val="18"/>
          <w:szCs w:val="18"/>
          <w:u w:val="single" w:color="auto"/>
          <w:color w:val="auto"/>
        </w:rPr>
        <w:t>U.S. Prospectus Supplement</w:t>
      </w:r>
      <w:r>
        <w:rPr>
          <w:rFonts w:ascii="Arial" w:cs="Arial" w:eastAsia="Arial" w:hAnsi="Arial"/>
          <w:sz w:val="18"/>
          <w:szCs w:val="18"/>
          <w:color w:val="auto"/>
        </w:rPr>
        <w:t>” means the most recent prospectus supplement relating to the offer and sale of the Shares pursuant to this Agreement, to be filed by the Company with the Commission in accordance with the requirements of Form F-10, in the form furnished by the Company to the Manager.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91" w:lineRule="auto"/>
        <w:rPr>
          <w:sz w:val="20"/>
          <w:szCs w:val="20"/>
          <w:color w:val="auto"/>
        </w:rPr>
      </w:pPr>
      <w:r>
        <w:rPr>
          <w:rFonts w:ascii="Arial" w:cs="Arial" w:eastAsia="Arial" w:hAnsi="Arial"/>
          <w:sz w:val="16"/>
          <w:szCs w:val="16"/>
          <w:color w:val="auto"/>
        </w:rPr>
        <w:t>Any reference herein to the Registration Statement, the Base Prospectuses, the Prospectus Supplements (including each of the U.S. Prospectus Supplement and the Canadian Prospectus Supplement) or the Prospectuses (including each of the U.S. Prospectus and the Canadian Prospectus) or any amendment or supplement thereto shall be deemed to refer to and include the documents incorporated by reference therein, and any reference herein to the terms “amend,” “amendment” or “supplement” with respect to the Registration Statement, the Base Prospectuses, the Prospectus Supplements or the Prospectuses shall be deemed to refer to and include the filing or furnishing of any document with or to the Commission, the Reviewing Authority and Canadian Qualifying Authorities, as applicable, on or after the Effective Date of the Registration Statement or the date of the Base Prospectuses, the Prospectus Supplements or the Prospectuses, as the case may be, and deemed to be incorporated by reference therein.</w:t>
      </w:r>
    </w:p>
    <w:p>
      <w:pPr>
        <w:spacing w:after="0" w:line="166" w:lineRule="exact"/>
        <w:rPr>
          <w:sz w:val="20"/>
          <w:szCs w:val="20"/>
          <w:color w:val="auto"/>
        </w:rPr>
      </w:pPr>
    </w:p>
    <w:p>
      <w:pPr>
        <w:jc w:val="both"/>
        <w:ind w:firstLine="656"/>
        <w:spacing w:after="0" w:line="269" w:lineRule="auto"/>
        <w:tabs>
          <w:tab w:leader="none" w:pos="841"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Sale and Delivery of Shares</w:t>
      </w:r>
      <w:r>
        <w:rPr>
          <w:rFonts w:ascii="Arial" w:cs="Arial" w:eastAsia="Arial" w:hAnsi="Arial"/>
          <w:sz w:val="17"/>
          <w:szCs w:val="17"/>
          <w:color w:val="auto"/>
        </w:rPr>
        <w:t>. The Company proposes to issue and sell through or to the Manager, as sales agent and/or principal, common shares, no par value, of the Company (“</w:t>
      </w:r>
      <w:r>
        <w:rPr>
          <w:rFonts w:ascii="Arial" w:cs="Arial" w:eastAsia="Arial" w:hAnsi="Arial"/>
          <w:sz w:val="17"/>
          <w:szCs w:val="17"/>
          <w:u w:val="single" w:color="auto"/>
          <w:color w:val="auto"/>
        </w:rPr>
        <w:t>Common Shares</w:t>
      </w:r>
      <w:r>
        <w:rPr>
          <w:rFonts w:ascii="Arial" w:cs="Arial" w:eastAsia="Arial" w:hAnsi="Arial"/>
          <w:sz w:val="17"/>
          <w:szCs w:val="17"/>
          <w:color w:val="auto"/>
        </w:rPr>
        <w:t>”) (such Common Shares to be issued and sold pursuant to this Agreement, the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from time to time during the term of this Agreement and on the terms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Company issue or sell through the Manager such number of Shares that exceeds (a) the dollar amount of Common Shares registered on the Registration Statement pursuant to which the offering is being made or (b) the amount authorized by the Board from time to time to be issued and sold under this Agreement. Notwithstanding anything to the contrary contained herein, the parties hereto agree that compliance with the limitations set forth in this Section 3 on the number and aggregate sales price of Shares issued and sold under this Agreement shall be the sole responsibility of the Company and that the Manager shall have no obligation in connection with such compliance. Nothing in this Agreement shall be construed as requiring the Company to use the Registration Statement to issue, deliver and sell the Shares. Each of the Company and the Manager hereby agree and acknowledge that all sales and solicitations of sales of Shares by the Manager as agent of the Company shall be made solely in the United States and not on or through the facilities of any Canadian Market and shall otherwise be made in compliance with Section 3(b)(ix) of this Agreement.</w:t>
      </w:r>
    </w:p>
    <w:p>
      <w:pPr>
        <w:spacing w:after="0" w:line="181" w:lineRule="exact"/>
        <w:rPr>
          <w:rFonts w:ascii="Arial" w:cs="Arial" w:eastAsia="Arial" w:hAnsi="Arial"/>
          <w:sz w:val="17"/>
          <w:szCs w:val="17"/>
          <w:color w:val="auto"/>
        </w:rPr>
      </w:pPr>
    </w:p>
    <w:p>
      <w:pPr>
        <w:jc w:val="both"/>
        <w:ind w:left="660" w:firstLine="644"/>
        <w:spacing w:after="0" w:line="275" w:lineRule="auto"/>
        <w:tabs>
          <w:tab w:leader="none" w:pos="1566"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Appointment of Manager as Selling Agent</w:t>
      </w:r>
      <w:r>
        <w:rPr>
          <w:rFonts w:ascii="Arial" w:cs="Arial" w:eastAsia="Arial" w:hAnsi="Arial"/>
          <w:sz w:val="17"/>
          <w:szCs w:val="17"/>
          <w:color w:val="auto"/>
        </w:rPr>
        <w:t>. The Company hereby appoints the Manager as exclusive agent of the Company for the purpose of selling the Shares of the Company pursuant to this Agreement and the Manager agrees to use its commercially reasonable efforts to sell the Shares on the terms and subject to the conditions stated herein. In using commercially reasonable efforts to sell Shares, as sales agent for the Company, the Manager will undertake such sales in a manner that is consistent with its normal trading and sales practices and applicable state, provincial and federal laws, rules and regulations and the rules of the Trading Market.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left="-460" w:firstLine="644"/>
        <w:spacing w:after="0" w:line="263"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Agent Sales</w:t>
      </w:r>
      <w:r>
        <w:rPr>
          <w:rFonts w:ascii="Arial" w:cs="Arial" w:eastAsia="Arial" w:hAnsi="Arial"/>
          <w:sz w:val="18"/>
          <w:szCs w:val="18"/>
          <w:color w:val="auto"/>
        </w:rPr>
        <w:t>. Subject to the terms and conditions and in reliance upon the representations and warranties herein set forth, the Company may issue and sell Shares from time to time through the Manager, acting as sales agent, and the Manager agrees to use its commercially reasonable efforts to sell, as sales agent for the Company, on the following terms:</w:t>
      </w:r>
    </w:p>
    <w:p>
      <w:pPr>
        <w:spacing w:after="0" w:line="183" w:lineRule="exact"/>
        <w:rPr>
          <w:rFonts w:ascii="Arial" w:cs="Arial" w:eastAsia="Arial" w:hAnsi="Arial"/>
          <w:sz w:val="18"/>
          <w:szCs w:val="18"/>
          <w:color w:val="auto"/>
        </w:rPr>
      </w:pPr>
    </w:p>
    <w:p>
      <w:pPr>
        <w:ind w:left="1060" w:hanging="228"/>
        <w:spacing w:after="0"/>
        <w:tabs>
          <w:tab w:leader="none" w:pos="10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Shares are to be sold on a daily basis or otherwise as shall be agreed to by the Company and the Manager on any day</w:t>
      </w:r>
    </w:p>
    <w:p>
      <w:pPr>
        <w:spacing w:after="0" w:line="46" w:lineRule="exact"/>
        <w:rPr>
          <w:rFonts w:ascii="Arial" w:cs="Arial" w:eastAsia="Arial" w:hAnsi="Arial"/>
          <w:sz w:val="16"/>
          <w:szCs w:val="16"/>
          <w:color w:val="auto"/>
        </w:rPr>
      </w:pPr>
    </w:p>
    <w:p>
      <w:pPr>
        <w:jc w:val="both"/>
        <w:ind w:left="180"/>
        <w:spacing w:after="0" w:line="269" w:lineRule="auto"/>
        <w:rPr>
          <w:rFonts w:ascii="Arial" w:cs="Arial" w:eastAsia="Arial" w:hAnsi="Arial"/>
          <w:sz w:val="16"/>
          <w:szCs w:val="16"/>
          <w:color w:val="auto"/>
        </w:rPr>
      </w:pPr>
      <w:r>
        <w:rPr>
          <w:rFonts w:ascii="Arial" w:cs="Arial" w:eastAsia="Arial" w:hAnsi="Arial"/>
          <w:sz w:val="17"/>
          <w:szCs w:val="17"/>
          <w:color w:val="auto"/>
        </w:rPr>
        <w:t>(A) that is a Trading Day, (B) on which the Company has instructed the Manager by telephone (confirmed promptly by electronic mail) to make such sales (“</w:t>
      </w:r>
      <w:r>
        <w:rPr>
          <w:rFonts w:ascii="Arial" w:cs="Arial" w:eastAsia="Arial" w:hAnsi="Arial"/>
          <w:sz w:val="17"/>
          <w:szCs w:val="17"/>
          <w:u w:val="single" w:color="auto"/>
          <w:color w:val="auto"/>
        </w:rPr>
        <w:t>Sales Notice</w:t>
      </w:r>
      <w:r>
        <w:rPr>
          <w:rFonts w:ascii="Arial" w:cs="Arial" w:eastAsia="Arial" w:hAnsi="Arial"/>
          <w:sz w:val="17"/>
          <w:szCs w:val="17"/>
          <w:color w:val="auto"/>
        </w:rPr>
        <w:t>”) and (C) on which the Company has satisfied its obligations under Section 7 of this Agreement. The Company will designate the maximum amount of the Shares to be sold on any day by the Manager (subject to the limitations set forth in Section 3(d)) and the minimum price per Share at which such Shares may be sold. Subject to the terms and conditions hereof, the Manager shall use its commercially reasonable efforts to sell on a particular day all of the Shares designated for the sale by the Company on such day. The gross sales price of the Shares sold under this Section 3(b) shall be the market price for Common Shares sold by the Manager under this Section 3(b) on the Trading Market at the time of sale of such Shares.</w:t>
      </w:r>
    </w:p>
    <w:p>
      <w:pPr>
        <w:spacing w:after="0" w:line="180" w:lineRule="exact"/>
        <w:rPr>
          <w:rFonts w:ascii="Arial" w:cs="Arial" w:eastAsia="Arial" w:hAnsi="Arial"/>
          <w:sz w:val="16"/>
          <w:szCs w:val="16"/>
          <w:color w:val="auto"/>
        </w:rPr>
      </w:pPr>
    </w:p>
    <w:p>
      <w:pPr>
        <w:jc w:val="both"/>
        <w:ind w:left="180" w:firstLine="652"/>
        <w:spacing w:after="0" w:line="275" w:lineRule="auto"/>
        <w:tabs>
          <w:tab w:leader="none" w:pos="1096"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 acknowledges and agrees that (A) there can be no assurance that the Manager will be successful in selling the Shares, (B) the Manager will incur no liability or obligation to the Company or any other person or entity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w:t>
      </w:r>
    </w:p>
    <w:p>
      <w:pPr>
        <w:spacing w:after="0" w:line="176" w:lineRule="exact"/>
        <w:rPr>
          <w:rFonts w:ascii="Arial" w:cs="Arial" w:eastAsia="Arial" w:hAnsi="Arial"/>
          <w:sz w:val="17"/>
          <w:szCs w:val="17"/>
          <w:color w:val="auto"/>
        </w:rPr>
      </w:pPr>
    </w:p>
    <w:p>
      <w:pPr>
        <w:jc w:val="both"/>
        <w:ind w:left="180" w:firstLine="652"/>
        <w:spacing w:after="0" w:line="254" w:lineRule="auto"/>
        <w:tabs>
          <w:tab w:leader="none" w:pos="115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shall not authorize the issuance and sale of, and the Manager shall not be obligated to use its commercially reasonable efforts to sell and shall not sell, any Shares at a price lower than the minimum price therefor designated from time to time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a duly authorized committee thereof, or duly authorized officers of the Company, and notified to the Manager in writing. The Company or the Manager may, upon notice to the other party hereto by telephone (confirmed promptly by electronic mail), suspend the offering of the Shares for any reason and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suspension or termination shall not affect or impair the parties’ respective obligations with respect to the Shares sold hereunder prior to the giving of such notice.</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ind w:left="180" w:firstLine="652"/>
        <w:spacing w:after="0" w:line="273" w:lineRule="auto"/>
        <w:tabs>
          <w:tab w:leader="none" w:pos="1141" w:val="left"/>
        </w:tabs>
        <w:numPr>
          <w:ilvl w:val="0"/>
          <w:numId w:val="4"/>
        </w:numPr>
        <w:rPr>
          <w:rFonts w:ascii="Arial" w:cs="Arial" w:eastAsia="Arial" w:hAnsi="Arial"/>
          <w:sz w:val="17"/>
          <w:szCs w:val="17"/>
          <w:color w:val="auto"/>
        </w:rPr>
      </w:pPr>
      <w:r>
        <w:rPr>
          <w:rFonts w:ascii="Arial" w:cs="Arial" w:eastAsia="Arial" w:hAnsi="Arial"/>
          <w:sz w:val="17"/>
          <w:szCs w:val="17"/>
          <w:color w:val="auto"/>
        </w:rPr>
        <w:t>Subject to the terms of a Sales Notice, the Manager may sell Shares by any method permitted by law deemed to be an “at-the-market distribution” under NI 44-102, including, without limitation, sales made through the Trading Market, on any other existing trading market for the Common Shares in the United States or to or through a market maker, but subject, in all circumstances, to the restrictions of Section 3(b)(ix). If expressly authorized by the Company in a Sales Notice and, if so provided in the “Plan of Distribution” section of the U.S. Prospectus, the Manager may also sell Shares in privately negotiated transactions in the United States, subject to any required pre-clearance of any such transactions by the Trading Market.</w:t>
      </w:r>
    </w:p>
    <w:p>
      <w:pPr>
        <w:spacing w:after="0" w:line="177" w:lineRule="exact"/>
        <w:rPr>
          <w:rFonts w:ascii="Arial" w:cs="Arial" w:eastAsia="Arial" w:hAnsi="Arial"/>
          <w:sz w:val="17"/>
          <w:szCs w:val="17"/>
          <w:color w:val="auto"/>
        </w:rPr>
      </w:pPr>
    </w:p>
    <w:p>
      <w:pPr>
        <w:jc w:val="both"/>
        <w:ind w:left="180" w:firstLine="652"/>
        <w:spacing w:after="0" w:line="279"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compensation to the Manager for sales of the Shares under this Section 3(b) shall be a placement fee of 3.0% of the gross sales price of the Shares sold pursuant to this Section 3(b) (“</w:t>
      </w:r>
      <w:r>
        <w:rPr>
          <w:rFonts w:ascii="Arial" w:cs="Arial" w:eastAsia="Arial" w:hAnsi="Arial"/>
          <w:sz w:val="17"/>
          <w:szCs w:val="17"/>
          <w:u w:val="single" w:color="auto"/>
          <w:color w:val="auto"/>
        </w:rPr>
        <w:t>Broker Fee</w:t>
      </w:r>
      <w:r>
        <w:rPr>
          <w:rFonts w:ascii="Arial" w:cs="Arial" w:eastAsia="Arial" w:hAnsi="Arial"/>
          <w:sz w:val="17"/>
          <w:szCs w:val="17"/>
          <w:color w:val="auto"/>
        </w:rPr>
        <w: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Arial" w:cs="Arial" w:eastAsia="Arial" w:hAnsi="Arial"/>
          <w:sz w:val="17"/>
          <w:szCs w:val="17"/>
          <w:u w:val="single" w:color="auto"/>
          <w:color w:val="auto"/>
        </w:rPr>
        <w:t>Net Proceeds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180" w:firstLine="652"/>
        <w:spacing w:after="0" w:line="259" w:lineRule="auto"/>
        <w:tabs>
          <w:tab w:leader="none" w:pos="114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Manager shall provide written confirmation (which may be by facsimile or electronic mail) to the Company following the close of trading on the Trading Market each day in which the Shares are sold under this Section 3(b) setting forth the number of the Shares sold on such day, the aggregate gross sales proceeds and the Net Proceeds to the Company, and the compensation payable by the Company to the Manager with respect to such sales.</w:t>
      </w:r>
    </w:p>
    <w:p>
      <w:pPr>
        <w:spacing w:after="0" w:line="186" w:lineRule="exact"/>
        <w:rPr>
          <w:rFonts w:ascii="Arial" w:cs="Arial" w:eastAsia="Arial" w:hAnsi="Arial"/>
          <w:sz w:val="18"/>
          <w:szCs w:val="18"/>
          <w:color w:val="auto"/>
        </w:rPr>
      </w:pPr>
    </w:p>
    <w:p>
      <w:pPr>
        <w:jc w:val="both"/>
        <w:ind w:left="180" w:firstLine="652"/>
        <w:spacing w:after="0" w:line="289" w:lineRule="auto"/>
        <w:tabs>
          <w:tab w:leader="none" w:pos="1195" w:val="left"/>
        </w:tabs>
        <w:numPr>
          <w:ilvl w:val="0"/>
          <w:numId w:val="4"/>
        </w:numPr>
        <w:rPr>
          <w:rFonts w:ascii="Arial" w:cs="Arial" w:eastAsia="Arial" w:hAnsi="Arial"/>
          <w:sz w:val="16"/>
          <w:szCs w:val="16"/>
          <w:color w:val="auto"/>
        </w:rPr>
      </w:pPr>
      <w:r>
        <w:rPr>
          <w:rFonts w:ascii="Arial" w:cs="Arial" w:eastAsia="Arial" w:hAnsi="Arial"/>
          <w:sz w:val="16"/>
          <w:szCs w:val="16"/>
          <w:color w:val="auto"/>
        </w:rPr>
        <w:t>Settlement for sales of the Shares pursuant to this Section 3(a) will occur at 10:00 a.m. (New York City time), or at such time as the Company and the Manager may mutually agree, on the second (2nd) Trading Day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On each Settlement Date, the Shares sold through the Manager for settlement on such date shall be issued and delivered by the Company to the Manager against payment of the Net Proceeds for the sale of such Shares. Settlement for all such Shares shall be effected by free delivery of the Shares to the Manager’s account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via the Deposit/Withdrawal at Custodian System, in return for Net Proceeds in same day funds delivered to the account designated by the Company. If the Company or its transfer agent (if applicable) shall default on its obligation to deliver the Shares on any Settlement Date, the Company shall (A) indemnify and hold the Manager harmless against any loss, claim or damage arising from or as a result of such default by the Company and (B) pay the Manager any commission to which it would otherwise be entitled absent such default.</w:t>
      </w:r>
    </w:p>
    <w:p>
      <w:pPr>
        <w:spacing w:after="0" w:line="37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jc w:val="both"/>
        <w:ind w:left="180" w:firstLine="652"/>
        <w:spacing w:after="0" w:line="272" w:lineRule="auto"/>
        <w:tabs>
          <w:tab w:leader="none" w:pos="1239"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each Applicable Time, Settlement Date, and Representation Date, the Company shall be deemed to have affirmed each representation and warranty contained in this Agreement as if such representation and warranty were made as of such date (except for any of such representations and warranties that speak as of a specific date), modified as necessary to relate to the Registration Statement and the Prospectuses as amended as of such date. Any obligation of the Manager to use its commercially reasonable efforts to sell the Shares on behalf of the Company shall be subject to the accuracy of the representations and warranties of the Company herein in accordance with the foregoing, to the performance by the Company of its obligations hereunder and to the satisfaction of the additional conditions specified in Section 7 of this Agreement.</w:t>
      </w:r>
    </w:p>
    <w:p>
      <w:pPr>
        <w:spacing w:after="0" w:line="177" w:lineRule="exact"/>
        <w:rPr>
          <w:rFonts w:ascii="Arial" w:cs="Arial" w:eastAsia="Arial" w:hAnsi="Arial"/>
          <w:sz w:val="17"/>
          <w:szCs w:val="17"/>
          <w:color w:val="auto"/>
        </w:rPr>
      </w:pPr>
    </w:p>
    <w:p>
      <w:pPr>
        <w:jc w:val="both"/>
        <w:ind w:left="180" w:firstLine="652"/>
        <w:spacing w:after="0" w:line="291" w:lineRule="auto"/>
        <w:tabs>
          <w:tab w:leader="none" w:pos="1171"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party covenants to the other party that (i) it will not undertake any act, advertisement, solicitation, conduct or negotiation directly or indirectly in furtherance of the sale of the Shares in Canada; (ii) it will not undertake an offer or sale of any Shares through the facilities of the TSX or any other Canadian trading market (together with the TSX, a “</w:t>
      </w:r>
      <w:r>
        <w:rPr>
          <w:rFonts w:ascii="Arial" w:cs="Arial" w:eastAsia="Arial" w:hAnsi="Arial"/>
          <w:sz w:val="16"/>
          <w:szCs w:val="16"/>
          <w:u w:val="single" w:color="auto"/>
          <w:color w:val="auto"/>
        </w:rPr>
        <w:t>Canadian Market</w:t>
      </w:r>
      <w:r>
        <w:rPr>
          <w:rFonts w:ascii="Arial" w:cs="Arial" w:eastAsia="Arial" w:hAnsi="Arial"/>
          <w:sz w:val="16"/>
          <w:szCs w:val="16"/>
          <w:color w:val="auto"/>
        </w:rPr>
        <w:t>”); and (iii) it will not undertake an offer or sale of any of the Shares to any person that it knows or has reason to believe is in Canada or has been pre-arranged with a buyer in Canada, or to any person who it knows or has reason to believe is acting on the behalf of persons in Canada or to any person whom it knows or has reason to believe intends to reoffer, resell or deliver the Shares in Canada through the facilities of a Canadian Market or to any persons in Canada or acting on the behalf of persons in Canada, in each case pursuant to this Agreement.</w:t>
      </w:r>
    </w:p>
    <w:p>
      <w:pPr>
        <w:spacing w:after="0" w:line="166" w:lineRule="exact"/>
        <w:rPr>
          <w:rFonts w:ascii="Arial" w:cs="Arial" w:eastAsia="Arial" w:hAnsi="Arial"/>
          <w:sz w:val="16"/>
          <w:szCs w:val="16"/>
          <w:color w:val="auto"/>
        </w:rPr>
      </w:pPr>
    </w:p>
    <w:p>
      <w:pPr>
        <w:jc w:val="both"/>
        <w:ind w:left="180" w:firstLine="652"/>
        <w:spacing w:after="0" w:line="271" w:lineRule="auto"/>
        <w:tabs>
          <w:tab w:leader="none" w:pos="1083"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and the record date for the determination of stockholders entitled to receive the Distribution, the “</w:t>
      </w:r>
      <w:r>
        <w:rPr>
          <w:rFonts w:ascii="Arial" w:cs="Arial" w:eastAsia="Arial" w:hAnsi="Arial"/>
          <w:sz w:val="17"/>
          <w:szCs w:val="17"/>
          <w:u w:val="single" w:color="auto"/>
          <w:color w:val="auto"/>
        </w:rPr>
        <w:t>Record Date</w:t>
      </w:r>
      <w:r>
        <w:rPr>
          <w:rFonts w:ascii="Arial" w:cs="Arial" w:eastAsia="Arial" w:hAnsi="Arial"/>
          <w:sz w:val="17"/>
          <w:szCs w:val="17"/>
          <w:color w:val="auto"/>
        </w:rPr>
        <w:t>”), the Company hereby covenants that, in connection with any sales of Shares pursuant to a Sales Notice on the Record Date, the Company covenants and agrees that the Company shall issue and deliver such Shares to the Manager on the Record Date and the Record Date shall be the Settlement Date and the Company shall cover any additional costs of the Manager in connection with the delivery of Shares on the Record Date.</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ind w:left="420" w:hanging="23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644"/>
        <w:spacing w:after="0" w:line="270" w:lineRule="auto"/>
        <w:tabs>
          <w:tab w:leader="none" w:pos="45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Maximum Number of Shares</w:t>
      </w:r>
      <w:r>
        <w:rPr>
          <w:rFonts w:ascii="Arial" w:cs="Arial" w:eastAsia="Arial" w:hAnsi="Arial"/>
          <w:sz w:val="17"/>
          <w:szCs w:val="17"/>
          <w:color w:val="auto"/>
        </w:rPr>
        <w:t>. Under no circumstances shall the Company cause or request the offer or sale of any Shares if, after giving effect to the sale of such Shares, the aggregate amount of Shares sold pursuant to this Agreement would exceed the lesser of (A) the amount available for offer and sale under the currently effective Registration Statement and (B) the amount authorized from time to time to be issued and sold under this Agreement by the Board, a duly authorized committee thereof or a duly authorized executive officer, and notified to the Manager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Further, under no circumstances shall the Company cause or permit the aggregate offering amount of Shares sold pursuant to this Agreement to exceed the amount qualified under the Canadian Prospectus Supplement or registered under the Registration Statement.</w:t>
      </w:r>
    </w:p>
    <w:p>
      <w:pPr>
        <w:spacing w:after="0" w:line="180" w:lineRule="exact"/>
        <w:rPr>
          <w:rFonts w:ascii="Arial" w:cs="Arial" w:eastAsia="Arial" w:hAnsi="Arial"/>
          <w:sz w:val="17"/>
          <w:szCs w:val="17"/>
          <w:color w:val="auto"/>
        </w:rPr>
      </w:pPr>
    </w:p>
    <w:p>
      <w:pPr>
        <w:jc w:val="both"/>
        <w:ind w:left="-460" w:firstLine="644"/>
        <w:spacing w:after="0" w:line="263" w:lineRule="auto"/>
        <w:tabs>
          <w:tab w:leader="none" w:pos="45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Regulation M Notice</w:t>
      </w:r>
      <w:r>
        <w:rPr>
          <w:rFonts w:ascii="Arial" w:cs="Arial" w:eastAsia="Arial" w:hAnsi="Arial"/>
          <w:sz w:val="18"/>
          <w:szCs w:val="18"/>
          <w:color w:val="auto"/>
        </w:rPr>
        <w:t>. Unless the exceptive provisions set forth in Rule 101(c)(1) of Regulation M under the Exchange Act are satisfied with respect to the Shares, the Company shall give the Manager at least one Trading Day’s prior notice of its intent to sell any Shares in order to allow the Manager time to comply with Regulation M.</w:t>
      </w:r>
    </w:p>
    <w:p>
      <w:pPr>
        <w:spacing w:after="0" w:line="183" w:lineRule="exact"/>
        <w:rPr>
          <w:rFonts w:ascii="Arial" w:cs="Arial" w:eastAsia="Arial" w:hAnsi="Arial"/>
          <w:sz w:val="18"/>
          <w:szCs w:val="18"/>
          <w:color w:val="auto"/>
        </w:rPr>
      </w:pPr>
    </w:p>
    <w:p>
      <w:pPr>
        <w:jc w:val="both"/>
        <w:ind w:left="-460" w:firstLine="644"/>
        <w:spacing w:after="0" w:line="291"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Representations and Covenants of the Manager</w:t>
      </w:r>
      <w:r>
        <w:rPr>
          <w:rFonts w:ascii="Arial" w:cs="Arial" w:eastAsia="Arial" w:hAnsi="Arial"/>
          <w:sz w:val="16"/>
          <w:szCs w:val="16"/>
          <w:color w:val="auto"/>
        </w:rPr>
        <w:t>. The Manager represents, warrants and covenants to the Company that it is duly registered as a broker-dealer under FINRA, the Exchange Act and the applicable statutes and regulations of each state in which the Shares will be offered and sold, except such states in which the Manager is exempt from registration or such registration is not otherwise required. The Manager shall continue, for the term of this Agreement, to be duly registered as a broker-dealer under FINRA, the Exchange Act and the applicable statutes and regulations of each state in which the Shares will be offered and sold, except such states in which the Manager is exempt from registration or such registration is not otherwise required, during the term of this Agreement. The Manager will comply with all applicable law and regulations in the United States in connection with the sales of the Shares, including but not limited to Regulation M under the Exchange Act.</w:t>
      </w:r>
    </w:p>
    <w:p>
      <w:pPr>
        <w:spacing w:after="0" w:line="166" w:lineRule="exact"/>
        <w:rPr>
          <w:rFonts w:ascii="Arial" w:cs="Arial" w:eastAsia="Arial" w:hAnsi="Arial"/>
          <w:sz w:val="16"/>
          <w:szCs w:val="16"/>
          <w:color w:val="auto"/>
        </w:rPr>
      </w:pPr>
    </w:p>
    <w:p>
      <w:pPr>
        <w:jc w:val="both"/>
        <w:ind w:left="-460" w:firstLine="644"/>
        <w:spacing w:after="0" w:line="293" w:lineRule="auto"/>
        <w:tabs>
          <w:tab w:leader="none" w:pos="44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Restrictions on Short Sales and Stabilization Activities</w:t>
      </w:r>
      <w:r>
        <w:rPr>
          <w:rFonts w:ascii="Arial" w:cs="Arial" w:eastAsia="Arial" w:hAnsi="Arial"/>
          <w:sz w:val="16"/>
          <w:szCs w:val="16"/>
          <w:color w:val="auto"/>
        </w:rPr>
        <w:t>. During the term of this Agreement, the Manager and its respective affiliates or subsidiaries shall not engage in (i) any short sale of any security of the Company for the account of the Manager, (ii) any transactions, including an over-allotment of any securities, that are intended to stabilize or maintain the market price of the Common Shares, or (iii) any sale of any security of the Company for the account of the Manager that the Manager does not own or any sale which is consummated by the delivery of a security of the Company borrowed by, or for the account of, the Manager. For the purposes of this Section 3(g), sales made by the Manager in connection with a Sales Notice will not be considered to be subject to the prohibitions set forth in this Section 3(g).</w:t>
      </w:r>
    </w:p>
    <w:p>
      <w:pPr>
        <w:spacing w:after="0" w:line="3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jc w:val="both"/>
        <w:ind w:left="660" w:firstLine="644"/>
        <w:spacing w:after="0" w:line="286" w:lineRule="auto"/>
        <w:tabs>
          <w:tab w:leader="none" w:pos="1563"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Notwithstanding any other provision of this Agreement, during any period in which the Company is in possession of material non-public information, the Company and the Manager agree that (i) no sale of Shares will take place, (ii) the Company shall not request the sale of any Shares and (iii) the Manager shall not be obligated to sell or offer to sell any Shares.</w:t>
      </w:r>
    </w:p>
    <w:p>
      <w:pPr>
        <w:spacing w:after="0" w:line="165" w:lineRule="exact"/>
        <w:rPr>
          <w:rFonts w:ascii="Arial" w:cs="Arial" w:eastAsia="Arial" w:hAnsi="Arial"/>
          <w:sz w:val="17"/>
          <w:szCs w:val="17"/>
          <w:color w:val="auto"/>
        </w:rPr>
      </w:pPr>
    </w:p>
    <w:p>
      <w:pPr>
        <w:jc w:val="both"/>
        <w:ind w:firstLine="656"/>
        <w:spacing w:after="0" w:line="263" w:lineRule="auto"/>
        <w:tabs>
          <w:tab w:leader="none" w:pos="84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Manager at the Execution Time and on each such time the following representations and warranties are repeated or deemed to be made pursuant to this Agreement, as set forth below, except, in each case, as disclosed in the Registration Statement, the Prospectuses or the Incorporated Documents:</w:t>
      </w:r>
    </w:p>
    <w:p>
      <w:pPr>
        <w:spacing w:after="0" w:line="183" w:lineRule="exact"/>
        <w:rPr>
          <w:rFonts w:ascii="Arial" w:cs="Arial" w:eastAsia="Arial" w:hAnsi="Arial"/>
          <w:sz w:val="18"/>
          <w:szCs w:val="18"/>
          <w:color w:val="auto"/>
        </w:rPr>
      </w:pPr>
    </w:p>
    <w:p>
      <w:pPr>
        <w:jc w:val="both"/>
        <w:ind w:left="660" w:firstLine="644"/>
        <w:spacing w:after="0" w:line="254" w:lineRule="auto"/>
        <w:tabs>
          <w:tab w:leader="none" w:pos="1579"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material subsidiaries (individually, a “</w:t>
      </w:r>
      <w:r>
        <w:rPr>
          <w:rFonts w:ascii="Arial" w:cs="Arial" w:eastAsia="Arial" w:hAnsi="Arial"/>
          <w:sz w:val="18"/>
          <w:szCs w:val="18"/>
          <w:u w:val="single" w:color="auto"/>
          <w:color w:val="auto"/>
        </w:rPr>
        <w:t>Subsidiary</w:t>
      </w:r>
      <w:r>
        <w:rPr>
          <w:rFonts w:ascii="Arial" w:cs="Arial" w:eastAsia="Arial" w:hAnsi="Arial"/>
          <w:sz w:val="18"/>
          <w:szCs w:val="18"/>
          <w:color w:val="auto"/>
        </w:rPr>
        <w:t>”) of the Company are set out in the Company’s most recent Annual Information Form incorporated by reference into the Company’s most recent Annual Report on Form 40-F filed with the Commission. Except as set forth in the Company’s most recent Annual Information Form incorporated by reference into the Company’s most recent Annual Report on Form 40-F filed with the Commission and the Prospectuses, the Company owns, directly or indirectly, all of the capital stock or other equity interests of each Subsidiary free and clear of any “</w:t>
      </w:r>
      <w:r>
        <w:rPr>
          <w:rFonts w:ascii="Arial" w:cs="Arial" w:eastAsia="Arial" w:hAnsi="Arial"/>
          <w:sz w:val="18"/>
          <w:szCs w:val="18"/>
          <w:u w:val="single" w:color="auto"/>
          <w:color w:val="auto"/>
        </w:rPr>
        <w:t>Liens</w:t>
      </w:r>
      <w:r>
        <w:rPr>
          <w:rFonts w:ascii="Arial" w:cs="Arial" w:eastAsia="Arial" w:hAnsi="Arial"/>
          <w:sz w:val="18"/>
          <w:szCs w:val="18"/>
          <w:color w:val="auto"/>
        </w:rPr>
        <w:t>”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w:t>
      </w:r>
    </w:p>
    <w:p>
      <w:pPr>
        <w:spacing w:after="0" w:line="191" w:lineRule="exact"/>
        <w:rPr>
          <w:rFonts w:ascii="Arial" w:cs="Arial" w:eastAsia="Arial" w:hAnsi="Arial"/>
          <w:sz w:val="18"/>
          <w:szCs w:val="18"/>
          <w:color w:val="auto"/>
        </w:rPr>
      </w:pPr>
    </w:p>
    <w:p>
      <w:pPr>
        <w:jc w:val="both"/>
        <w:ind w:left="660" w:firstLine="644"/>
        <w:spacing w:after="0" w:line="268" w:lineRule="auto"/>
        <w:tabs>
          <w:tab w:leader="none" w:pos="1576"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Neither the Company nor any Subsidiary is in violation or default of any of the provisions of its respective certificate or articles of incorporation, bylaws or other organizational or charter documents. Each of the Company and the Subsidiaries is duly qualified to conduct business and is in good standing as a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Prospectuses, any Prospectus Supplements, the Prospectuses or the Incorporated Documents, or (iii) a material adverse effect on the Company’s ability to perform in any material respect on a timely basis its obligations under this Agreement (any of (i), (ii) or (iii),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Adverse Effect</w:t>
      </w:r>
      <w:r>
        <w:rPr>
          <w:rFonts w:ascii="Arial" w:cs="Arial" w:eastAsia="Arial" w:hAnsi="Arial"/>
          <w:sz w:val="17"/>
          <w:szCs w:val="17"/>
          <w:color w:val="auto"/>
        </w:rPr>
        <w:t>”) and no “</w:t>
      </w:r>
      <w:r>
        <w:rPr>
          <w:rFonts w:ascii="Arial" w:cs="Arial" w:eastAsia="Arial" w:hAnsi="Arial"/>
          <w:sz w:val="17"/>
          <w:szCs w:val="17"/>
          <w:u w:val="single" w:color="auto"/>
          <w:color w:val="auto"/>
        </w:rPr>
        <w:t>Proceeding</w:t>
      </w:r>
      <w:r>
        <w:rPr>
          <w:rFonts w:ascii="Arial" w:cs="Arial" w:eastAsia="Arial" w:hAnsi="Arial"/>
          <w:sz w:val="17"/>
          <w:szCs w:val="17"/>
          <w:color w:val="auto"/>
        </w:rPr>
        <w:t>” (which for purposes of this Agreement shall mean any action, claim, suit, investigation or proceeding (including, without limitation, an informal investigation or partial proceeding, such as a deposition), whether commenced or, to the Company’s knowledge, threatened) has been instituted in any such jurisdiction revoking, limiting or curtailing or seeking to revoke, limit or curtail such power and authority or qualification.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460" w:firstLine="644"/>
        <w:spacing w:after="0" w:line="270" w:lineRule="auto"/>
        <w:tabs>
          <w:tab w:leader="none" w:pos="43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Authorization and Enforcement</w:t>
      </w:r>
      <w:r>
        <w:rPr>
          <w:rFonts w:ascii="Arial" w:cs="Arial" w:eastAsia="Arial" w:hAnsi="Arial"/>
          <w:sz w:val="17"/>
          <w:szCs w:val="17"/>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its shareholders in connection herewith other than in connection with the Required Approvals. This Agreement has been duly executed and delivered by the Company and constitutes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0" w:lineRule="exact"/>
        <w:rPr>
          <w:rFonts w:ascii="Arial" w:cs="Arial" w:eastAsia="Arial" w:hAnsi="Arial"/>
          <w:sz w:val="17"/>
          <w:szCs w:val="17"/>
          <w:color w:val="auto"/>
        </w:rPr>
      </w:pPr>
    </w:p>
    <w:p>
      <w:pPr>
        <w:jc w:val="both"/>
        <w:ind w:left="-460" w:firstLine="644"/>
        <w:spacing w:after="0" w:line="287" w:lineRule="auto"/>
        <w:tabs>
          <w:tab w:leader="none" w:pos="44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by the Company, the issuance and sale of the Shares and the consummation by the Company of the other transactions contemplated herein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receipt of the Required Approvals (as defined below),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reasonably be expected to have or result in a Material Adverse Effect.</w:t>
      </w:r>
    </w:p>
    <w:p>
      <w:pPr>
        <w:spacing w:after="0" w:line="37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ind w:left="-460" w:firstLine="644"/>
        <w:spacing w:after="0" w:line="269" w:lineRule="auto"/>
        <w:tabs>
          <w:tab w:leader="none" w:pos="44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xml:space="preserve">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including the filing of the Canadian Prospectus Supplement and the concurrent filing therewith of PricewaterhouseCoopers LLP’s consent required pursuant to Section 7.2(2) 2. of 44-102, with the Reviewing Authority, (ii) the filing with the Commission of the Registration Statement, including the U.S. Prospectus, (iii) the filing of applications to and approval by the Trading Market and the TSX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 provided that any filings required to be made with FINRA shall be the responsibility of the Manager.</w:t>
      </w:r>
    </w:p>
    <w:p>
      <w:pPr>
        <w:spacing w:after="0" w:line="181" w:lineRule="exact"/>
        <w:rPr>
          <w:rFonts w:ascii="Arial" w:cs="Arial" w:eastAsia="Arial" w:hAnsi="Arial"/>
          <w:sz w:val="17"/>
          <w:szCs w:val="17"/>
          <w:color w:val="auto"/>
        </w:rPr>
      </w:pPr>
    </w:p>
    <w:p>
      <w:pPr>
        <w:jc w:val="both"/>
        <w:ind w:left="-460" w:firstLine="644"/>
        <w:spacing w:after="0" w:line="271" w:lineRule="auto"/>
        <w:tabs>
          <w:tab w:leader="none" w:pos="41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Issuance of Shares</w:t>
      </w:r>
      <w:r>
        <w:rPr>
          <w:rFonts w:ascii="Arial" w:cs="Arial" w:eastAsia="Arial" w:hAnsi="Arial"/>
          <w:sz w:val="17"/>
          <w:szCs w:val="17"/>
          <w:color w:val="auto"/>
        </w:rPr>
        <w:t>. The Shares, when issued and delivered, will be duly authorized for issuance and sale pursuant to this Agreement and, when issued and delivered against payment therefor in accordance with this Agreement, will be duly and validly issued, fully paid and non-assessable, free and clear of all Liens imposed by the Company. The issuance by the Company of the Shares shall be registered under the Act, and all of the Shares shall be freely transferable and tradable on the Trading Market by the purchasers thereof without restriction under applicable securities laws (other than any restrictions arising solely from an act or omission or status (e.g., as an Affiliate of the Company) of such a purchaser). The Shares are being issued pursuant to the Registration Statement and the issuance of the Shares has been registered by the Company under the Act. Upon receipt of the Shares against payment therefor in accordance with this Agreement, the purchasers of such Shares will have good and marketable title to such Shares.</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both"/>
        <w:ind w:left="-460" w:firstLine="644"/>
        <w:spacing w:after="0" w:line="284" w:lineRule="auto"/>
        <w:tabs>
          <w:tab w:leader="none" w:pos="44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is as set forth in the Prospectuses. The Company has not issued any share capital since its most recently filed Incorporated Document, other than pursuant to the exercise of employee share options under the Company’s equity incentive plans, the issuance of Common Shares to employees pursuant to the Company’s employee share purchase plans and pursuant to the conversion or exercise of securities exercisable or exchangeable for or convertible into Common Shares (“</w:t>
      </w:r>
      <w:r>
        <w:rPr>
          <w:rFonts w:ascii="Arial" w:cs="Arial" w:eastAsia="Arial" w:hAnsi="Arial"/>
          <w:sz w:val="16"/>
          <w:szCs w:val="16"/>
          <w:u w:val="single" w:color="auto"/>
          <w:color w:val="auto"/>
        </w:rPr>
        <w:t>Common Share Equivalents</w:t>
      </w:r>
      <w:r>
        <w:rPr>
          <w:rFonts w:ascii="Arial" w:cs="Arial" w:eastAsia="Arial" w:hAnsi="Arial"/>
          <w:sz w:val="16"/>
          <w:szCs w:val="16"/>
          <w:color w:val="auto"/>
        </w:rPr>
        <w:t>”). No Person has any right of first refusal, preemptive right, right of participation, or any similar right to participate in the transactions contemplated by this Agreement. Except (i) as disclosed pursuant to this Agreement, (ii) as disclosed in the Registration Statement and the Prospectuses or pursuant to agreements or instruments filed as exhibits to Incorporated Documents, (iii) pursuant to the Company’s equity incentive plans or reservations, agreements of employee benefit plans referred to in the Prospectuses and (iv) pursuant to the exercise of convertible securities or options outstanding referred to in the Prospectuses,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Shares, or contracts, commitments, understandings or arrangements by which the Company or any Subsidiary is or may become bound to issue additional shares of Common Shares or Common Share Equivalents. The issuance and sale of the Shares will not obligate the Company to issue Common Shares or other securities to any Person.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shares of share capital of the Company are duly authorized, validly issued, fully paid and nonassessable, have been issued in compliance with all applicable securities laws, and none of such outstanding shares was issued in violation of any preemptive rights or similar rights to subscribe for or purchase securities. No further approval or authorization of any shareholder, the Board or others is required for the issuance and sale of the Shares. There are no shareholders agreements, voting agreements or other similar agreements with respect to the Company’s share capital to which the Company is a party or, to the knowledge of the Company, between or among any of the Company’s shareholders.</w:t>
      </w:r>
    </w:p>
    <w:p>
      <w:pPr>
        <w:spacing w:after="0" w:line="176" w:lineRule="exact"/>
        <w:rPr>
          <w:rFonts w:ascii="Arial" w:cs="Arial" w:eastAsia="Arial" w:hAnsi="Arial"/>
          <w:sz w:val="16"/>
          <w:szCs w:val="16"/>
          <w:color w:val="auto"/>
        </w:rPr>
      </w:pPr>
    </w:p>
    <w:p>
      <w:pPr>
        <w:jc w:val="both"/>
        <w:ind w:left="-460" w:firstLine="644"/>
        <w:spacing w:after="0" w:line="255" w:lineRule="auto"/>
        <w:tabs>
          <w:tab w:leader="none" w:pos="44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Canadian Base Prospectus</w:t>
      </w:r>
      <w:r>
        <w:rPr>
          <w:rFonts w:ascii="Arial" w:cs="Arial" w:eastAsia="Arial" w:hAnsi="Arial"/>
          <w:sz w:val="18"/>
          <w:szCs w:val="18"/>
          <w:color w:val="auto"/>
        </w:rPr>
        <w:t>. At the time the Company filed the Canadian Base Prospectus, the Company was eligible to file a short-form base shelf prospectus with the Reviewing Authority. The Reviewing Authority has issued a Receipt in respect of the Canadian Base Prospectus. No order suspending the distribution of the Common Shares or any other securities of the Company has been issued by any Canadian Qualifying Authority and no proceedings for that purpose have been initiated or are pending or, to the Company's knowledge, are contemplated or threatened by any Canadian Qualifying Authority, and any request made to the Company on the part of any Canadian Qualifying Authority for additional information has been complied with.</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jc w:val="both"/>
        <w:ind w:firstLine="648"/>
        <w:spacing w:after="0" w:line="270" w:lineRule="auto"/>
        <w:rPr>
          <w:sz w:val="20"/>
          <w:szCs w:val="20"/>
          <w:color w:val="auto"/>
        </w:rPr>
      </w:pPr>
      <w:r>
        <w:rPr>
          <w:rFonts w:ascii="Arial" w:cs="Arial" w:eastAsia="Arial" w:hAnsi="Arial"/>
          <w:sz w:val="17"/>
          <w:szCs w:val="17"/>
          <w:color w:val="auto"/>
        </w:rPr>
        <w:t xml:space="preserve">The Canadian Prospectus, when filed, complied and, as amended or supplemented, if applicable, will comply in all material respects with applicable Canadian Securities Laws. The Canadian Prospectus, as amended or supplemented, as of its date, did not and, as of each of the Settlement Dates, if any, will not contain any untrue statement of a material fact (as defined in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omit to state a material fact (as defined in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necessary in order to make the statements therein, in the light of the circumstances under which they were made, not misleading. The Canadian Prospectus, as amended or supplemented, as of its date, did and, as of each of the Settlement Dates, if any, will contain full, true and plain disclosure of all material facts relating to the Common Shares and to the Company. The representations and warranties set forth in the two immediately preceding sentences do not apply to statements in or omissions from the Canadian Prospectus, or any amendments or supplements thereto, made in reliance upon and in conformity with information relating to the Manager furnished to the Company in writing by the Manager expressly for use therein.</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document filed or to be filed with the Canadian Qualifying Authorities and incorporated by reference into the Canadian Prospectus or any amendment or supplement thereto complied, as at the applicable filing date, or will comply when so filed, in all material respects with the requirements of applicable Canadian Securities Laws.</w:t>
      </w:r>
    </w:p>
    <w:p>
      <w:pPr>
        <w:spacing w:after="0" w:line="184" w:lineRule="exact"/>
        <w:rPr>
          <w:sz w:val="20"/>
          <w:szCs w:val="20"/>
          <w:color w:val="auto"/>
        </w:rPr>
      </w:pPr>
    </w:p>
    <w:p>
      <w:pPr>
        <w:jc w:val="both"/>
        <w:ind w:firstLine="644"/>
        <w:spacing w:after="0" w:line="254" w:lineRule="auto"/>
        <w:tabs>
          <w:tab w:leader="none" w:pos="86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meets the requirements for use of Form F-10 under the Act and has prepared and filed with the Commission the Registration Statement, including the U.S. Base Prospectus, for registration under the Act of the offering and sale of the Shelf Securities, which can include the Shares, in accordance with the requirements of Form F-10. Such Registration Statement is effective and available for the offer and sale of the Shares as of the date hereof. As filed, the U.S. Base Prospectus conformed in all material respects with the applicable requirements of the Act. The Registration Statement, at any Effective Date, the Execution Time, each Representation Date, any Applicable Time and any Settlement Date, conformed or will conform in all material respects with the applicable requirements of the rules and regulations under the Act.</w:t>
      </w:r>
    </w:p>
    <w:p>
      <w:pPr>
        <w:spacing w:after="0" w:line="194" w:lineRule="exact"/>
        <w:rPr>
          <w:rFonts w:ascii="Arial" w:cs="Arial" w:eastAsia="Arial" w:hAnsi="Arial"/>
          <w:sz w:val="18"/>
          <w:szCs w:val="18"/>
          <w:color w:val="auto"/>
        </w:rPr>
      </w:pPr>
    </w:p>
    <w:p>
      <w:pPr>
        <w:jc w:val="both"/>
        <w:ind w:firstLine="644"/>
        <w:spacing w:after="0" w:line="269" w:lineRule="auto"/>
        <w:tabs>
          <w:tab w:leader="none" w:pos="863"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Accuracy of Incorporated Documents</w:t>
      </w:r>
      <w:r>
        <w:rPr>
          <w:rFonts w:ascii="Arial" w:cs="Arial" w:eastAsia="Arial" w:hAnsi="Arial"/>
          <w:sz w:val="17"/>
          <w:szCs w:val="17"/>
          <w:color w:val="auto"/>
        </w:rPr>
        <w:t>. The Incorporated Documents, when they were filed with the Reviewing Authority or filed with or furnished to the Commission, as the case may be, conformed in all material respects with requirements under applicable Canadian Securities Laws and the Exchange Act and the rules and regulations promulgated thereunder, each as applicable,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Base Prospectuses, the Prospectus Supplements or the Prospectuses, when such documents are filed with the Reviewing Authority or the Commission, as the case may be, will conform in all material respects with requirements under applicable Canadian Securities Laws and the Exchange Act and the rules and regulations promulgated thereunder, each as applicable, and will not contain any untrue statement of a material fact or omit to state a material fact necessary to make the statements therein, in light of the circumstances under which they were made, not misleading.</w:t>
      </w:r>
    </w:p>
    <w:p>
      <w:pPr>
        <w:spacing w:after="0" w:line="39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 w:name="page20"/>
    <w:bookmarkEnd w:id="19"/>
    <w:p>
      <w:pPr>
        <w:jc w:val="both"/>
        <w:ind w:left="-460" w:firstLine="644"/>
        <w:spacing w:after="0" w:line="257" w:lineRule="auto"/>
        <w:tabs>
          <w:tab w:leader="none" w:pos="44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Ineligible Issuer</w:t>
      </w:r>
      <w:r>
        <w:rPr>
          <w:rFonts w:ascii="Arial" w:cs="Arial" w:eastAsia="Arial" w:hAnsi="Arial"/>
          <w:sz w:val="18"/>
          <w:szCs w:val="18"/>
          <w:color w:val="auto"/>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87" w:lineRule="exact"/>
        <w:rPr>
          <w:rFonts w:ascii="Arial" w:cs="Arial" w:eastAsia="Arial" w:hAnsi="Arial"/>
          <w:sz w:val="18"/>
          <w:szCs w:val="18"/>
          <w:color w:val="auto"/>
        </w:rPr>
      </w:pPr>
    </w:p>
    <w:p>
      <w:pPr>
        <w:jc w:val="both"/>
        <w:ind w:left="-460" w:firstLine="644"/>
        <w:spacing w:after="0" w:line="286" w:lineRule="auto"/>
        <w:tabs>
          <w:tab w:leader="none" w:pos="40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Free Writing Prospectus</w:t>
      </w:r>
      <w:r>
        <w:rPr>
          <w:rFonts w:ascii="Arial" w:cs="Arial" w:eastAsia="Arial" w:hAnsi="Arial"/>
          <w:sz w:val="16"/>
          <w:szCs w:val="16"/>
          <w:color w:val="auto"/>
        </w:rPr>
        <w:t>. The Company is eligible to use Issuer Free Writing Prospectuses. Any Issuer Free Writing Prospectus used in connection with the issuance and sale of Shares under this Agreement does not include any information the substance of which conflicts with the information contained in the Registration Statement, including any Incorporated Documents, and the Prospectuses and any prospectus supplement deemed to be a part thereof that has not been superseded or modified; and each such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used in connection with the issuance and sale of Shares under this Agreement based upon and in conformity with written information furnished to the Company by the Manager specifically for use therein. Any Issuer Free Writing Prospectus that the Company is required to file pursuant to Rule 433(d) in connection with the issuance and sale of Shares under this Agreement has been, or will be, filed with the Commission in accordance with the requirements of the Act and the rules thereunder. Each Issuer Free Writing Prospectus that the Company has filed, or is required to file, pursuant to Rule 433(d) in connection with the issuance and sale of Shares under this Agreement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 in connection with the issuance and sale of Shares under this Agreement.</w:t>
      </w: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jc w:val="both"/>
        <w:ind w:left="-460" w:firstLine="644"/>
        <w:spacing w:after="0" w:line="275" w:lineRule="auto"/>
        <w:tabs>
          <w:tab w:leader="none" w:pos="49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Proceedings Related to Registration Statement</w:t>
      </w:r>
      <w:r>
        <w:rPr>
          <w:rFonts w:ascii="Arial" w:cs="Arial" w:eastAsia="Arial" w:hAnsi="Arial"/>
          <w:sz w:val="17"/>
          <w:szCs w:val="17"/>
          <w:color w:val="auto"/>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w:t>
      </w:r>
    </w:p>
    <w:p>
      <w:pPr>
        <w:spacing w:after="0" w:line="176" w:lineRule="exact"/>
        <w:rPr>
          <w:rFonts w:ascii="Arial" w:cs="Arial" w:eastAsia="Arial" w:hAnsi="Arial"/>
          <w:sz w:val="17"/>
          <w:szCs w:val="17"/>
          <w:color w:val="auto"/>
        </w:rPr>
      </w:pPr>
    </w:p>
    <w:p>
      <w:pPr>
        <w:jc w:val="both"/>
        <w:ind w:left="-460" w:firstLine="644"/>
        <w:spacing w:after="0" w:line="270" w:lineRule="auto"/>
        <w:tabs>
          <w:tab w:leader="none" w:pos="47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SEC Reports; Reporting in Canada</w:t>
      </w:r>
      <w:r>
        <w:rPr>
          <w:rFonts w:ascii="Arial" w:cs="Arial" w:eastAsia="Arial" w:hAnsi="Arial"/>
          <w:sz w:val="17"/>
          <w:szCs w:val="17"/>
          <w:color w:val="auto"/>
        </w:rPr>
        <w:t>. The Company has complied in all material respects with requirements to file all reports, schedules, forms, statements and other documents required to be filed by it under the Act and the Exchange Act, including pursuant to Section 13(a) or 15(d) thereof, for the twelve (12) months preceding the date hereof (or such shorter period as the Company was required by law to file such material) (the foregoing materials, including the exhibits thereto and documents incorporated by reference therein, together with the U.S. Prospectus and the U.S. Prospectus Supplement, being collectively referred to herein as the “</w:t>
      </w:r>
      <w:r>
        <w:rPr>
          <w:rFonts w:ascii="Arial" w:cs="Arial" w:eastAsia="Arial" w:hAnsi="Arial"/>
          <w:sz w:val="17"/>
          <w:szCs w:val="17"/>
          <w:u w:val="single" w:color="auto"/>
          <w:color w:val="auto"/>
        </w:rPr>
        <w:t>SEC Reports</w:t>
      </w:r>
      <w:r>
        <w:rPr>
          <w:rFonts w:ascii="Arial" w:cs="Arial" w:eastAsia="Arial" w:hAnsi="Arial"/>
          <w:sz w:val="17"/>
          <w:szCs w:val="17"/>
          <w:color w:val="auto"/>
        </w:rPr>
        <w:t xml:space="preserve">”) on a timely basis or has obtained a valid extension of such time of filing and has filed any such SEC Reports prior to the expiration of any such extension. The Company is in compliance in all material respects with its obligations under Canadian Securities Laws (including, without limitation, its disclosure obligations pursuant to National Instrument 51-102 – </w:t>
      </w:r>
      <w:r>
        <w:rPr>
          <w:rFonts w:ascii="Arial" w:cs="Arial" w:eastAsia="Arial" w:hAnsi="Arial"/>
          <w:sz w:val="17"/>
          <w:szCs w:val="17"/>
          <w:i w:val="1"/>
          <w:iCs w:val="1"/>
          <w:color w:val="auto"/>
        </w:rPr>
        <w:t>Continuous Disclosure Obligations</w:t>
      </w:r>
      <w:r>
        <w:rPr>
          <w:rFonts w:ascii="Arial" w:cs="Arial" w:eastAsia="Arial" w:hAnsi="Arial"/>
          <w:sz w:val="17"/>
          <w:szCs w:val="17"/>
          <w:color w:val="auto"/>
        </w:rPr>
        <w:t xml:space="preserve"> and National Instrument 58-101 – </w:t>
      </w:r>
      <w:r>
        <w:rPr>
          <w:rFonts w:ascii="Arial" w:cs="Arial" w:eastAsia="Arial" w:hAnsi="Arial"/>
          <w:sz w:val="17"/>
          <w:szCs w:val="17"/>
          <w:i w:val="1"/>
          <w:iCs w:val="1"/>
          <w:color w:val="auto"/>
        </w:rPr>
        <w:t>Disclosure of Corporate</w:t>
      </w:r>
      <w:r>
        <w:rPr>
          <w:rFonts w:ascii="Arial" w:cs="Arial" w:eastAsia="Arial" w:hAnsi="Arial"/>
          <w:sz w:val="17"/>
          <w:szCs w:val="17"/>
          <w:color w:val="auto"/>
        </w:rPr>
        <w:t xml:space="preserve"> </w:t>
      </w:r>
      <w:r>
        <w:rPr>
          <w:rFonts w:ascii="Arial" w:cs="Arial" w:eastAsia="Arial" w:hAnsi="Arial"/>
          <w:sz w:val="17"/>
          <w:szCs w:val="17"/>
          <w:i w:val="1"/>
          <w:iCs w:val="1"/>
          <w:color w:val="auto"/>
        </w:rPr>
        <w:t>Governance Practices</w:t>
      </w:r>
      <w:r>
        <w:rPr>
          <w:rFonts w:ascii="Arial" w:cs="Arial" w:eastAsia="Arial" w:hAnsi="Arial"/>
          <w:sz w:val="17"/>
          <w:szCs w:val="17"/>
          <w:color w:val="auto"/>
        </w:rPr>
        <w:t>, each as adopted by the Canadian Securities Administrators).</w:t>
      </w:r>
    </w:p>
    <w:p>
      <w:pPr>
        <w:spacing w:after="0" w:line="180" w:lineRule="exact"/>
        <w:rPr>
          <w:rFonts w:ascii="Arial" w:cs="Arial" w:eastAsia="Arial" w:hAnsi="Arial"/>
          <w:sz w:val="17"/>
          <w:szCs w:val="17"/>
          <w:color w:val="auto"/>
        </w:rPr>
      </w:pPr>
    </w:p>
    <w:p>
      <w:pPr>
        <w:jc w:val="both"/>
        <w:ind w:left="-460" w:firstLine="644"/>
        <w:spacing w:after="0" w:line="290" w:lineRule="auto"/>
        <w:tabs>
          <w:tab w:leader="none" w:pos="483"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consolidated financial statements incorporated by reference in the Registration Statement and the Prospectuses and any amendments thereof or supplements thereto comply or will comply in all material respects with applicable accounting requirements and the rules and regulations of the Commission with respect thereto as in effect at the time of filing or as amended or corrected in a subsequent filing. Such financial statements have been prepared in accordance with International Financial Reporting Standards applied on a consistent basis during the periods involved (“</w:t>
      </w:r>
      <w:r>
        <w:rPr>
          <w:rFonts w:ascii="Arial" w:cs="Arial" w:eastAsia="Arial" w:hAnsi="Arial"/>
          <w:sz w:val="16"/>
          <w:szCs w:val="16"/>
          <w:u w:val="single" w:color="auto"/>
          <w:color w:val="auto"/>
        </w:rPr>
        <w:t>IFRS</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IFRS, and fairly present in all material respects the financial position of the Company and its consolidated Subsidiaries as of and for the dates thereof and the results of operations and cash flows for the periods then ended, subject, in the case of unaudited statements, to normal, year-end audit adjustments.</w:t>
      </w:r>
    </w:p>
    <w:p>
      <w:pPr>
        <w:spacing w:after="0" w:line="165" w:lineRule="exact"/>
        <w:rPr>
          <w:rFonts w:ascii="Arial" w:cs="Arial" w:eastAsia="Arial" w:hAnsi="Arial"/>
          <w:sz w:val="16"/>
          <w:szCs w:val="16"/>
          <w:color w:val="auto"/>
        </w:rPr>
      </w:pPr>
    </w:p>
    <w:p>
      <w:pPr>
        <w:jc w:val="both"/>
        <w:ind w:left="-460" w:firstLine="644"/>
        <w:spacing w:after="0" w:line="279" w:lineRule="auto"/>
        <w:tabs>
          <w:tab w:leader="none" w:pos="44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The Company’s auditors are PricewaterhouseCoopers LLP. To the knowledge of the Company, such auditors, which the Company expects will express their opinion with respect to the financial statements to be included in the Company’s next Annual Report on Form 40-F, are independent with respect to the Company as required by the Canadian Securities Laws and are independent registered public accountants as required by the Act, the Exchange Act and the rules of the Public Company Accounting Oversight Board.</w:t>
      </w: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 w:name="page22"/>
    <w:bookmarkEnd w:id="21"/>
    <w:p>
      <w:pPr>
        <w:jc w:val="both"/>
        <w:ind w:left="-460" w:firstLine="644"/>
        <w:spacing w:after="0" w:line="287" w:lineRule="auto"/>
        <w:tabs>
          <w:tab w:leader="none" w:pos="47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Material Adverse Events</w:t>
      </w:r>
      <w:r>
        <w:rPr>
          <w:rFonts w:ascii="Arial" w:cs="Arial" w:eastAsia="Arial" w:hAnsi="Arial"/>
          <w:sz w:val="16"/>
          <w:szCs w:val="16"/>
          <w:color w:val="auto"/>
        </w:rPr>
        <w:t>. Since the date of the latest audited financial statements included within the SEC Reports, except as specifically disclosed in the Prospectuses or any Incorporated Documents, (i) there has been no event, occurrence or development that has had or that could reasonably be expected to result in a Material Adverse Effect, (ii) the Company has not incurred any liabilities (contingent or otherwise) other than fees, expenses and other liabilities (A) incurred in connection with the transactions contemplated hereby, (B) incurred in the ordinary course of business which, in the aggregate, have not had and could not reasonably be expected to result in a Material Adverse Effect and (C) not required to be reflected in the Company’s financial statements pursuant to IFRS or disclosed in filings made with the Reviewing Authority or the Commission, (iii) the Company has not materially altered its method of accounting, (iv) the Company has not declared or made any dividend or distribution of cash or other property to its shareholders or purchased, redeemed or made any agreements to purchase or redeem any shares of its share capital and (v) the Company has not issued any equity securities to any officer, director or “</w:t>
      </w:r>
      <w:r>
        <w:rPr>
          <w:rFonts w:ascii="Arial" w:cs="Arial" w:eastAsia="Arial" w:hAnsi="Arial"/>
          <w:sz w:val="16"/>
          <w:szCs w:val="16"/>
          <w:u w:val="single" w:color="auto"/>
          <w:color w:val="auto"/>
        </w:rPr>
        <w:t>Affiliate</w:t>
      </w:r>
      <w:r>
        <w:rPr>
          <w:rFonts w:ascii="Arial" w:cs="Arial" w:eastAsia="Arial" w:hAnsi="Arial"/>
          <w:sz w:val="16"/>
          <w:szCs w:val="16"/>
          <w:color w:val="auto"/>
        </w:rPr>
        <w:t>” (defined as any Person that, directly or indirectly through one or more intermediaries, controls or is controlled by or is under common control with a Person, as such terms are used in and construed under Rule 144 under the Act), except pursuant to existing Company equity incentive plans.</w:t>
      </w:r>
    </w:p>
    <w:p>
      <w:pPr>
        <w:spacing w:after="0" w:line="171" w:lineRule="exact"/>
        <w:rPr>
          <w:rFonts w:ascii="Arial" w:cs="Arial" w:eastAsia="Arial" w:hAnsi="Arial"/>
          <w:sz w:val="16"/>
          <w:szCs w:val="16"/>
          <w:color w:val="auto"/>
        </w:rPr>
      </w:pPr>
    </w:p>
    <w:p>
      <w:pPr>
        <w:ind w:left="400" w:hanging="216"/>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644"/>
        <w:spacing w:after="0" w:line="259" w:lineRule="auto"/>
        <w:tabs>
          <w:tab w:leader="none" w:pos="45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(collectively, an “</w:t>
      </w:r>
      <w:r>
        <w:rPr>
          <w:rFonts w:ascii="Arial" w:cs="Arial" w:eastAsia="Arial" w:hAnsi="Arial"/>
          <w:sz w:val="18"/>
          <w:szCs w:val="18"/>
          <w:u w:val="single" w:color="auto"/>
          <w:color w:val="auto"/>
        </w:rPr>
        <w:t>Action</w:t>
      </w:r>
      <w:r>
        <w:rPr>
          <w:rFonts w:ascii="Arial" w:cs="Arial" w:eastAsia="Arial" w:hAnsi="Arial"/>
          <w:sz w:val="18"/>
          <w:szCs w:val="18"/>
          <w:color w:val="auto"/>
        </w:rPr>
        <w:t>”) that would be reasonably likely to have a Material Adverse Effect.</w:t>
      </w:r>
    </w:p>
    <w:p>
      <w:pPr>
        <w:spacing w:after="0" w:line="186" w:lineRule="exact"/>
        <w:rPr>
          <w:rFonts w:ascii="Arial" w:cs="Arial" w:eastAsia="Arial" w:hAnsi="Arial"/>
          <w:sz w:val="18"/>
          <w:szCs w:val="18"/>
          <w:color w:val="auto"/>
        </w:rPr>
      </w:pPr>
    </w:p>
    <w:p>
      <w:pPr>
        <w:jc w:val="both"/>
        <w:ind w:left="-460" w:firstLine="644"/>
        <w:spacing w:after="0" w:line="287" w:lineRule="auto"/>
        <w:tabs>
          <w:tab w:leader="none" w:pos="41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Except as disclosed in the Prospectuses,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except, in each case, as would not, individually or in the aggregate, reasonably be expected to have a Material Adverse Effect. The Company and its Subsidiaries are in compliance with all applicable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37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jc w:val="both"/>
        <w:ind w:left="-460" w:firstLine="644"/>
        <w:spacing w:after="0" w:line="253" w:lineRule="auto"/>
        <w:tabs>
          <w:tab w:leader="none" w:pos="44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Existing Defaults</w:t>
      </w:r>
      <w:r>
        <w:rPr>
          <w:rFonts w:ascii="Arial" w:cs="Arial" w:eastAsia="Arial" w:hAnsi="Arial"/>
          <w:sz w:val="18"/>
          <w:szCs w:val="18"/>
          <w:color w:val="auto"/>
        </w:rPr>
        <w:t>. Except as disclosed in the Prospectuses,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order of any court, arbitrator or governmental body, or (iii) is or has been in violation of any statute, rule or regulation of any governmental authority, including without limitation all Canadian, provincial, U.S. federal, state and local laws and foreign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6" w:lineRule="exact"/>
        <w:rPr>
          <w:rFonts w:ascii="Arial" w:cs="Arial" w:eastAsia="Arial" w:hAnsi="Arial"/>
          <w:sz w:val="18"/>
          <w:szCs w:val="18"/>
          <w:color w:val="auto"/>
        </w:rPr>
      </w:pPr>
    </w:p>
    <w:p>
      <w:pPr>
        <w:jc w:val="both"/>
        <w:ind w:left="-460" w:firstLine="644"/>
        <w:spacing w:after="0" w:line="269" w:lineRule="auto"/>
        <w:tabs>
          <w:tab w:leader="none" w:pos="44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39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 w:name="page24"/>
    <w:bookmarkEnd w:id="23"/>
    <w:p>
      <w:pPr>
        <w:jc w:val="both"/>
        <w:ind w:left="-460" w:firstLine="644"/>
        <w:spacing w:after="0" w:line="273" w:lineRule="auto"/>
        <w:tabs>
          <w:tab w:leader="none" w:pos="48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Except as disclosed in the Prospectuses, the Company and the Subsidiaries possess all certificates, authorizations and permits issued by the appropriate Canadian, provincial, U.S. federal, state, local or foreign regulatory authorities necessary to conduct their respective businesses as described in the Registration Statement and the Prospectuses, except where the failure to possess such permits would not reasonably be expected to result in a Material Adverse Effect (“</w:t>
      </w:r>
      <w:r>
        <w:rPr>
          <w:rFonts w:ascii="Arial" w:cs="Arial" w:eastAsia="Arial" w:hAnsi="Arial"/>
          <w:sz w:val="17"/>
          <w:szCs w:val="17"/>
          <w:u w:val="single" w:color="auto"/>
          <w:color w:val="auto"/>
        </w:rPr>
        <w:t>Material Permits</w:t>
      </w:r>
      <w:r>
        <w:rPr>
          <w:rFonts w:ascii="Arial" w:cs="Arial" w:eastAsia="Arial" w:hAnsi="Arial"/>
          <w:sz w:val="17"/>
          <w:szCs w:val="17"/>
          <w:color w:val="auto"/>
        </w:rPr>
        <w:t>”), and neither the Company nor any Subsidiary has received any notice of proceedings relating to the revocation or modification of any Material Permit except where any such revocation or modification would not reasonably be expected to have a Material Adverse Effect.</w:t>
      </w:r>
    </w:p>
    <w:p>
      <w:pPr>
        <w:spacing w:after="0" w:line="177" w:lineRule="exact"/>
        <w:rPr>
          <w:rFonts w:ascii="Arial" w:cs="Arial" w:eastAsia="Arial" w:hAnsi="Arial"/>
          <w:sz w:val="17"/>
          <w:szCs w:val="17"/>
          <w:color w:val="auto"/>
        </w:rPr>
      </w:pPr>
    </w:p>
    <w:p>
      <w:pPr>
        <w:jc w:val="both"/>
        <w:ind w:left="-460" w:firstLine="644"/>
        <w:spacing w:after="0" w:line="290" w:lineRule="auto"/>
        <w:tabs>
          <w:tab w:leader="none" w:pos="44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that is material to the business of the Company and the Subsidiaries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Canadian, provincial, federal, state or other taxes, the payment of which is neither delinquent nor subject to penalties, and (iii) Liens disclosed in the Prospectuses or the Incorporated Documents. Any real property and facilities held under lease by the Company and the Subsidiaries are held by them under valid, subsisting and enforceable leases with which the Company and the Subsidiaries are in compliance, except where such non-compliance would not reasonably be expected to have a Material Adverse Effect.</w:t>
      </w:r>
    </w:p>
    <w:p>
      <w:pPr>
        <w:spacing w:after="0" w:line="165" w:lineRule="exact"/>
        <w:rPr>
          <w:rFonts w:ascii="Arial" w:cs="Arial" w:eastAsia="Arial" w:hAnsi="Arial"/>
          <w:sz w:val="16"/>
          <w:szCs w:val="16"/>
          <w:color w:val="auto"/>
        </w:rPr>
      </w:pPr>
    </w:p>
    <w:p>
      <w:pPr>
        <w:jc w:val="both"/>
        <w:ind w:left="-460" w:firstLine="644"/>
        <w:spacing w:after="0" w:line="286" w:lineRule="auto"/>
        <w:tabs>
          <w:tab w:leader="none" w:pos="45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reasonably be expected to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reasonably be expected to have a Material Adverse Effect. To the knowledge of the Company, all such Intellectual Property Rights are enforceable and there is no existing infringement by another Person of any of the Intellectual Property Rights, except, in each case, as would not reasonably be expected to have a Material Adverse Effect.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38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 w:name="page25"/>
    <w:bookmarkEnd w:id="24"/>
    <w:p>
      <w:pPr>
        <w:jc w:val="both"/>
        <w:ind w:left="-460" w:firstLine="644"/>
        <w:spacing w:after="0" w:line="257"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and has obtained so called “Side A”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w:t>
      </w:r>
    </w:p>
    <w:p>
      <w:pPr>
        <w:spacing w:after="0" w:line="188" w:lineRule="exact"/>
        <w:rPr>
          <w:sz w:val="20"/>
          <w:szCs w:val="20"/>
          <w:color w:val="auto"/>
        </w:rPr>
      </w:pPr>
    </w:p>
    <w:p>
      <w:pPr>
        <w:jc w:val="both"/>
        <w:ind w:left="-460" w:firstLine="644"/>
        <w:spacing w:after="0" w:line="270" w:lineRule="auto"/>
        <w:tabs>
          <w:tab w:leader="none" w:pos="51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Affiliate Transactions</w:t>
      </w:r>
      <w:r>
        <w:rPr>
          <w:rFonts w:ascii="Arial" w:cs="Arial" w:eastAsia="Arial" w:hAnsi="Arial"/>
          <w:sz w:val="17"/>
          <w:szCs w:val="17"/>
          <w:color w:val="auto"/>
        </w:rPr>
        <w:t>. Except as set forth in the Registration Statement and the Prospectuses,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CA$200,000 other than for (i) payment of salary or consulting fees for services rendered, (ii) reimbursement for expenses incurred on behalf of the Company and (iii) other employee benefits, including award agreements under any equity incentive plan of the Company.</w:t>
      </w:r>
    </w:p>
    <w:p>
      <w:pPr>
        <w:spacing w:after="0" w:line="180" w:lineRule="exact"/>
        <w:rPr>
          <w:rFonts w:ascii="Arial" w:cs="Arial" w:eastAsia="Arial" w:hAnsi="Arial"/>
          <w:sz w:val="17"/>
          <w:szCs w:val="17"/>
          <w:color w:val="auto"/>
        </w:rPr>
      </w:pPr>
    </w:p>
    <w:p>
      <w:pPr>
        <w:ind w:left="-460" w:right="20" w:firstLine="644"/>
        <w:spacing w:after="0" w:line="308" w:lineRule="auto"/>
        <w:tabs>
          <w:tab w:leader="none" w:pos="54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Sarbanes Oxley Compliance</w:t>
      </w:r>
      <w:r>
        <w:rPr>
          <w:rFonts w:ascii="Arial" w:cs="Arial" w:eastAsia="Arial" w:hAnsi="Arial"/>
          <w:sz w:val="17"/>
          <w:szCs w:val="17"/>
          <w:color w:val="auto"/>
        </w:rPr>
        <w:t>. Except as disclosed in the Registration Statement and the Prospectuses, the Company is in material compliance with all provisions of the United States Sarbanes-Oxley Act of 2002 that are applicable to it as of the Effective Date.</w:t>
      </w:r>
    </w:p>
    <w:p>
      <w:pPr>
        <w:spacing w:after="0" w:line="146" w:lineRule="exact"/>
        <w:rPr>
          <w:rFonts w:ascii="Arial" w:cs="Arial" w:eastAsia="Arial" w:hAnsi="Arial"/>
          <w:sz w:val="17"/>
          <w:szCs w:val="17"/>
          <w:color w:val="auto"/>
        </w:rPr>
      </w:pPr>
    </w:p>
    <w:p>
      <w:pPr>
        <w:jc w:val="both"/>
        <w:ind w:left="-460" w:firstLine="644"/>
        <w:spacing w:after="0" w:line="257" w:lineRule="auto"/>
        <w:tabs>
          <w:tab w:leader="none" w:pos="51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Finder’s Fees</w:t>
      </w:r>
      <w:r>
        <w:rPr>
          <w:rFonts w:ascii="Arial" w:cs="Arial" w:eastAsia="Arial" w:hAnsi="Arial"/>
          <w:sz w:val="18"/>
          <w:szCs w:val="18"/>
          <w:color w:val="auto"/>
        </w:rPr>
        <w:t>. Other than payments to be made to the Manager, no brokerage or finder’s fees or commissions are or will be payable by the Company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ind w:left="-460" w:right="20" w:firstLine="644"/>
        <w:spacing w:after="0" w:line="277" w:lineRule="auto"/>
        <w:tabs>
          <w:tab w:leader="none" w:pos="57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Other Sales Agency Agreement</w:t>
      </w:r>
      <w:r>
        <w:rPr>
          <w:rFonts w:ascii="Arial" w:cs="Arial" w:eastAsia="Arial" w:hAnsi="Arial"/>
          <w:sz w:val="18"/>
          <w:szCs w:val="18"/>
          <w:color w:val="auto"/>
        </w:rPr>
        <w:t>. The Company has not entered into any other sales agency agreements or other similar arrangements with any agent or any other representative in respect of “at the market” offerings of the Shares.</w:t>
      </w:r>
    </w:p>
    <w:p>
      <w:pPr>
        <w:spacing w:after="0" w:line="170" w:lineRule="exact"/>
        <w:rPr>
          <w:rFonts w:ascii="Arial" w:cs="Arial" w:eastAsia="Arial" w:hAnsi="Arial"/>
          <w:sz w:val="18"/>
          <w:szCs w:val="18"/>
          <w:color w:val="auto"/>
        </w:rPr>
      </w:pPr>
    </w:p>
    <w:p>
      <w:pPr>
        <w:jc w:val="both"/>
        <w:ind w:left="-460" w:firstLine="644"/>
        <w:spacing w:after="0" w:line="275" w:lineRule="auto"/>
        <w:tabs>
          <w:tab w:leader="none" w:pos="53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Regulation M Compliance</w:t>
      </w:r>
      <w:r>
        <w:rPr>
          <w:rFonts w:ascii="Arial" w:cs="Arial" w:eastAsia="Arial" w:hAnsi="Arial"/>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Manager in connection with the placement of the Shares.</w:t>
      </w:r>
    </w:p>
    <w:p>
      <w:pPr>
        <w:spacing w:after="0" w:line="176" w:lineRule="exact"/>
        <w:rPr>
          <w:rFonts w:ascii="Arial" w:cs="Arial" w:eastAsia="Arial" w:hAnsi="Arial"/>
          <w:sz w:val="17"/>
          <w:szCs w:val="17"/>
          <w:color w:val="auto"/>
        </w:rPr>
      </w:pPr>
    </w:p>
    <w:p>
      <w:pPr>
        <w:jc w:val="both"/>
        <w:ind w:left="-460" w:firstLine="644"/>
        <w:spacing w:after="0" w:line="272" w:lineRule="auto"/>
        <w:tabs>
          <w:tab w:leader="none" w:pos="46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issuance and sale of the Shares as contemplated in this Agreement does not contravene the rules and regulations of the Trading Market. The Common Shares are registered pursuant to Section 12(b) of the 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disclosed in the Registration Statement and the Prospectuses, the Company has not, in the 12 months preceding the date hereof, received notice from any Trading Market on which the Common Shares is or has been listed or quoted to the effect that the Company is not in compliance with the listing or maintenance requirements of such Trading Market.</w:t>
      </w:r>
    </w:p>
    <w:p>
      <w:pPr>
        <w:spacing w:after="0" w:line="177" w:lineRule="exact"/>
        <w:rPr>
          <w:rFonts w:ascii="Arial" w:cs="Arial" w:eastAsia="Arial" w:hAnsi="Arial"/>
          <w:sz w:val="17"/>
          <w:szCs w:val="17"/>
          <w:color w:val="auto"/>
        </w:rPr>
      </w:pPr>
    </w:p>
    <w:p>
      <w:pPr>
        <w:jc w:val="both"/>
        <w:ind w:left="-460" w:firstLine="644"/>
        <w:spacing w:after="0" w:line="259" w:lineRule="auto"/>
        <w:tabs>
          <w:tab w:leader="none" w:pos="54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Shares as described in the Registration Statement and the Prospectuses, will not be or be an Affiliate of, an “investment company” within the meaning of the United States Investment Company Act of 1940, as amended. The Company currently intends to conduct its business in a manner so that it will not become subject to the United States Investment Company Act of 1940, as amended.</w:t>
      </w:r>
    </w:p>
    <w:p>
      <w:pPr>
        <w:spacing w:after="0" w:line="186" w:lineRule="exact"/>
        <w:rPr>
          <w:rFonts w:ascii="Arial" w:cs="Arial" w:eastAsia="Arial" w:hAnsi="Arial"/>
          <w:sz w:val="18"/>
          <w:szCs w:val="18"/>
          <w:color w:val="auto"/>
        </w:rPr>
      </w:pPr>
    </w:p>
    <w:p>
      <w:pPr>
        <w:jc w:val="both"/>
        <w:ind w:left="-460" w:firstLine="644"/>
        <w:spacing w:after="0" w:line="296"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reasonably be expected to result in a Material Adverse Effect, the Company and its Subsidiaries each (i) has made or filed all applicable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w:t>
      </w:r>
    </w:p>
    <w:p>
      <w:pPr>
        <w:spacing w:after="0" w:line="3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left="4" w:firstLine="644"/>
        <w:spacing w:after="0" w:line="263" w:lineRule="auto"/>
        <w:tabs>
          <w:tab w:leader="none" w:pos="917"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to the knowledge of the Company, any agent or other person acting on behalf of the Company, has taken any action, directly or indirectly, that would result in a material violation by such persons of the United States Foreign Corrupt Practices Act of 1977, as amended.</w:t>
      </w:r>
    </w:p>
    <w:p>
      <w:pPr>
        <w:spacing w:after="0" w:line="183" w:lineRule="exact"/>
        <w:rPr>
          <w:rFonts w:ascii="Arial" w:cs="Arial" w:eastAsia="Arial" w:hAnsi="Arial"/>
          <w:sz w:val="18"/>
          <w:szCs w:val="18"/>
          <w:color w:val="auto"/>
        </w:rPr>
      </w:pPr>
    </w:p>
    <w:p>
      <w:pPr>
        <w:jc w:val="both"/>
        <w:ind w:left="4" w:firstLine="644"/>
        <w:spacing w:after="0" w:line="263" w:lineRule="auto"/>
        <w:tabs>
          <w:tab w:leader="none" w:pos="93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FINRA Member Shareholders</w:t>
      </w:r>
      <w:r>
        <w:rPr>
          <w:rFonts w:ascii="Arial" w:cs="Arial" w:eastAsia="Arial" w:hAnsi="Arial"/>
          <w:sz w:val="18"/>
          <w:szCs w:val="18"/>
          <w:color w:val="auto"/>
        </w:rPr>
        <w:t>. There are no affiliations with any FINRA member firm among, to the knowledge of the Company after due inquiry, the Company’s executive officers or directors or, to the knowledge of the Company, any ten percent (10%) or greater stockholder of the Company, except as set forth in the Registration Statement and the Prospectuses.</w:t>
      </w:r>
    </w:p>
    <w:p>
      <w:pPr>
        <w:spacing w:after="0" w:line="183" w:lineRule="exact"/>
        <w:rPr>
          <w:rFonts w:ascii="Arial" w:cs="Arial" w:eastAsia="Arial" w:hAnsi="Arial"/>
          <w:sz w:val="18"/>
          <w:szCs w:val="18"/>
          <w:color w:val="auto"/>
        </w:rPr>
      </w:pPr>
    </w:p>
    <w:p>
      <w:pPr>
        <w:jc w:val="both"/>
        <w:ind w:left="4" w:firstLine="644"/>
        <w:spacing w:after="0" w:line="259" w:lineRule="auto"/>
        <w:tabs>
          <w:tab w:leader="none" w:pos="101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xml:space="preserve"> The Company has delivered to the Manager one complete copy of each of the Canadian Base Prospectus and the Registration Statement and a copy of each consent and certificate of experts filed as a part thereof, and conformed copies of the Canadian Base Prospectus, the Registration Statement (without exhibits) and the Prospectuses, as amended, in such quantities and at such places as the Manager has reasonably requested.</w:t>
      </w:r>
    </w:p>
    <w:p>
      <w:pPr>
        <w:spacing w:after="0" w:line="186" w:lineRule="exact"/>
        <w:rPr>
          <w:rFonts w:ascii="Arial" w:cs="Arial" w:eastAsia="Arial" w:hAnsi="Arial"/>
          <w:sz w:val="18"/>
          <w:szCs w:val="18"/>
          <w:color w:val="auto"/>
        </w:rPr>
      </w:pPr>
    </w:p>
    <w:p>
      <w:pPr>
        <w:ind w:left="184" w:hanging="184"/>
        <w:spacing w:after="0"/>
        <w:tabs>
          <w:tab w:leader="none" w:pos="18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Manager that:</w:t>
      </w:r>
    </w:p>
    <w:p>
      <w:pPr>
        <w:spacing w:after="0" w:line="225" w:lineRule="exact"/>
        <w:rPr>
          <w:rFonts w:ascii="Arial" w:cs="Arial" w:eastAsia="Arial" w:hAnsi="Arial"/>
          <w:sz w:val="18"/>
          <w:szCs w:val="18"/>
          <w:color w:val="auto"/>
        </w:rPr>
      </w:pPr>
    </w:p>
    <w:p>
      <w:pPr>
        <w:jc w:val="both"/>
        <w:ind w:left="4" w:firstLine="644"/>
        <w:spacing w:after="0" w:line="284" w:lineRule="auto"/>
        <w:tabs>
          <w:tab w:leader="none" w:pos="896"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Right to Review Amendments and Supplements to Registration Statement and Prospectuses</w:t>
      </w:r>
      <w:r>
        <w:rPr>
          <w:rFonts w:ascii="Arial" w:cs="Arial" w:eastAsia="Arial" w:hAnsi="Arial"/>
          <w:sz w:val="16"/>
          <w:szCs w:val="16"/>
          <w:color w:val="auto"/>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Prospectuses unless the Company has furnished to the Manager a copy for its review prior to filing and will not file any such proposed amendment or supplement to which the Manager reasonably objects unless and to the extent required by law (provided, however, that the Company will have no obligation to provide the Manager any advance copy of such filing or to provide the Manager an opportunity to object to such filing if the filing does not name the Manager and does not relate to the transaction herein provided). The Company has filed the U.S. Prospectus, as amended or supplemented at the Execution Time and in a form approved by the Manager, with the Commission pursuant to the instructions to Form F-10 by the Execution Time and will cause any supplement to the U.S. Prospectus to be filed with the Commission in a form approved by the Manager pursuant to the instructions to Form F-10 within the time period prescribed thereby and will provide evidence reasonably satisfactory to the Manager of such timely filing. The Company will promptly advise the Manager (i) when the Canadian Prospectus, and any supplement thereto, shall have been filed (if required) with the Reviewing Authority and in any of the other Canadian Qualifying Jurisdictions, as applicable, pursuant to the Shelf Procedures and the Commission pursuant to the instructions to Form F-10,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U.S.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reasonably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38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 w:name="page28"/>
    <w:bookmarkEnd w:id="27"/>
    <w:p>
      <w:pPr>
        <w:jc w:val="both"/>
        <w:ind w:left="-460" w:firstLine="644"/>
        <w:spacing w:after="0" w:line="271" w:lineRule="auto"/>
        <w:tabs>
          <w:tab w:leader="none" w:pos="44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Subsequent Events</w:t>
      </w:r>
      <w:r>
        <w:rPr>
          <w:rFonts w:ascii="Arial" w:cs="Arial" w:eastAsia="Arial" w:hAnsi="Arial"/>
          <w:sz w:val="17"/>
          <w:szCs w:val="17"/>
          <w:color w:val="auto"/>
        </w:rPr>
        <w:t>. If, at any time on or after an Applicable Time but prior to the related Settlement Date, any event occurs as a result of which the Registration Statement or U.S.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Registration Statement or U.S. Prospectus may cease until such are amended or supplemented; (ii) if, in the Company’s determination and at the Company’s sole discretion, it is necessary to file an amendment or supplement to the Registration Statement or the Prospectuses to comply with the Act or applicable Canadian Securities Laws, will amend or supplement the Registration Statement or Prospectuses to correct such statement or omission; and (iii) supply any amendment or supplement to the Manager in such quantities as the Manager may reasonably request.</w:t>
      </w:r>
    </w:p>
    <w:p>
      <w:pPr>
        <w:spacing w:after="0" w:line="178" w:lineRule="exact"/>
        <w:rPr>
          <w:rFonts w:ascii="Arial" w:cs="Arial" w:eastAsia="Arial" w:hAnsi="Arial"/>
          <w:sz w:val="17"/>
          <w:szCs w:val="17"/>
          <w:color w:val="auto"/>
        </w:rPr>
      </w:pPr>
    </w:p>
    <w:p>
      <w:pPr>
        <w:jc w:val="both"/>
        <w:ind w:left="-460" w:firstLine="644"/>
        <w:spacing w:after="0" w:line="269" w:lineRule="auto"/>
        <w:tabs>
          <w:tab w:leader="none" w:pos="43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Notification of Subsequent Filings</w:t>
      </w:r>
      <w:r>
        <w:rPr>
          <w:rFonts w:ascii="Arial" w:cs="Arial" w:eastAsia="Arial" w:hAnsi="Arial"/>
          <w:sz w:val="17"/>
          <w:szCs w:val="17"/>
          <w:color w:val="auto"/>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Prospectuses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Prospectuses to comply with the Act or the Exchange Act or the respective rules thereunder, including in connection with use or delivery of the Prospectuses, the Company promptly will (i) notify the Manager of any such event, (ii) subject to Section 5(a), prepare and file with the Commission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Prospectuses to the Manager in such quantities as the Manager may reasonably request.</w:t>
      </w:r>
    </w:p>
    <w:p>
      <w:pPr>
        <w:spacing w:after="0" w:line="181" w:lineRule="exact"/>
        <w:rPr>
          <w:rFonts w:ascii="Arial" w:cs="Arial" w:eastAsia="Arial" w:hAnsi="Arial"/>
          <w:sz w:val="17"/>
          <w:szCs w:val="17"/>
          <w:color w:val="auto"/>
        </w:rPr>
      </w:pPr>
    </w:p>
    <w:p>
      <w:pPr>
        <w:jc w:val="both"/>
        <w:ind w:left="-460" w:firstLine="644"/>
        <w:spacing w:after="0" w:line="270" w:lineRule="auto"/>
        <w:tabs>
          <w:tab w:leader="none" w:pos="44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Listing of Shares</w:t>
      </w:r>
      <w:r>
        <w:rPr>
          <w:rFonts w:ascii="Arial" w:cs="Arial" w:eastAsia="Arial" w:hAnsi="Arial"/>
          <w:sz w:val="17"/>
          <w:szCs w:val="17"/>
          <w:color w:val="auto"/>
        </w:rPr>
        <w:t xml:space="preserve">. During any period in which the U.S. Prospectus relating to the Shares is required to be delivered by the Manager under the Act with respect to a pending sale of the Shares (including in circumstances where such requirement may be satisfied pursuant to Rule 172 under the Act), the Company will use its commercially reasonable efforts to cause the Shares to be approved for listing on the TSX and the Trading Market and to qualify the Shares for sale under the securities laws of such jurisdictions as the Manager reasonably designates and to continue such qualifications in effect so long as required for the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in connection therewith to qualify as a foreign corporation or a dealer in securities, to otherwise qualify to do business in any jurisdiction where it is not now so qualified, to subject itself to taxation in any jurisdiction where it is not so subject or to take any action that would subject it to service of process in suits (other than those arising out of the offering or sale of the Shares) or to file a general consent to service of process in any jurisdiction where it is not now subject.</w:t>
      </w:r>
    </w:p>
    <w:p>
      <w:pPr>
        <w:spacing w:after="0" w:line="180" w:lineRule="exact"/>
        <w:rPr>
          <w:rFonts w:ascii="Arial" w:cs="Arial" w:eastAsia="Arial" w:hAnsi="Arial"/>
          <w:sz w:val="17"/>
          <w:szCs w:val="17"/>
          <w:color w:val="auto"/>
        </w:rPr>
      </w:pPr>
    </w:p>
    <w:p>
      <w:pPr>
        <w:jc w:val="both"/>
        <w:ind w:left="-460" w:firstLine="644"/>
        <w:spacing w:after="0" w:line="259" w:lineRule="auto"/>
        <w:tabs>
          <w:tab w:leader="none" w:pos="4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Earnings Statements</w:t>
      </w:r>
      <w:r>
        <w:rPr>
          <w:rFonts w:ascii="Arial" w:cs="Arial" w:eastAsia="Arial" w:hAnsi="Arial"/>
          <w:sz w:val="18"/>
          <w:szCs w:val="18"/>
          <w:color w:val="auto"/>
        </w:rPr>
        <w:t>. As soon as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4(e).</w:t>
      </w:r>
    </w:p>
    <w:p>
      <w:pPr>
        <w:spacing w:after="0" w:line="3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 w:name="page29"/>
    <w:bookmarkEnd w:id="28"/>
    <w:p>
      <w:pPr>
        <w:jc w:val="both"/>
        <w:ind w:left="-460" w:firstLine="644"/>
        <w:spacing w:after="0" w:line="271"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Delivery of Canadian Base Prospectus, Registration Statement, Form F-X and Prospectus Supplements</w:t>
      </w:r>
      <w:r>
        <w:rPr>
          <w:rFonts w:ascii="Arial" w:cs="Arial" w:eastAsia="Arial" w:hAnsi="Arial"/>
          <w:sz w:val="17"/>
          <w:szCs w:val="17"/>
          <w:color w:val="auto"/>
        </w:rPr>
        <w:t>. Upon the request of the Manager, the Company will furnish to the Manager and counsel for the Manager, without charge, signed copies of the Canadian Base Prospectus, the Registration Statement, the Form F-X, the Prospectus Supplements (including any exhibits and amendments) and, so long as delivery of a prospectus by the Manager or dealer may be required by the Act (including in circumstances where such requirement may be satisfied pursuant to Rule 172, 173 or any similar rule), as many copies of the U.S. Prospectus and each Issuer Free Writing Prospectus and any supplement thereto as the Manager may reasonably request; provided, however, that the Company shall not be required to furnish any document (other than the Prospectuses) to the Manager to the extent such document is available on SEDAR or EDGAR. The Company will pay the expenses of printing or other production of all documents relating to the offering as set forth in Section 6 herein.</w:t>
      </w:r>
    </w:p>
    <w:p>
      <w:pPr>
        <w:spacing w:after="0" w:line="178" w:lineRule="exact"/>
        <w:rPr>
          <w:rFonts w:ascii="Arial" w:cs="Arial" w:eastAsia="Arial" w:hAnsi="Arial"/>
          <w:sz w:val="17"/>
          <w:szCs w:val="17"/>
          <w:color w:val="auto"/>
        </w:rPr>
      </w:pPr>
    </w:p>
    <w:p>
      <w:pPr>
        <w:jc w:val="both"/>
        <w:ind w:left="-460" w:firstLine="644"/>
        <w:spacing w:after="0" w:line="253" w:lineRule="auto"/>
        <w:tabs>
          <w:tab w:leader="none" w:pos="44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Free Writing Prospectus</w:t>
      </w:r>
      <w:r>
        <w:rPr>
          <w:rFonts w:ascii="Arial" w:cs="Arial" w:eastAsia="Arial" w:hAnsi="Arial"/>
          <w:sz w:val="18"/>
          <w:szCs w:val="18"/>
          <w:color w:val="auto"/>
        </w:rPr>
        <w:t>. The Company agrees that, unless the Company has or shall have obtained the prior written consent of the Manager, and the Manager agrees with the Company that, unless the Manager has or shall have obtained, as the case may be, the prior written consent of the Company, neither the Company nor the Manager, as the case may be, has made nor will it make any offer relating to the Shares that would constitute an Issuer Free Writing Prospectus or that would otherwise constitute a “free writing prospectus” (as defined in Rule 405) required to be filed by the Company or the Manager, as applicable, with the Commission or retained by the Company or the Manager, as applicable, under Rule 433. Any such free writing prospectus consented to by the Manager or the Company is hereinafter referred to as a “</w:t>
      </w:r>
      <w:r>
        <w:rPr>
          <w:rFonts w:ascii="Arial" w:cs="Arial" w:eastAsia="Arial" w:hAnsi="Arial"/>
          <w:sz w:val="18"/>
          <w:szCs w:val="18"/>
          <w:u w:val="single" w:color="auto"/>
          <w:color w:val="auto"/>
        </w:rPr>
        <w:t>Permitted Free Writing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Prospectus</w:t>
      </w:r>
      <w:r>
        <w:rPr>
          <w:rFonts w:ascii="Arial" w:cs="Arial" w:eastAsia="Arial" w:hAnsi="Arial"/>
          <w:sz w:val="18"/>
          <w:szCs w:val="18"/>
          <w:color w:val="auto"/>
        </w:rPr>
        <w:t>.” The Company and the Manager agree that it has complied and will comply, as the case may be, with the requirements of Rules 164 and 433 applicable to any Permitted Free Writing Prospectus, including in respect of timely filing with the Commission, legending and record keeping.</w:t>
      </w:r>
    </w:p>
    <w:p>
      <w:pPr>
        <w:spacing w:after="0" w:line="196" w:lineRule="exact"/>
        <w:rPr>
          <w:rFonts w:ascii="Arial" w:cs="Arial" w:eastAsia="Arial" w:hAnsi="Arial"/>
          <w:sz w:val="18"/>
          <w:szCs w:val="18"/>
          <w:color w:val="auto"/>
        </w:rPr>
      </w:pPr>
    </w:p>
    <w:p>
      <w:pPr>
        <w:jc w:val="both"/>
        <w:ind w:left="-460" w:firstLine="644"/>
        <w:spacing w:after="0" w:line="253" w:lineRule="auto"/>
        <w:tabs>
          <w:tab w:leader="none" w:pos="45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Subsequent Equity Issuances</w:t>
      </w:r>
      <w:r>
        <w:rPr>
          <w:rFonts w:ascii="Arial" w:cs="Arial" w:eastAsia="Arial" w:hAnsi="Arial"/>
          <w:sz w:val="18"/>
          <w:szCs w:val="18"/>
          <w:color w:val="auto"/>
        </w:rPr>
        <w:t xml:space="preserve">. Neither the Company nor any Subsidiary will offer, sell, issue, contract to sell, contract to issue or otherwise dispose of, directly or indirectly, any other Common Shares or any Common Share Equivalents (other than the Shares) during the term of this Agreement without giving the Manager at least three (3) Business Days’ prior written notice specifying the nature of the proposed transaction and the date of such proposed transaction, and the Manager shall thereupon suspend acting under this Agreement for such period of time requested by the Company or as deemed appropriate by the Manager in light of the proposed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without giving such notice, issue and sell Common Shares pursuant to (i) any employee equity incentive plan, share ownership plan or dividend reinvestment plan of the Company in effect from time to time, (ii) an acquisition, merger or sale or purchase of assets, (iii) the conversion or exercise of Common Share Equivalents outstanding from time to time and (iv) any obligations in respect of existing agreements, arrangements or instruments.</w:t>
      </w:r>
    </w:p>
    <w:p>
      <w:pPr>
        <w:spacing w:after="0" w:line="196" w:lineRule="exact"/>
        <w:rPr>
          <w:rFonts w:ascii="Arial" w:cs="Arial" w:eastAsia="Arial" w:hAnsi="Arial"/>
          <w:sz w:val="18"/>
          <w:szCs w:val="18"/>
          <w:color w:val="auto"/>
        </w:rPr>
      </w:pPr>
    </w:p>
    <w:p>
      <w:pPr>
        <w:jc w:val="both"/>
        <w:ind w:left="-460" w:firstLine="644"/>
        <w:spacing w:after="0" w:line="259" w:lineRule="auto"/>
        <w:tabs>
          <w:tab w:leader="none" w:pos="40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Market Manipulation</w:t>
      </w:r>
      <w:r>
        <w:rPr>
          <w:rFonts w:ascii="Arial" w:cs="Arial" w:eastAsia="Arial" w:hAnsi="Arial"/>
          <w:sz w:val="18"/>
          <w:szCs w:val="18"/>
          <w:color w:val="auto"/>
        </w:rPr>
        <w:t>. Until the termination of this Agreement, the Company will not take, directly or indirectly, any action designed to or that would constitute or that would reasonably be expected to cause or result in, under the Exchange Act or otherwise, stabilization or manipulation in violation of the Act, Exchange Act of the price of any security of the Company to facilitate the sale or resale of the Shares or otherwise violate any provision of Regulation M under the Exchange Act in connection therewith.</w:t>
      </w:r>
    </w:p>
    <w:p>
      <w:pPr>
        <w:spacing w:after="0" w:line="3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 w:name="page30"/>
    <w:bookmarkEnd w:id="29"/>
    <w:p>
      <w:pPr>
        <w:jc w:val="both"/>
        <w:ind w:left="-460" w:firstLine="644"/>
        <w:spacing w:after="0" w:line="259" w:lineRule="auto"/>
        <w:tabs>
          <w:tab w:leader="none" w:pos="40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Notification of Incorrect Certificate</w:t>
      </w:r>
      <w:r>
        <w:rPr>
          <w:rFonts w:ascii="Arial" w:cs="Arial" w:eastAsia="Arial" w:hAnsi="Arial"/>
          <w:sz w:val="18"/>
          <w:szCs w:val="18"/>
          <w:color w:val="auto"/>
        </w:rPr>
        <w:t>. The Company will, at any time during the term of this Agreement, as supplemented from time to time, advise the Manager promptly after it shall have received notice or obtained knowledge thereof, of any information or fact that would result in any material statement made in any opinion, certificate, letter or other document provided to the Manager pursuant to Section 7 herein to be materially inaccurate or untrue as of the date such statement was made.</w:t>
      </w:r>
    </w:p>
    <w:p>
      <w:pPr>
        <w:spacing w:after="0" w:line="186" w:lineRule="exact"/>
        <w:rPr>
          <w:rFonts w:ascii="Arial" w:cs="Arial" w:eastAsia="Arial" w:hAnsi="Arial"/>
          <w:sz w:val="18"/>
          <w:szCs w:val="18"/>
          <w:color w:val="auto"/>
        </w:rPr>
      </w:pPr>
    </w:p>
    <w:p>
      <w:pPr>
        <w:jc w:val="both"/>
        <w:ind w:left="-460" w:firstLine="644"/>
        <w:spacing w:after="0" w:line="284" w:lineRule="auto"/>
        <w:tabs>
          <w:tab w:leader="none" w:pos="45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Certification of Accuracy of Disclosure</w:t>
      </w:r>
      <w:r>
        <w:rPr>
          <w:rFonts w:ascii="Arial" w:cs="Arial" w:eastAsia="Arial" w:hAnsi="Arial"/>
          <w:sz w:val="16"/>
          <w:szCs w:val="16"/>
          <w:color w:val="auto"/>
        </w:rPr>
        <w:t>. Upon commencement of the offering of the Shares under this Agreement (and upon the recommencement of the offering of the Shares under this Agreement following the termination or a suspension of sales hereunder lasting more than 30 Trading Days), and each time that (i) the Registration Statement or Prospectuses shall be amended or supplemented, other than by means of Incorporated Documents, (ii) the Company files its Annual Report on Form 40-F or Form 20-F under the Exchange Act (including any Form 40-F/A or Form 20-F/A that includes amended audited financial information), (iii) the Company files or furnishes its unaudited financial statements and management’s discussion and analysis on Form 6-K under the Exchange Act, or (iv) the Company files a Report on Form 6-K containing amended financial information (other than information that is furnished and not filed), if the Manager reasonably determines that the information in such Form 6-K is material and notifies the Company thereof (such commencement or recommencement date and each such date referred to in (i), (ii), (iii) and (iv) above, a “</w:t>
      </w:r>
      <w:r>
        <w:rPr>
          <w:rFonts w:ascii="Arial" w:cs="Arial" w:eastAsia="Arial" w:hAnsi="Arial"/>
          <w:sz w:val="16"/>
          <w:szCs w:val="16"/>
          <w:u w:val="single" w:color="auto"/>
          <w:color w:val="auto"/>
        </w:rPr>
        <w:t>Representation Date</w:t>
      </w:r>
      <w:r>
        <w:rPr>
          <w:rFonts w:ascii="Arial" w:cs="Arial" w:eastAsia="Arial" w:hAnsi="Arial"/>
          <w:sz w:val="16"/>
          <w:szCs w:val="16"/>
          <w:color w:val="auto"/>
        </w:rPr>
        <w:t>”), unless waived by the Manager, the Company shall furnish or cause to be furnished to the Manager promptly a certificate dated and delivered on the Representation Date, in form reasonably satisfactory to the Manager to the effect that the statements contained in the certificate referred to in Section 7(c) of this Agreement which were last furnished to the Manager are true and correct at the Representation Date, as though made at and as of such date (except that such statements shall be deemed to relate to the Registration Statement and the Prospectuses as amended and supplemented to such date) or, in lieu of such certificate, a certificate of the same tenor as the certificate referred to in said Section 7(c), modified as necessary to relate to the Registration Statement and the Prospectuses as amended and supplemented to the date of delivery of such certificate. The requirement to furnish or cause to be furnished a certificate under this Section 5(k) shall at the request of the Company be waived for any Representation Date occurring on a date on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the Manager a certificate pursuant to this Section 5(k), then, before the Company is entitled to deliver a Sales Notice to the Manager to Sell shares pursuant to this Agreement, the Company shall provide the Manager such a certificate.</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 w:name="page31"/>
    <w:bookmarkEnd w:id="30"/>
    <w:p>
      <w:pPr>
        <w:jc w:val="both"/>
        <w:ind w:left="-460" w:firstLine="644"/>
        <w:spacing w:after="0" w:line="284" w:lineRule="auto"/>
        <w:tabs>
          <w:tab w:leader="none" w:pos="41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Bring Down Opinions; Negative Assurance</w:t>
      </w:r>
      <w:r>
        <w:rPr>
          <w:rFonts w:ascii="Arial" w:cs="Arial" w:eastAsia="Arial" w:hAnsi="Arial"/>
          <w:sz w:val="16"/>
          <w:szCs w:val="16"/>
          <w:color w:val="auto"/>
        </w:rPr>
        <w:t>. At each Representation Date, unless otherwise waived by the Manager, the Company shall furnish or cause to be furnished forthwith to the Manager and to counsel to the Manager (i) the written opinion and a negative assurance letter of Katten Muchin Rosenman LLP, U.S. counsel for the Company (“</w:t>
      </w:r>
      <w:r>
        <w:rPr>
          <w:rFonts w:ascii="Arial" w:cs="Arial" w:eastAsia="Arial" w:hAnsi="Arial"/>
          <w:sz w:val="16"/>
          <w:szCs w:val="16"/>
          <w:u w:val="single" w:color="auto"/>
          <w:color w:val="auto"/>
        </w:rPr>
        <w:t>U.S. Company Counsel</w:t>
      </w:r>
      <w:r>
        <w:rPr>
          <w:rFonts w:ascii="Arial" w:cs="Arial" w:eastAsia="Arial" w:hAnsi="Arial"/>
          <w:sz w:val="16"/>
          <w:szCs w:val="16"/>
          <w:color w:val="auto"/>
        </w:rPr>
        <w:t>”) and (ii) the written opinion of Peterson McVicar LLP, Canadian counsel for the Company (“</w:t>
      </w:r>
      <w:r>
        <w:rPr>
          <w:rFonts w:ascii="Arial" w:cs="Arial" w:eastAsia="Arial" w:hAnsi="Arial"/>
          <w:sz w:val="16"/>
          <w:szCs w:val="16"/>
          <w:u w:val="single" w:color="auto"/>
          <w:color w:val="auto"/>
        </w:rPr>
        <w:t>Canadian Company Counsel</w:t>
      </w:r>
      <w:r>
        <w:rPr>
          <w:rFonts w:ascii="Arial" w:cs="Arial" w:eastAsia="Arial" w:hAnsi="Arial"/>
          <w:sz w:val="16"/>
          <w:szCs w:val="16"/>
          <w:color w:val="auto"/>
        </w:rPr>
        <w:t>” and, collectively with U.S. Company Counsel,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Counsel</w:t>
      </w:r>
      <w:r>
        <w:rPr>
          <w:rFonts w:ascii="Arial" w:cs="Arial" w:eastAsia="Arial" w:hAnsi="Arial"/>
          <w:sz w:val="16"/>
          <w:szCs w:val="16"/>
          <w:color w:val="auto"/>
        </w:rPr>
        <w:t>”), in each case addressed to the Manager and dated and delivered the date that the opinions are required to be delivered, in form and substance reasonably satisfactory to the Manager, including a negative assurance representation. In lieu of delivering such an opinion or such opinions for Representation Dates subsequent to the commencement of the offering of the Shares under this Agreement, Company Counsel may furnish the Manager with a letter to the effect that the Manager may rely on a prior opinion delivered under Section 7(b) or this Section 5(l) to the same extent as if it were dated the date of such letter (except that statements in such prior opinion shall be deemed to relate to the Registration Statement and the Prospectuses as amended or supplemented as of such subsequent Representation Date). The requirement to furnish or cause to be furnished opinions (but not with respect to a negative assurance representation) under this Section 5(l) shall be waived for any Representation Date other than a Representation Date on which a material amendment to the Registration Statement or Prospectus is made or the Company files its Annual Report on Form 40-F or a material amendment thereto under the Exchange Act, unless the Manager reasonably requests such deliverable required by this Section 5(l) in connection with a Representation Date, upon which request such deliverable shall be deliverable hereunder. The requirement to deliver or cause to be delivered one or more opinions under this Section 5(l) shall at the request of the Company be waived for any Representation Date occurring on a date on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or cause to be provided to the Manager the opinions contemplated in this Section 5(l), then, before the Company is entitled to deliver a Sales Notice to the Manager to Sell shares pursuant to this Agreement, the Company shall provide or cause to be provided the Manager such opinion(s).</w:t>
      </w:r>
    </w:p>
    <w:p>
      <w:pPr>
        <w:spacing w:after="0" w:line="181" w:lineRule="exact"/>
        <w:rPr>
          <w:rFonts w:ascii="Arial" w:cs="Arial" w:eastAsia="Arial" w:hAnsi="Arial"/>
          <w:sz w:val="16"/>
          <w:szCs w:val="16"/>
          <w:color w:val="auto"/>
        </w:rPr>
      </w:pPr>
    </w:p>
    <w:p>
      <w:pPr>
        <w:jc w:val="both"/>
        <w:ind w:left="-460" w:firstLine="644"/>
        <w:spacing w:after="0" w:line="286" w:lineRule="auto"/>
        <w:tabs>
          <w:tab w:leader="none" w:pos="49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Auditor Bring Down “Comfort” Letter</w:t>
      </w:r>
      <w:r>
        <w:rPr>
          <w:rFonts w:ascii="Arial" w:cs="Arial" w:eastAsia="Arial" w:hAnsi="Arial"/>
          <w:sz w:val="16"/>
          <w:szCs w:val="16"/>
          <w:color w:val="auto"/>
        </w:rPr>
        <w:t>. At each Representation Date, unless waived by the Manager, the Company shall cause (1) the Company’s auditors (the “</w:t>
      </w:r>
      <w:r>
        <w:rPr>
          <w:rFonts w:ascii="Arial" w:cs="Arial" w:eastAsia="Arial" w:hAnsi="Arial"/>
          <w:sz w:val="16"/>
          <w:szCs w:val="16"/>
          <w:u w:val="single" w:color="auto"/>
          <w:color w:val="auto"/>
        </w:rPr>
        <w:t>Accountants</w:t>
      </w:r>
      <w:r>
        <w:rPr>
          <w:rFonts w:ascii="Arial" w:cs="Arial" w:eastAsia="Arial" w:hAnsi="Arial"/>
          <w:sz w:val="16"/>
          <w:szCs w:val="16"/>
          <w:color w:val="auto"/>
        </w:rPr>
        <w:t xml:space="preserve">”), or other independent accountants satisfactory to the Manager forthwith to furnish the Manager a letter, and (2) the Chief Financial Officer of the Company forthwith to furnish the Manager a certificate, in each case dated on such Representation Date, in form satisfactory to the Manager, of the same tenor as the letters and certificate referred to in Section 7(d) of this Agreement but modified to relate to the Registration Statement and the Prospectuses, as amended and supplemented to the date of such letters and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requirement to furnish or cause to be furnished a “comfort” letter under this Section 5(m) shall be waived for any Representation Date other than a Representation Date on which a material amendment to the Registration Statement or Prospectus is made or the Company files its Annual Report on Form 40-F or a material amendment thereto under the Exchange Act, unless the Manager reasonably requests the deliverables required by this Section 5(m) in connection with a Representation Date, upon which request such deliverables shall be deliverable hereunder. The requirement to deliver or cause to be delivered one or more letters and certificates under this Section 5(m) shall at the request of the Company be waived for any Representation Date occurring on a date on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or cause to be provided to the Manager the letters or certificates contemplated in this Section 5(m), then, before the Company is entitled to deliver a Sales Notice to the Manager to Sell shares pursuant to this Agreement, the Company shall provide or cause to be provided the Manager such letters and certificates.</w:t>
      </w:r>
    </w:p>
    <w:p>
      <w:pPr>
        <w:spacing w:after="0" w:line="37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 w:name="page32"/>
    <w:bookmarkEnd w:id="31"/>
    <w:p>
      <w:pPr>
        <w:jc w:val="both"/>
        <w:ind w:left="-460" w:firstLine="644"/>
        <w:spacing w:after="0" w:line="289" w:lineRule="auto"/>
        <w:tabs>
          <w:tab w:leader="none" w:pos="44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Due Diligence Session</w:t>
      </w:r>
      <w:r>
        <w:rPr>
          <w:rFonts w:ascii="Arial" w:cs="Arial" w:eastAsia="Arial" w:hAnsi="Arial"/>
          <w:sz w:val="16"/>
          <w:szCs w:val="16"/>
          <w:color w:val="auto"/>
        </w:rPr>
        <w:t>. Upon commencement of the offering of the Shares under this Agreement (and upon the recommencement of the offering of the Shares under this Agreement following the termination of a suspension of sales hereunder lasting more than 30 Trading Days), and at each Representation Date, unless waived by the Manager, the Company will conduct a due diligence session, in form and substance, reasonably satisfactory to the Manager, which shall include representatives of management and the Accountants. The Company shall reasonably cooperate in a timely manner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United States and Canadian business hours. The Company shall reimburse the Manager for Manager’s counsel’s fees in each such due diligence update session, up to a maximum of $2,500 per update, plus any incidental expense incurred by the Manager in connection therewith.</w:t>
      </w:r>
    </w:p>
    <w:p>
      <w:pPr>
        <w:spacing w:after="0" w:line="166" w:lineRule="exact"/>
        <w:rPr>
          <w:rFonts w:ascii="Arial" w:cs="Arial" w:eastAsia="Arial" w:hAnsi="Arial"/>
          <w:sz w:val="16"/>
          <w:szCs w:val="16"/>
          <w:color w:val="auto"/>
        </w:rPr>
      </w:pPr>
    </w:p>
    <w:p>
      <w:pPr>
        <w:ind w:left="440" w:hanging="25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644"/>
        <w:spacing w:after="0" w:line="257" w:lineRule="auto"/>
        <w:tabs>
          <w:tab w:leader="none" w:pos="44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Disclosure of Shares Sold</w:t>
      </w:r>
      <w:r>
        <w:rPr>
          <w:rFonts w:ascii="Arial" w:cs="Arial" w:eastAsia="Arial" w:hAnsi="Arial"/>
          <w:sz w:val="18"/>
          <w:szCs w:val="18"/>
          <w:color w:val="auto"/>
        </w:rPr>
        <w:t>. The Company will disclose in its annual and interim management’s discussion and analysis prepared and filed in accordance with Canadian Securities Laws,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report on Form 6-K or other applicable form.</w:t>
      </w:r>
    </w:p>
    <w:p>
      <w:pPr>
        <w:spacing w:after="0" w:line="187" w:lineRule="exact"/>
        <w:rPr>
          <w:rFonts w:ascii="Arial" w:cs="Arial" w:eastAsia="Arial" w:hAnsi="Arial"/>
          <w:sz w:val="18"/>
          <w:szCs w:val="18"/>
          <w:color w:val="auto"/>
        </w:rPr>
      </w:pPr>
    </w:p>
    <w:p>
      <w:pPr>
        <w:jc w:val="both"/>
        <w:ind w:left="-460" w:firstLine="644"/>
        <w:spacing w:after="0" w:line="254" w:lineRule="auto"/>
        <w:tabs>
          <w:tab w:leader="none" w:pos="44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Rescission Right</w:t>
      </w:r>
      <w:r>
        <w:rPr>
          <w:rFonts w:ascii="Arial" w:cs="Arial" w:eastAsia="Arial" w:hAnsi="Arial"/>
          <w:sz w:val="18"/>
          <w:szCs w:val="18"/>
          <w:color w:val="auto"/>
        </w:rPr>
        <w:t>. If, at any time on or after the time that a person has agreed to purchase Shares from the Company as the result of an offer to purchase solicited by the Manager pursuant to a Sales Notice but prior to the related Settlement Date, the Company or the Manager becomes aware that (i) the Registration Statement or the U.S. Prospectus included at the date of such sale contains any untrue statement of a material fact or omits to state any material fact necessary to make the statements therein in the light of the circumstances under which they were made or the circumstances then prevailing not misleading or (ii) the conditions set forth in Section 7 have not been satisfied in connection with such sale, the Company will, prior to the related Settlement Date for such Shares, offer to such person the right to refuse to purchase and pay for such Shares.</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60" w:firstLine="644"/>
        <w:spacing w:after="0" w:line="291" w:lineRule="auto"/>
        <w:tabs>
          <w:tab w:leader="none" w:pos="41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Bring Down of Representations and Warranties</w:t>
      </w:r>
      <w:r>
        <w:rPr>
          <w:rFonts w:ascii="Arial" w:cs="Arial" w:eastAsia="Arial" w:hAnsi="Arial"/>
          <w:sz w:val="16"/>
          <w:szCs w:val="16"/>
          <w:color w:val="auto"/>
        </w:rPr>
        <w:t>. Each acceptance by the Company of an offer to purchase the Shares hereunder shall be deemed to be an affirmation to the Manager that the representations and warranties of the Company contained in or made pursuant to this Agreement are true and correct as of the date of such acceptance as though made at and as of such date (except for any of such representations and warranties that speak as of a specific date), and an undertaking that such representations and warranties will be true and correct as of the Settlement Date for the Shares relating to such acceptance relating to such sale, as the case may be, as though made at and as of such date (except for any of such representations and warranties that speak as of a specific date and, otherwise, except that such representations and warranties shall be deemed to relate to the Registration Statement and the Prospectuses as amended and supplemented relating to such Shares).</w:t>
      </w:r>
    </w:p>
    <w:p>
      <w:pPr>
        <w:spacing w:after="0" w:line="166" w:lineRule="exact"/>
        <w:rPr>
          <w:rFonts w:ascii="Arial" w:cs="Arial" w:eastAsia="Arial" w:hAnsi="Arial"/>
          <w:sz w:val="16"/>
          <w:szCs w:val="16"/>
          <w:color w:val="auto"/>
        </w:rPr>
      </w:pPr>
    </w:p>
    <w:p>
      <w:pPr>
        <w:ind w:left="-460" w:right="20" w:firstLine="644"/>
        <w:spacing w:after="0" w:line="277" w:lineRule="auto"/>
        <w:tabs>
          <w:tab w:leader="none" w:pos="42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Listing of Shares</w:t>
      </w:r>
      <w:r>
        <w:rPr>
          <w:rFonts w:ascii="Arial" w:cs="Arial" w:eastAsia="Arial" w:hAnsi="Arial"/>
          <w:sz w:val="18"/>
          <w:szCs w:val="18"/>
          <w:color w:val="auto"/>
        </w:rPr>
        <w:t>. The Company will use its commercially reasonable efforts to cause the Shares to be listed for trading on the Trading Market and the TSX, to the extent applicable, and to maintain such listing.</w:t>
      </w:r>
    </w:p>
    <w:p>
      <w:pPr>
        <w:spacing w:after="0" w:line="170" w:lineRule="exact"/>
        <w:rPr>
          <w:rFonts w:ascii="Arial" w:cs="Arial" w:eastAsia="Arial" w:hAnsi="Arial"/>
          <w:sz w:val="18"/>
          <w:szCs w:val="18"/>
          <w:color w:val="auto"/>
        </w:rPr>
      </w:pPr>
    </w:p>
    <w:p>
      <w:pPr>
        <w:jc w:val="both"/>
        <w:ind w:left="-460" w:firstLine="644"/>
        <w:spacing w:after="0" w:line="279" w:lineRule="auto"/>
        <w:tabs>
          <w:tab w:leader="none" w:pos="40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Obligation Under Exchange Act</w:t>
      </w:r>
      <w:r>
        <w:rPr>
          <w:rFonts w:ascii="Arial" w:cs="Arial" w:eastAsia="Arial" w:hAnsi="Arial"/>
          <w:sz w:val="17"/>
          <w:szCs w:val="17"/>
          <w:color w:val="auto"/>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 (as applicable, giving effect to any extension under the Exchange Act).</w:t>
      </w:r>
    </w:p>
    <w:p>
      <w:pPr>
        <w:spacing w:after="0" w:line="171" w:lineRule="exact"/>
        <w:rPr>
          <w:rFonts w:ascii="Arial" w:cs="Arial" w:eastAsia="Arial" w:hAnsi="Arial"/>
          <w:sz w:val="17"/>
          <w:szCs w:val="17"/>
          <w:color w:val="auto"/>
        </w:rPr>
      </w:pPr>
    </w:p>
    <w:p>
      <w:pPr>
        <w:ind w:left="-460" w:firstLine="644"/>
        <w:spacing w:after="0" w:line="277" w:lineRule="auto"/>
        <w:tabs>
          <w:tab w:leader="none" w:pos="47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DTC Facility</w:t>
      </w:r>
      <w:r>
        <w:rPr>
          <w:rFonts w:ascii="Arial" w:cs="Arial" w:eastAsia="Arial" w:hAnsi="Arial"/>
          <w:sz w:val="18"/>
          <w:szCs w:val="18"/>
          <w:color w:val="auto"/>
        </w:rPr>
        <w:t>. The Company shall cooperate with Manager and use its reasonable efforts to permit the Shares to be eligible for clearance and settlement through the facilities of DTC.</w:t>
      </w:r>
    </w:p>
    <w:p>
      <w:pPr>
        <w:spacing w:after="0" w:line="170" w:lineRule="exact"/>
        <w:rPr>
          <w:rFonts w:ascii="Arial" w:cs="Arial" w:eastAsia="Arial" w:hAnsi="Arial"/>
          <w:sz w:val="18"/>
          <w:szCs w:val="18"/>
          <w:color w:val="auto"/>
        </w:rPr>
      </w:pPr>
    </w:p>
    <w:p>
      <w:pPr>
        <w:ind w:left="440" w:hanging="256"/>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apply the Net Proceeds from the sale of the Shares in the manner set forth in the Prospectus.</w:t>
      </w:r>
    </w:p>
    <w:p>
      <w:pPr>
        <w:spacing w:after="0" w:line="248" w:lineRule="exact"/>
        <w:rPr>
          <w:rFonts w:ascii="Arial" w:cs="Arial" w:eastAsia="Arial" w:hAnsi="Arial"/>
          <w:sz w:val="16"/>
          <w:szCs w:val="16"/>
          <w:color w:val="auto"/>
        </w:rPr>
      </w:pPr>
    </w:p>
    <w:p>
      <w:pPr>
        <w:jc w:val="both"/>
        <w:ind w:left="-460" w:firstLine="644"/>
        <w:spacing w:after="0" w:line="254" w:lineRule="auto"/>
        <w:tabs>
          <w:tab w:leader="none" w:pos="48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Filing of Prospectus Supplements</w:t>
      </w:r>
      <w:r>
        <w:rPr>
          <w:rFonts w:ascii="Arial" w:cs="Arial" w:eastAsia="Arial" w:hAnsi="Arial"/>
          <w:sz w:val="18"/>
          <w:szCs w:val="18"/>
          <w:color w:val="auto"/>
        </w:rPr>
        <w:t>. In the event that any sales are made pursuant to this Agreement which are not made in an “at the market distribution” under NI 44-102 and the Company believes, in its sole discretion, upon consultation with counsel, that the filing of a Canadian Prospectus Supplement and/or a U.S. Prospectus Supplement is required under the applicable Canadian and/or United States securities laws, the Company shall file a Canadian Prospectus Supplement with the Reviewing Authority, in accordance with the Shelf Procedures, and a U.S. Prospectus Supplement, in accordance with the instructions to Form F-10, describing the terms of such transaction, the amount of Shares sold, the price thereof, the applicable Manager’s compensation, and such other information as may be required pursuant the Shelf Procedures and the instructions to Form F-10.</w:t>
      </w:r>
    </w:p>
    <w:p>
      <w:pPr>
        <w:spacing w:after="0" w:line="194" w:lineRule="exact"/>
        <w:rPr>
          <w:rFonts w:ascii="Arial" w:cs="Arial" w:eastAsia="Arial" w:hAnsi="Arial"/>
          <w:sz w:val="18"/>
          <w:szCs w:val="18"/>
          <w:color w:val="auto"/>
        </w:rPr>
      </w:pPr>
    </w:p>
    <w:p>
      <w:pPr>
        <w:jc w:val="both"/>
        <w:ind w:left="-460" w:firstLine="644"/>
        <w:spacing w:after="0" w:line="291" w:lineRule="auto"/>
        <w:tabs>
          <w:tab w:leader="none" w:pos="47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Additional Registration Statement</w:t>
      </w:r>
      <w:r>
        <w:rPr>
          <w:rFonts w:ascii="Arial" w:cs="Arial" w:eastAsia="Arial" w:hAnsi="Arial"/>
          <w:sz w:val="16"/>
          <w:szCs w:val="16"/>
          <w:color w:val="auto"/>
        </w:rPr>
        <w:t>. To the extent that the Registration Statement is not available for the sales of the Shares as contemplated by this Agreement, the Company shall file a new registration statement with respect to any additional Common Shares necessary to complete such sales of the Shares and shall cause such registration statement to become effective as promptly as practicable. After the effectiveness of any such registration statement, all references to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included in this Agreement shall be deemed to include such new registration statement, including all documents incorporated by reference therein pursuant to Form F-10, and all references to “</w:t>
      </w:r>
      <w:r>
        <w:rPr>
          <w:rFonts w:ascii="Arial" w:cs="Arial" w:eastAsia="Arial" w:hAnsi="Arial"/>
          <w:sz w:val="16"/>
          <w:szCs w:val="16"/>
          <w:u w:val="single" w:color="auto"/>
          <w:color w:val="auto"/>
        </w:rPr>
        <w:t>U.S. 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3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jc w:val="both"/>
        <w:ind w:firstLine="656"/>
        <w:spacing w:after="0" w:line="285" w:lineRule="auto"/>
        <w:tabs>
          <w:tab w:leader="none" w:pos="828"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Prospectuses and each Issuer Free Writing Prospectus, and each amendment or supplement to any of them; (ii) the printing (or reproduction) and delivery (including postage, air freight charges and charges for counting and packaging) of such copies of the Registration Statement, the Prospectuses, and each Issuer Free Writing Prospectus, and all amendments or supplements to any of them, as may, in each case, be reasonably requested by the Manager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the reasonable fees and expenses of the Manager’s counsel, not to exceed $100,000 (excluding any periodic due diligence fees provided for under Section 5(n)), which shall be paid at the Execution Time; and (xi) all other costs and expenses incident to the performance by the Company of its obligations hereunder.</w:t>
      </w:r>
    </w:p>
    <w:p>
      <w:pPr>
        <w:spacing w:after="0" w:line="176" w:lineRule="exact"/>
        <w:rPr>
          <w:rFonts w:ascii="Arial" w:cs="Arial" w:eastAsia="Arial" w:hAnsi="Arial"/>
          <w:sz w:val="16"/>
          <w:szCs w:val="16"/>
          <w:color w:val="auto"/>
        </w:rPr>
      </w:pPr>
    </w:p>
    <w:p>
      <w:pPr>
        <w:jc w:val="both"/>
        <w:ind w:firstLine="656"/>
        <w:spacing w:after="0" w:line="259" w:lineRule="auto"/>
        <w:tabs>
          <w:tab w:leader="none" w:pos="82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Manager</w:t>
      </w:r>
      <w:r>
        <w:rPr>
          <w:rFonts w:ascii="Arial" w:cs="Arial" w:eastAsia="Arial" w:hAnsi="Arial"/>
          <w:sz w:val="18"/>
          <w:szCs w:val="18"/>
          <w:color w:val="auto"/>
        </w:rPr>
        <w:t>. The obligations of the Manager under this Agreement shall be subject to (i) the accuracy of the representations and warranties on the part of the Company contained herein as of the Execution Time, each Representation Date, and as of each Applicable Time and Settlement Date (except for any of such representations and warranties that speak as of a specific date), (ii) the performance by the Company of its obligations hereunder and (iii) the following additional conditions:</w:t>
      </w:r>
    </w:p>
    <w:p>
      <w:pPr>
        <w:spacing w:after="0" w:line="186" w:lineRule="exact"/>
        <w:rPr>
          <w:rFonts w:ascii="Arial" w:cs="Arial" w:eastAsia="Arial" w:hAnsi="Arial"/>
          <w:sz w:val="18"/>
          <w:szCs w:val="18"/>
          <w:color w:val="auto"/>
        </w:rPr>
      </w:pPr>
    </w:p>
    <w:p>
      <w:pPr>
        <w:jc w:val="both"/>
        <w:ind w:left="660" w:firstLine="644"/>
        <w:spacing w:after="0" w:line="255" w:lineRule="auto"/>
        <w:tabs>
          <w:tab w:leader="none" w:pos="155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Filing of Prospectus Supplements</w:t>
      </w:r>
      <w:r>
        <w:rPr>
          <w:rFonts w:ascii="Arial" w:cs="Arial" w:eastAsia="Arial" w:hAnsi="Arial"/>
          <w:sz w:val="18"/>
          <w:szCs w:val="18"/>
          <w:color w:val="auto"/>
        </w:rPr>
        <w:t>. Each of the Canadian Prospectus Supplement and the U.S. Prospectus Supplement shall have been filed in the manner contemplated by this Agreement; any further Prospectus Supplements required by Canadian Securities Laws, the Act or other applicable laws, rules or regulations shall have been timely filed;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92" w:lineRule="exact"/>
        <w:rPr>
          <w:rFonts w:ascii="Arial" w:cs="Arial" w:eastAsia="Arial" w:hAnsi="Arial"/>
          <w:sz w:val="18"/>
          <w:szCs w:val="18"/>
          <w:color w:val="auto"/>
        </w:rPr>
      </w:pPr>
    </w:p>
    <w:p>
      <w:pPr>
        <w:jc w:val="both"/>
        <w:ind w:left="660" w:firstLine="644"/>
        <w:spacing w:after="0" w:line="259" w:lineRule="auto"/>
        <w:tabs>
          <w:tab w:leader="none" w:pos="157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Delivery of Opinion</w:t>
      </w:r>
      <w:r>
        <w:rPr>
          <w:rFonts w:ascii="Arial" w:cs="Arial" w:eastAsia="Arial" w:hAnsi="Arial"/>
          <w:sz w:val="18"/>
          <w:szCs w:val="18"/>
          <w:color w:val="auto"/>
        </w:rPr>
        <w:t>. The Company shall have caused U.S. Company Counsel and Canadian Company Counsel to furnish to the Manager at the Execution Time and in accordance with Section 5(l) its respective opinion and, in the case of U.S. Company Counsel, negative assurance statement, as applicable, dated as of such required delivery date and addressed to the Manager in form and substance reasonably acceptable to the Manager.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left="-460" w:firstLine="644"/>
        <w:spacing w:after="0" w:line="257"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Delivery of Officer’s Certificate</w:t>
      </w:r>
      <w:r>
        <w:rPr>
          <w:rFonts w:ascii="Arial" w:cs="Arial" w:eastAsia="Arial" w:hAnsi="Arial"/>
          <w:sz w:val="18"/>
          <w:szCs w:val="18"/>
          <w:color w:val="auto"/>
        </w:rPr>
        <w:t>. The Company shall have furnished or caused to be furnished to the Manager a certificate of the Company signed by the Chief Executive Officer or the President and the principal financial or accounting officer of the Company, dated as of such required delivery date, to the effect that the signers of such certificate have carefully examined the Registration Statement, the Prospectuses, any Prospectus Supplement and any documents incorporated by reference therein and any supplements or amendments thereto and this Agreement and that:</w:t>
      </w:r>
    </w:p>
    <w:p>
      <w:pPr>
        <w:spacing w:after="0" w:line="187" w:lineRule="exact"/>
        <w:rPr>
          <w:rFonts w:ascii="Arial" w:cs="Arial" w:eastAsia="Arial" w:hAnsi="Arial"/>
          <w:sz w:val="18"/>
          <w:szCs w:val="18"/>
          <w:color w:val="auto"/>
        </w:rPr>
      </w:pPr>
    </w:p>
    <w:p>
      <w:pPr>
        <w:jc w:val="both"/>
        <w:ind w:left="180" w:firstLine="652"/>
        <w:spacing w:after="0" w:line="259" w:lineRule="auto"/>
        <w:tabs>
          <w:tab w:leader="none" w:pos="10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in all material respects on and as of such date with the same effect as if made on such date (except for any of such representations and warranties that speak as of a specific date), and the Company has complied with all the agreements and satisfied all the conditions on its part to be performed or satisfied at or prior to such date;</w:t>
      </w:r>
    </w:p>
    <w:p>
      <w:pPr>
        <w:spacing w:after="0" w:line="186" w:lineRule="exact"/>
        <w:rPr>
          <w:rFonts w:ascii="Arial" w:cs="Arial" w:eastAsia="Arial" w:hAnsi="Arial"/>
          <w:sz w:val="18"/>
          <w:szCs w:val="18"/>
          <w:color w:val="auto"/>
        </w:rPr>
      </w:pPr>
    </w:p>
    <w:p>
      <w:pPr>
        <w:ind w:left="180" w:firstLine="652"/>
        <w:spacing w:after="0" w:line="277" w:lineRule="auto"/>
        <w:tabs>
          <w:tab w:leader="none" w:pos="1106"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jc w:val="both"/>
        <w:ind w:left="180" w:firstLine="652"/>
        <w:spacing w:after="0" w:line="259" w:lineRule="auto"/>
        <w:tabs>
          <w:tab w:leader="none" w:pos="11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Registration Statement and the Prospectuses,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Prospectuses.</w:t>
      </w:r>
    </w:p>
    <w:p>
      <w:pPr>
        <w:spacing w:after="0" w:line="186" w:lineRule="exact"/>
        <w:rPr>
          <w:rFonts w:ascii="Arial" w:cs="Arial" w:eastAsia="Arial" w:hAnsi="Arial"/>
          <w:sz w:val="18"/>
          <w:szCs w:val="18"/>
          <w:color w:val="auto"/>
        </w:rPr>
      </w:pPr>
    </w:p>
    <w:p>
      <w:pPr>
        <w:jc w:val="both"/>
        <w:ind w:left="-460" w:firstLine="644"/>
        <w:spacing w:after="0" w:line="255" w:lineRule="auto"/>
        <w:tabs>
          <w:tab w:leader="none" w:pos="44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Delivery of Accountants’ “Comfort” Letter</w:t>
      </w:r>
      <w:r>
        <w:rPr>
          <w:rFonts w:ascii="Arial" w:cs="Arial" w:eastAsia="Arial" w:hAnsi="Arial"/>
          <w:sz w:val="18"/>
          <w:szCs w:val="18"/>
          <w:color w:val="auto"/>
        </w:rPr>
        <w:t>. The Company shall have requested and caused the Accountants to have furnished to the Manager letters (which may refer to letters previously delivered to the Manager) at or before the Execution Time, dated as of such required delivery date, in form and substance satisfactory to the Manager, confirming that they are independent accountants within the meaning of the Act and the Exchange Act and that they have performed a review of any unaudited interim financial information of the Company included or incorporated by reference in the Registration Statement and the Prospectuses and providing customary “comfort” as to such review in form and substance satisfactory to the Manager.</w:t>
      </w:r>
    </w:p>
    <w:p>
      <w:pPr>
        <w:spacing w:after="0" w:line="192" w:lineRule="exact"/>
        <w:rPr>
          <w:rFonts w:ascii="Arial" w:cs="Arial" w:eastAsia="Arial" w:hAnsi="Arial"/>
          <w:sz w:val="18"/>
          <w:szCs w:val="18"/>
          <w:color w:val="auto"/>
        </w:rPr>
      </w:pPr>
    </w:p>
    <w:p>
      <w:pPr>
        <w:jc w:val="both"/>
        <w:ind w:left="-460" w:firstLine="644"/>
        <w:spacing w:after="0" w:line="290"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 Material Adverse Event</w:t>
      </w:r>
      <w:r>
        <w:rPr>
          <w:rFonts w:ascii="Arial" w:cs="Arial" w:eastAsia="Arial" w:hAnsi="Arial"/>
          <w:sz w:val="16"/>
          <w:szCs w:val="16"/>
          <w:color w:val="auto"/>
        </w:rPr>
        <w:t>. Since the respective dates as of which information is disclosed in the Registration Statement and the Prospectuses, except as otherwise stated therein, there shall not have been any change, or any material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Prospectuses and the Incorporated Documents (exclusive of any subsequent amendment or supplement thereto) the effect of which, in any case referred to above, is, in the sole judgment of the Manager, so material and adverse as to make it impractical or inadvisable to proceed with the offering or delivery of the Shares as contemplated by the Registration Statement (exclusive of any subsequent amendment thereof), the Incorporated Documents and the Prospectuses (exclusive of any subsequent amendment or supplement thereto).</w:t>
      </w:r>
    </w:p>
    <w:p>
      <w:pPr>
        <w:spacing w:after="0" w:line="37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 w:name="page36"/>
    <w:bookmarkEnd w:id="35"/>
    <w:p>
      <w:pPr>
        <w:jc w:val="both"/>
        <w:ind w:left="660" w:firstLine="644"/>
        <w:spacing w:after="0" w:line="263" w:lineRule="auto"/>
        <w:tabs>
          <w:tab w:leader="none" w:pos="153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Payment of All Fees</w:t>
      </w:r>
      <w:r>
        <w:rPr>
          <w:rFonts w:ascii="Arial" w:cs="Arial" w:eastAsia="Arial" w:hAnsi="Arial"/>
          <w:sz w:val="18"/>
          <w:szCs w:val="18"/>
          <w:color w:val="auto"/>
        </w:rPr>
        <w:t>. The Company shall have paid the required Commission filing fees relating to the Shares within the time period required by Rule 456(b)(1)(i) of the Act without regard to the proviso therein and otherwise in accordance with Rules 456(b) and 457(r) of the Act.</w:t>
      </w:r>
    </w:p>
    <w:p>
      <w:pPr>
        <w:spacing w:after="0" w:line="183"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FINRA Objections</w:t>
      </w:r>
      <w:r>
        <w:rPr>
          <w:rFonts w:ascii="Arial" w:cs="Arial" w:eastAsia="Arial" w:hAnsi="Arial"/>
          <w:sz w:val="18"/>
          <w:szCs w:val="18"/>
          <w:color w:val="auto"/>
        </w:rPr>
        <w:t>. FINRA shall not have raised any objection with respect to the fairness and reasonableness of the terms and arrangements under this Agreement.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6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Shares Listed on Trading Market</w:t>
      </w:r>
      <w:r>
        <w:rPr>
          <w:rFonts w:ascii="Arial" w:cs="Arial" w:eastAsia="Arial" w:hAnsi="Arial"/>
          <w:sz w:val="18"/>
          <w:szCs w:val="18"/>
          <w:color w:val="auto"/>
        </w:rPr>
        <w:t>. The Shares shall have either been (i) listed and admitted and authorized for trading on the Trading Market and, to the extent applicable, the TSX and satisfactory evidence of such actions shall have been provided to the Manager or (ii) approved for listing, subject only to notice of issuance, on the Trading Market, or, to the extent applicable, the TSX, subject only to customary terms and conditions of the TSX.</w:t>
      </w:r>
    </w:p>
    <w:p>
      <w:pPr>
        <w:spacing w:after="0" w:line="186"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Other Assurances</w:t>
      </w:r>
      <w:r>
        <w:rPr>
          <w:rFonts w:ascii="Arial" w:cs="Arial" w:eastAsia="Arial" w:hAnsi="Arial"/>
          <w:sz w:val="18"/>
          <w:szCs w:val="18"/>
          <w:color w:val="auto"/>
        </w:rPr>
        <w:t>. Prior to each Settlement Date the Company shall have furnished to the Manager such further information, certificates and documents as the Manager may reasonably request.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any of the conditions specified in this Section 7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by the Manager. Notice of such cancellation shall be given to the Company in writing or by telephone or facsimile confirmed in writing.</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documents required to be delivered by this Section 7 shall be delivered at the office of Ellenoff Grossman &amp; Schole LLP, counsel for the Manager, at 1345 Avenue of the Americas, New York, New York 10105, capmkts@egsllp.com, on each such date as provided in this Agreement; provided that delivery by electronic mail or similar means to representatives of Ellenoff Grossman &amp; Schole LLP shall be deemed to constitute good delivery hereunder.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184" w:hanging="184"/>
        <w:spacing w:after="0"/>
        <w:tabs>
          <w:tab w:leader="none" w:pos="18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6" w:lineRule="auto"/>
        <w:tabs>
          <w:tab w:leader="none" w:pos="896"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Indemnification by Company</w:t>
      </w:r>
      <w:r>
        <w:rPr>
          <w:rFonts w:ascii="Arial" w:cs="Arial" w:eastAsia="Arial" w:hAnsi="Arial"/>
          <w:sz w:val="16"/>
          <w:szCs w:val="16"/>
          <w:color w:val="auto"/>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Prospectuses, any Prospectus Supplement, the Prospectuses, any Issuer Free Writing Prospectus, or in any amendment thereof or supplement thereto, or arise out of or are based upon the omission or alleged omission to state therein a material fact required to be stated therein or necessary to make the statements therein not misleading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spacing w:after="0" w:line="170" w:lineRule="exact"/>
        <w:rPr>
          <w:rFonts w:ascii="Arial" w:cs="Arial" w:eastAsia="Arial" w:hAnsi="Arial"/>
          <w:sz w:val="16"/>
          <w:szCs w:val="16"/>
          <w:color w:val="auto"/>
        </w:rPr>
      </w:pPr>
    </w:p>
    <w:p>
      <w:pPr>
        <w:jc w:val="both"/>
        <w:ind w:left="4" w:firstLine="644"/>
        <w:spacing w:after="0" w:line="293" w:lineRule="auto"/>
        <w:tabs>
          <w:tab w:leader="none" w:pos="92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Indemnification by Manager</w:t>
      </w:r>
      <w:r>
        <w:rPr>
          <w:rFonts w:ascii="Arial" w:cs="Arial" w:eastAsia="Arial" w:hAnsi="Arial"/>
          <w:sz w:val="16"/>
          <w:szCs w:val="16"/>
          <w:color w:val="auto"/>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the Manager be responsible for any amount in excess of the Broker Fee applicable to the Shares and paid hereunder. This indemnity agreement will be in addition to any liability which the Manager may otherwise have.</w:t>
      </w:r>
    </w:p>
    <w:p>
      <w:pPr>
        <w:spacing w:after="0" w:line="37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7" w:name="page38"/>
    <w:bookmarkEnd w:id="37"/>
    <w:p>
      <w:pPr>
        <w:jc w:val="both"/>
        <w:ind w:left="4" w:firstLine="644"/>
        <w:spacing w:after="0" w:line="284" w:lineRule="auto"/>
        <w:tabs>
          <w:tab w:leader="none" w:pos="91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and the contribution obligation under paragraph</w:t>
      </w:r>
    </w:p>
    <w:p>
      <w:pPr>
        <w:spacing w:after="0" w:line="4" w:lineRule="exact"/>
        <w:rPr>
          <w:rFonts w:ascii="Arial" w:cs="Arial" w:eastAsia="Arial" w:hAnsi="Arial"/>
          <w:sz w:val="16"/>
          <w:szCs w:val="16"/>
          <w:color w:val="auto"/>
        </w:rPr>
      </w:pPr>
    </w:p>
    <w:p>
      <w:pPr>
        <w:jc w:val="both"/>
        <w:ind w:left="4" w:hanging="4"/>
        <w:spacing w:after="0" w:line="266" w:lineRule="auto"/>
        <w:tabs>
          <w:tab w:leader="none" w:pos="27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below.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 indemnified party will not, without the prior written consent of the indemnifying party, which shall not be unreasonably withheld, settle or compromise or consent to the entry of any judgment with respect to any pending or threatened claim, action, suit or proceeding in respect of which indemnification or contribution may be sought hereunder.</w:t>
      </w:r>
    </w:p>
    <w:p>
      <w:pPr>
        <w:spacing w:after="0" w:line="189" w:lineRule="exact"/>
        <w:rPr>
          <w:rFonts w:ascii="Arial" w:cs="Arial" w:eastAsia="Arial" w:hAnsi="Arial"/>
          <w:sz w:val="17"/>
          <w:szCs w:val="17"/>
          <w:color w:val="auto"/>
        </w:rPr>
      </w:pPr>
    </w:p>
    <w:p>
      <w:pPr>
        <w:jc w:val="both"/>
        <w:ind w:left="4" w:firstLine="644"/>
        <w:spacing w:after="0" w:line="284" w:lineRule="auto"/>
        <w:tabs>
          <w:tab w:leader="none" w:pos="907"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the event that the indemnity provided in paragraph (a), (b) or (c) of this Section 8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the Manager be responsible for any amount in excess of the Broker Fee applicable to the Shares and paid 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the Manager within the meaning of either the Act or the Exchange Act and each director, officer, employee and agent of the Manager shall have the same rights to 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38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8" w:name="page39"/>
    <w:bookmarkEnd w:id="38"/>
    <w:p>
      <w:pPr>
        <w:ind w:left="184" w:hanging="184"/>
        <w:spacing w:after="0"/>
        <w:tabs>
          <w:tab w:leader="none" w:pos="18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55" w:lineRule="auto"/>
        <w:tabs>
          <w:tab w:leader="none" w:pos="91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shall have the right, by giving written notice as hereinafter specified, to terminate the provisions of this Agreement relating to the solicitation of offers to purchase the Shares in its sole discretion at any time upon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6, 8, 9, 10, 11, 13, the second sentence of 14 and 15 of this Agreement shall remain in full force and effect notwithstanding such termination.</w:t>
      </w:r>
    </w:p>
    <w:p>
      <w:pPr>
        <w:spacing w:after="0" w:line="192" w:lineRule="exact"/>
        <w:rPr>
          <w:rFonts w:ascii="Arial" w:cs="Arial" w:eastAsia="Arial" w:hAnsi="Arial"/>
          <w:sz w:val="18"/>
          <w:szCs w:val="18"/>
          <w:color w:val="auto"/>
        </w:rPr>
      </w:pPr>
    </w:p>
    <w:p>
      <w:pPr>
        <w:jc w:val="both"/>
        <w:ind w:left="4" w:firstLine="644"/>
        <w:spacing w:after="0" w:line="259" w:lineRule="auto"/>
        <w:tabs>
          <w:tab w:leader="none" w:pos="9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6, 8, 9, 10, 11, 13, the second sentence of 14 and 15 of this Agreement shall remain in full force and effect notwithstanding such termination.</w:t>
      </w:r>
    </w:p>
    <w:p>
      <w:pPr>
        <w:spacing w:after="0" w:line="186" w:lineRule="exact"/>
        <w:rPr>
          <w:rFonts w:ascii="Arial" w:cs="Arial" w:eastAsia="Arial" w:hAnsi="Arial"/>
          <w:sz w:val="18"/>
          <w:szCs w:val="18"/>
          <w:color w:val="auto"/>
        </w:rPr>
      </w:pPr>
    </w:p>
    <w:p>
      <w:pPr>
        <w:ind w:left="904" w:hanging="256"/>
        <w:spacing w:after="0"/>
        <w:tabs>
          <w:tab w:leader="none" w:pos="904"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This Agreement shall remain in full force and effect until such date that this Agreement is terminated pursuant to Sections 9(a) or</w:t>
      </w:r>
    </w:p>
    <w:p>
      <w:pPr>
        <w:spacing w:after="0" w:line="34" w:lineRule="exact"/>
        <w:rPr>
          <w:rFonts w:ascii="Arial" w:cs="Arial" w:eastAsia="Arial" w:hAnsi="Arial"/>
          <w:sz w:val="17"/>
          <w:szCs w:val="17"/>
          <w:color w:val="auto"/>
        </w:rPr>
      </w:pPr>
    </w:p>
    <w:p>
      <w:pPr>
        <w:ind w:left="4"/>
        <w:spacing w:after="0" w:line="260" w:lineRule="auto"/>
        <w:rPr>
          <w:rFonts w:ascii="Arial" w:cs="Arial" w:eastAsia="Arial" w:hAnsi="Arial"/>
          <w:sz w:val="17"/>
          <w:szCs w:val="17"/>
          <w:color w:val="auto"/>
        </w:rPr>
      </w:pPr>
      <w:r>
        <w:rPr>
          <w:rFonts w:ascii="Arial" w:cs="Arial" w:eastAsia="Arial" w:hAnsi="Arial"/>
          <w:sz w:val="18"/>
          <w:szCs w:val="18"/>
          <w:color w:val="auto"/>
        </w:rPr>
        <w:t>(b) above or otherwise by mutual agreement of the parties; provided that any such termination by mutual agreement shall in all cases be deemed to provide that Sections 5, 6, 7, 8, 9, 10, 12, the second sentence of 13 and 14 shall remain in full force and effect.</w:t>
      </w:r>
    </w:p>
    <w:p>
      <w:pPr>
        <w:spacing w:after="0" w:line="185" w:lineRule="exact"/>
        <w:rPr>
          <w:rFonts w:ascii="Arial" w:cs="Arial" w:eastAsia="Arial" w:hAnsi="Arial"/>
          <w:sz w:val="17"/>
          <w:szCs w:val="17"/>
          <w:color w:val="auto"/>
        </w:rPr>
      </w:pPr>
    </w:p>
    <w:p>
      <w:pPr>
        <w:jc w:val="both"/>
        <w:ind w:left="4" w:firstLine="644"/>
        <w:spacing w:after="0" w:line="259" w:lineRule="auto"/>
        <w:tabs>
          <w:tab w:leader="none" w:pos="9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for any sale of the Shares effected prior to such termination, such sale of the Shares shall settle in accordance with the provisions of Section 3(b) of this Agreement.</w:t>
      </w:r>
    </w:p>
    <w:p>
      <w:pPr>
        <w:spacing w:after="0" w:line="39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9" w:name="page40"/>
    <w:bookmarkEnd w:id="39"/>
    <w:p>
      <w:pPr>
        <w:jc w:val="both"/>
        <w:ind w:firstLine="656"/>
        <w:spacing w:after="0" w:line="259" w:lineRule="auto"/>
        <w:tabs>
          <w:tab w:leader="none" w:pos="93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8, and will survive delivery of and payment for the Shares.</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1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specifically provided in this Agreement, all communications hereunder will be in writing and effective only on receipt and will be mailed, delivered, e-mailed or facsimiled to the addresses of the Company and the Manager, respectively, set forth on the signature page hereto.</w:t>
      </w:r>
    </w:p>
    <w:p>
      <w:pPr>
        <w:spacing w:after="0" w:line="183" w:lineRule="exact"/>
        <w:rPr>
          <w:rFonts w:ascii="Arial" w:cs="Arial" w:eastAsia="Arial" w:hAnsi="Arial"/>
          <w:sz w:val="18"/>
          <w:szCs w:val="18"/>
          <w:color w:val="auto"/>
        </w:rPr>
      </w:pPr>
    </w:p>
    <w:p>
      <w:pPr>
        <w:jc w:val="both"/>
        <w:ind w:firstLine="656"/>
        <w:spacing w:after="0" w:line="311" w:lineRule="auto"/>
        <w:tabs>
          <w:tab w:leader="none" w:pos="918"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8, and no other person will have any right or obligation hereunder. Neither party may assign this Agreement or any rights or obligations it has hereunder without the prior written consent of the other party.</w:t>
      </w:r>
    </w:p>
    <w:p>
      <w:pPr>
        <w:spacing w:after="0" w:line="148" w:lineRule="exact"/>
        <w:rPr>
          <w:rFonts w:ascii="Arial" w:cs="Arial" w:eastAsia="Arial" w:hAnsi="Arial"/>
          <w:sz w:val="16"/>
          <w:szCs w:val="16"/>
          <w:color w:val="auto"/>
        </w:rPr>
      </w:pPr>
    </w:p>
    <w:p>
      <w:pPr>
        <w:jc w:val="both"/>
        <w:ind w:firstLine="656"/>
        <w:spacing w:after="0" w:line="291" w:lineRule="auto"/>
        <w:tabs>
          <w:tab w:leader="none" w:pos="918"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hereby acknowledges that (a) the purchase and sale of the Shares pursuant to this Agreement is an arm’s-length commercial transaction between the Company, on the one hand, and the Manager and any affiliate through which it may be acting, on the other,</w:t>
      </w:r>
    </w:p>
    <w:p>
      <w:pPr>
        <w:jc w:val="both"/>
        <w:ind w:firstLine="8"/>
        <w:spacing w:after="0" w:line="270" w:lineRule="auto"/>
        <w:tabs>
          <w:tab w:leader="none" w:pos="25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45"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 all prior agreements and understandings (whether written or oral) between the Company and the Manager with respect to the subject matter hereof. Notwithstanding anything herein to the contrary, the letter agreement, dated December 24, 2020, by and between the Company and the Manager shall continue to be effective and the terms therein shall continue to survive and be enforceable by the Manager in accordance with its terms; provided that, in the event of a conflict between the terms of the letter agreement and this Agreement, the terms of this Agreement shall prevail.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656"/>
        <w:spacing w:after="0" w:line="257" w:lineRule="auto"/>
        <w:tabs>
          <w:tab w:leader="none" w:pos="91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future exercise of any such right.</w:t>
      </w:r>
    </w:p>
    <w:p>
      <w:pPr>
        <w:spacing w:after="0" w:line="187" w:lineRule="exact"/>
        <w:rPr>
          <w:rFonts w:ascii="Arial" w:cs="Arial" w:eastAsia="Arial" w:hAnsi="Arial"/>
          <w:sz w:val="18"/>
          <w:szCs w:val="18"/>
          <w:color w:val="auto"/>
        </w:rPr>
      </w:pPr>
    </w:p>
    <w:p>
      <w:pPr>
        <w:jc w:val="both"/>
        <w:ind w:firstLine="656"/>
        <w:spacing w:after="0" w:line="286" w:lineRule="auto"/>
        <w:tabs>
          <w:tab w:leader="none" w:pos="93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69" w:lineRule="exact"/>
        <w:rPr>
          <w:rFonts w:ascii="Arial" w:cs="Arial" w:eastAsia="Arial" w:hAnsi="Arial"/>
          <w:sz w:val="16"/>
          <w:szCs w:val="16"/>
          <w:color w:val="auto"/>
        </w:rPr>
      </w:pPr>
    </w:p>
    <w:p>
      <w:pPr>
        <w:jc w:val="both"/>
        <w:ind w:firstLine="656"/>
        <w:spacing w:after="0" w:line="266" w:lineRule="auto"/>
        <w:tabs>
          <w:tab w:leader="none" w:pos="931"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COMPANY AND THE MANAGER HEREBY IRREVOCABLY WAIVES, TO THE FULLEST EXTENT PERMITTED BY APPLICABLE LAW, ANY AND ALL RIGHT TO TRIAL BY JURY IN ANY LEGAL PROCEEDING ARISING OUT OF OR RELATING TO THIS AGREEMENT OR THE TRANSACTIONS CONTEMPLATED HEREBY OR THEREBY.</w:t>
      </w:r>
    </w:p>
    <w:p>
      <w:pPr>
        <w:spacing w:after="0" w:line="179" w:lineRule="exact"/>
        <w:rPr>
          <w:rFonts w:ascii="Arial" w:cs="Arial" w:eastAsia="Arial" w:hAnsi="Arial"/>
          <w:sz w:val="18"/>
          <w:szCs w:val="18"/>
          <w:color w:val="auto"/>
        </w:rPr>
      </w:pPr>
    </w:p>
    <w:p>
      <w:pPr>
        <w:ind w:firstLine="656"/>
        <w:spacing w:after="0" w:line="277" w:lineRule="auto"/>
        <w:tabs>
          <w:tab w:leader="none" w:pos="91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 which may be delivered by facsimile or in .pdf file via e-mail.</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are for convenience only and shall not affect the construction hereof.</w:t>
      </w:r>
    </w:p>
    <w:p>
      <w:pPr>
        <w:spacing w:after="0" w:line="225"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31750</wp:posOffset>
            </wp:positionV>
            <wp:extent cx="2494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 Canada M5C 1C4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 Geoffrey Morphy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gmorphy@bitfarms.com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Katten Muchin Rosenman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525 West Monroe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W.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mark.wood@katten.com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 WAINWRIGHT &amp; CO., LLC</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31750</wp:posOffset>
            </wp:positionV>
            <wp:extent cx="25457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Edward D. Silvera</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notices@hcwco.com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Bitfarms Reports Q2 2021 Financial Results and Establishes At-The-Market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Program</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(August 16,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(Nasdaq:BITF/TSXV:BITF)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announces its financial results for the second quarter ended June 30, 2021 (“Q2 2021”). All financial references are denominated in US dollars, unless otherwise noted.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Highlights</w:t>
      </w:r>
    </w:p>
    <w:p>
      <w:pPr>
        <w:spacing w:after="0" w:line="229" w:lineRule="exact"/>
        <w:rPr>
          <w:sz w:val="20"/>
          <w:szCs w:val="20"/>
          <w:color w:val="auto"/>
        </w:rPr>
      </w:pPr>
    </w:p>
    <w:p>
      <w:pPr>
        <w:ind w:left="660" w:right="18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Revenues of $36.7 million; gross profit of $23.4 million (64% gross margin), operating loss of $2.1 million (-6% operating margin), and net loss of $3.7 million;</w:t>
      </w:r>
    </w:p>
    <w:p>
      <w:pPr>
        <w:spacing w:after="0" w:line="1" w:lineRule="exact"/>
        <w:rPr>
          <w:rFonts w:ascii="Arial" w:cs="Arial" w:eastAsia="Arial" w:hAnsi="Arial"/>
          <w:sz w:val="18"/>
          <w:szCs w:val="18"/>
          <w:color w:val="auto"/>
        </w:rPr>
      </w:pPr>
    </w:p>
    <w:p>
      <w:pPr>
        <w:ind w:left="660" w:hanging="328"/>
        <w:spacing w:after="0" w:line="192" w:lineRule="auto"/>
        <w:tabs>
          <w:tab w:leader="none" w:pos="660" w:val="left"/>
        </w:tabs>
        <w:numPr>
          <w:ilvl w:val="0"/>
          <w:numId w:val="39"/>
        </w:numPr>
        <w:rPr>
          <w:rFonts w:ascii="Arial" w:cs="Arial" w:eastAsia="Arial" w:hAnsi="Arial"/>
          <w:sz w:val="28"/>
          <w:szCs w:val="28"/>
          <w:color w:val="auto"/>
          <w:vertAlign w:val="superscript"/>
        </w:rPr>
      </w:pPr>
      <w:r>
        <w:rPr>
          <w:rFonts w:ascii="Arial" w:cs="Arial" w:eastAsia="Arial" w:hAnsi="Arial"/>
          <w:sz w:val="15"/>
          <w:szCs w:val="15"/>
          <w:color w:val="auto"/>
        </w:rPr>
        <w:t>Gross mining profit</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of $28.1 million (79% gross mining margin);</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EBITDA of $23.8 million (65% Adjusted EBITDA margin);</w:t>
      </w:r>
    </w:p>
    <w:p>
      <w:pPr>
        <w:spacing w:after="0" w:line="7" w:lineRule="exact"/>
        <w:rPr>
          <w:rFonts w:ascii="Arial" w:cs="Arial" w:eastAsia="Arial" w:hAnsi="Arial"/>
          <w:sz w:val="18"/>
          <w:szCs w:val="18"/>
          <w:color w:val="auto"/>
        </w:rPr>
      </w:pPr>
    </w:p>
    <w:p>
      <w:pPr>
        <w:ind w:left="660" w:right="20" w:hanging="328"/>
        <w:spacing w:after="0" w:line="182" w:lineRule="auto"/>
        <w:tabs>
          <w:tab w:leader="none" w:pos="660" w:val="left"/>
        </w:tabs>
        <w:numPr>
          <w:ilvl w:val="0"/>
          <w:numId w:val="39"/>
        </w:numPr>
        <w:rPr>
          <w:rFonts w:ascii="Arial" w:cs="Arial" w:eastAsia="Arial" w:hAnsi="Arial"/>
          <w:sz w:val="36"/>
          <w:szCs w:val="36"/>
          <w:color w:val="auto"/>
          <w:vertAlign w:val="superscript"/>
        </w:rPr>
      </w:pPr>
      <w:r>
        <w:rPr>
          <w:rFonts w:ascii="Arial" w:cs="Arial" w:eastAsia="Arial" w:hAnsi="Arial"/>
          <w:sz w:val="18"/>
          <w:szCs w:val="18"/>
          <w:color w:val="auto"/>
        </w:rPr>
        <w:t>Mined 759 Bitcoin with an average cost of approximately $9,000 per Bitcoin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held 1,293 Bitcoin valued at $35,057 per bitcoin, or approximately $45.3 million, as of June 30, 2021;</w:t>
      </w:r>
    </w:p>
    <w:p>
      <w:pPr>
        <w:spacing w:after="0" w:line="1" w:lineRule="exact"/>
        <w:rPr>
          <w:rFonts w:ascii="Arial" w:cs="Arial" w:eastAsia="Arial" w:hAnsi="Arial"/>
          <w:sz w:val="36"/>
          <w:szCs w:val="36"/>
          <w:color w:val="auto"/>
          <w:vertAlign w:val="superscript"/>
        </w:rPr>
      </w:pPr>
    </w:p>
    <w:p>
      <w:pPr>
        <w:ind w:left="660" w:right="2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Received and installed 3,461 miners during the quarter, including the replacement of certain older generation miners, resulting in a net increase of approximately 240 PH/s;</w:t>
      </w:r>
    </w:p>
    <w:p>
      <w:pPr>
        <w:jc w:val="both"/>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Completed a CAD$75 million private placement, bringing total gross proceeds raised for the year-to-date to CAD$155 million, and applied the majority of the proceeds to place deposits to secure orders for previously announced 56,300 new miners with expected deliveries in 2021 and 2022;</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Commenced trading on Nasdaq under the symbol “BITF”;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Built out our global leadership team with key promotions and hires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Emiliano Grodzki, Bitfarms’ Chief Executive Officer noted, “The second quarter of 2021 was a pivotal one for our company. We made great progress towards our goal of becoming a global Bitcoin mining company and solidifying our position as a leader in the Bitcoin mining space. From the beginning of 2021 through the end of 2022, we expect to have increased our capacity eight- fold and have expanded our geographic resources throughout North and South America while continuing to pursue opportunities elsewhere. We’ve commenced trading on Nasdaq, built out our leadership team with additions and promotions in Canada, the US and South America, and capitalized on our infrastructure capabilities to build on our relationships and identify potential locations for expanding our geographic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3" w:lineRule="exact"/>
        <w:rPr>
          <w:sz w:val="20"/>
          <w:szCs w:val="20"/>
          <w:color w:val="auto"/>
        </w:rPr>
      </w:pPr>
    </w:p>
    <w:p>
      <w:pPr>
        <w:jc w:val="both"/>
        <w:ind w:left="340" w:hanging="332"/>
        <w:spacing w:after="0" w:line="209" w:lineRule="auto"/>
        <w:tabs>
          <w:tab w:leader="none" w:pos="34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Gross mining profit, Gross mining margin, EBITDA, EBITDA margin, Adjusted EBITDA and Adjusted EBITDA margin, are non- IFRS performance measures; please refer to the Non-IFRS Financial Performance Measures section of the Bitfarms Management Discussion &amp; Analysis for the three and six months ended June 30, 2021.</w:t>
      </w:r>
    </w:p>
    <w:p>
      <w:pPr>
        <w:spacing w:after="0" w:line="1" w:lineRule="exact"/>
        <w:rPr>
          <w:sz w:val="20"/>
          <w:szCs w:val="20"/>
          <w:color w:val="auto"/>
        </w:rPr>
      </w:pPr>
    </w:p>
    <w:p>
      <w:pPr>
        <w:ind w:left="340" w:hanging="332"/>
        <w:spacing w:after="0" w:line="187" w:lineRule="auto"/>
        <w:tabs>
          <w:tab w:leader="none" w:pos="34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Represents the direct cost of Bitcoin based on the total electricity costs and hosting costs related to the Mining of Bitcoin, excluding electricity consumed by hosting clients, divided by the total number of Bitcoin mined.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“Further, while the price of Bitcoin continues to fluctuate, the current market is favorable to our global operation with the ban on crypto-mining in China and the resultant shutdown of almost one-half of the network hash rate, allowing us to increase our market share to just above 1.5% from less than 1.0% at the beginning of the year,” added Mr. Grodzki. “In addition, the China ban enables us to procure miners more competitively than we have in the past and to leverage our infrastructure development and operating capabilities to further support our ambitious plans for expansion. We are very excited about the months ahead.”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June 30, 2021</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Q2 2021, the Company generated revenues of $36.7 million, up $29.3 million, or approximately 398%, compared to the same period in 2020, driven by organic growth, as we increased the Company’s average hash rate by approximately 618 PH/s, or 89%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Q2 2021 gross mining profit and gross mining margin was $28.1 million and 79%, respectively, compared to $2.5 million and 36%, respectively, in Q2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2020. The increases are primarily attributable to higher average Bitcoin prices in Q2 2021 when compared to the same period in the prior year</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average cost of production per Bitcoin increased to $9,000 for the quarter in comparison to $5,075 for the prior year quarter, reflecting the May 2020 halving event and expenses related to third-party hosting, offset by the benefit from operating efficiencies.</w:t>
      </w:r>
    </w:p>
    <w:p>
      <w:pPr>
        <w:spacing w:after="0" w:line="17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Company’s Q2 2021 EBITDA was $2.7 million, resulting in an EBITDA margin of 7% compared to an EBITDA of $0.4 million and EBITDA margin of 6% in Q2 2020. The Company’s net loss was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$3.7 million in Q2 2021, which did not differ materially from the net loss in Q2 2020. EBITDA and Net Loss reflect a loss of $14.9 million for the revaluation of our Bitcoin holdings as a result of the June 30, 2021, Bitcoin price being lower than the average value of the Bitcoin we mined during the quarter and held at the beginning of the quarter and a $6.3 million non-cash share-based payment expense.</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a cashflow standpoint, the May 2021 private placement with US institutional investors along with the exercise of stock options during the quarter generated proceeds of approximately $60 million in cash during the quarter, which was used primarily to secure orders for the previously announced 56,300 miners and enabled the Company to retain over 95% of the 759 Bitcoin mined during the quarter as part of its Bitcoin retention program commenced in January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ended the quarter with cash of approximately $36.2 million and total liquidity, defined as cash and Bitcoin holdings, of approximately $81.6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to be held Monday, August 16, 2021 at 5:30pm 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will host a conference call on Monday, August 16, 2021, at 5:30 p.m. ET to review financial results. Following management’s formal remarks there will be a question-and-answer session where management will address questions.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conference call will be available through a live webcast found here: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https://services.choruscall.com/mediaframe/webcast.html?webcastid=ksgqlgVN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asked to pre-register for the call through the following link: https://dpregister.com/sreg/10159337/ec19bc7656</w:t>
      </w:r>
    </w:p>
    <w:p>
      <w:pPr>
        <w:spacing w:after="0" w:line="225" w:lineRule="exact"/>
        <w:rPr>
          <w:sz w:val="20"/>
          <w:szCs w:val="20"/>
          <w:color w:val="auto"/>
        </w:rPr>
      </w:pPr>
    </w:p>
    <w:p>
      <w:pPr>
        <w:ind w:right="20" w:hanging="8"/>
        <w:spacing w:after="0" w:line="277" w:lineRule="auto"/>
        <w:rPr>
          <w:sz w:val="20"/>
          <w:szCs w:val="20"/>
          <w:color w:val="auto"/>
        </w:rPr>
      </w:pPr>
      <w:r>
        <w:rPr>
          <w:rFonts w:ascii="Arial" w:cs="Arial" w:eastAsia="Arial" w:hAnsi="Arial"/>
          <w:sz w:val="18"/>
          <w:szCs w:val="18"/>
          <w:color w:val="auto"/>
        </w:rPr>
        <w:t>Callers who pre-register will be given a conference passcode and unique PIN to gain immediate access to the call and bypass the live operator. Participants may pre-register at any time, including up to and after the call start time.</w:t>
      </w:r>
    </w:p>
    <w:p>
      <w:pPr>
        <w:spacing w:after="0" w:line="170" w:lineRule="exact"/>
        <w:rPr>
          <w:sz w:val="20"/>
          <w:szCs w:val="20"/>
          <w:color w:val="auto"/>
        </w:rPr>
      </w:pPr>
    </w:p>
    <w:p>
      <w:pPr>
        <w:ind w:hanging="8"/>
        <w:spacing w:after="0" w:line="277" w:lineRule="auto"/>
        <w:rPr>
          <w:sz w:val="20"/>
          <w:szCs w:val="20"/>
          <w:color w:val="auto"/>
        </w:rPr>
      </w:pPr>
      <w:r>
        <w:rPr>
          <w:rFonts w:ascii="Arial" w:cs="Arial" w:eastAsia="Arial" w:hAnsi="Arial"/>
          <w:sz w:val="18"/>
          <w:szCs w:val="18"/>
          <w:color w:val="auto"/>
        </w:rPr>
        <w:t>Those without internet access or unable to pre-register may dial in by calling: 1-866-777-2509 (domestic), 1-412-317-5413 (international). All callers should dial in approximately 10 minutes prior to the scheduled start time and ask to be joined into the Bitfarms call.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webcast replay of the call will be available approximately one hour after the end of the call through November 15, 2021, at the above webcast link.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Equity Program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Bitfarms also announces that it has entered into an at-the-market offering agreement dated August 16, 2021 (the “ATM Agreement”) with H.C. Wainwright</w:t>
      </w:r>
    </w:p>
    <w:p>
      <w:pPr>
        <w:spacing w:after="0" w:line="46" w:lineRule="exact"/>
        <w:rPr>
          <w:sz w:val="20"/>
          <w:szCs w:val="20"/>
          <w:color w:val="auto"/>
        </w:rPr>
      </w:pPr>
    </w:p>
    <w:p>
      <w:pPr>
        <w:jc w:val="both"/>
        <w:ind w:firstLine="8"/>
        <w:spacing w:after="0" w:line="252" w:lineRule="auto"/>
        <w:tabs>
          <w:tab w:leader="none" w:pos="1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 LLC (the “Agent”) as agent, pursuant to which the Company established an at-the-market equity program (the “ATM Program”). Pursuant to the ATM Program, the Company may, at its discretion and from time-to- time during the term of the ATM Agreement, sell, through the Agent, such number of common shares of the Company (“Common Shares”) as would result in aggregate gross proceeds to the Company of up to US$500 million. Sales of Common Shares, if any, through the Agent will be made through “at-the-market” issuances, including without limitation, sales made directly on the Nasdaq Stock Market or another trading market for the shares in the United States at the market price prevailing at the time of each sale. No Common Shares will be offered or sold under the ATM Program on the TSX Venture Exchange or any other trading market in Canada. The ATM Program may be terminated by either party at any time.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use the net proceeds of the ATM Program, if any, principally for working capital requirements, funding ongoing operations, repaying indebtedness outstanding from time to time, completing future acquisitions, and for other corporate purposes.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the Common Shares will be distributed at trading prices prevailing at the time of the sale, prices may vary between purchasers and during the period of distribution. The volume and timing of sales, if any, will be determined at the sole discretion of the Company's management and in accordance with the terms of the ATM Agreement. To date, no Common Shares have been distributed by the Company pursuant to the ATM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color w:val="auto"/>
        </w:rPr>
        <w:t>The offer and sale of the Common Shares under the ATM Program will be made by means of a prospectus supplement dated August 16, 2021 (the “Prospectus Supplement”) to the Company’s existing Canadian short form base shelf prospectus dated August 12, 2021 (the “Base Shelf Prospectus” and, together with the Prospectus Supplement, the “Prospectus”) and U.S. registration statement on Form F-10 (the “Registration Statement”), which includes the Base Prospectus. The Registration Statement was declared effective by the United States Securities and Exchange Commission (the “SEC”) on August 12, 2021. The Prospectus Supplement has been filed with the applicable provincial regulatory authorities in Canada and the SEC. The Prospectus is available on the SEDAR website maintained by the Canadian Securities Administrators at www.sedar.com and is available on the SEC’s EDGAR website at www.sec.gov.</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news release does not constitute an offer to sell or the solicitation of an offer to buy, nor shall there be any sale of these Common Shares in any jurisdiction in which such offer, solicitation or sale would be unlawful prior to the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PH/s: Petahash per second.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EH/s: Exahash per second.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nor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made in good faith by the Company pursuant to the “safe harbor” provisions of the Private Securities Litigation Reform Act of 1995. The information in this release regarding expectations in respect to the procurement of miners, Company expansion plans, expectations in respect of the offering of Common Shares under the ATM Program and the anticipated use of proceeds from the ATM Program and about future plans and objectives of the Company are forward-looking information. The Company may also discuss “forward-looking information” or make “forward-looking statements” in other communications by the Company, including the conference call related to the Company’s financial results.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 looking information.</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market conditions and other factors that may affect the Company’s ability to utilize the ATM Program and the prices at which the Company may sell Common Shares in the ATM Program; the dilutive effect of issuances of Common Shares in the ATM Program;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Caution Regarding Non-IFRS Financial Performance Measures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This release makes reference to certain measures that are not recognized under IFRS and do not have a standardized meaning prescribed by IFRS,</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including "EBITDA," “EBITDA margin,” "Adjusted EBITDA," “Adjusted EBITDA margin,” “Gross mining profit,” and "Gross mining margin”. “EBITDA” is defined as net income (loss) before: (i) interest expense; (ii) income tax expense; and (iii) depreciation and amortization. “EBITDA margin” is defined as the percentage obtained when dividing EBITDA by Revenues. “Adjusted EBITDA” is defined as EBITDA adjusted to exclude: (i) share-based compensation; (ii) non-cash finance expenses; (iii) asset impairment charges; (iv) revaluation gains or losses on digital assets and (v) other non-cash expenses. “Adjusted EBITDA margin” is defined as the percentage obtained when dividing Adjusted EBITDA by Revenues. “Gross mining profit” is defined as Revenues minus energy and infrastructure expenses for the Backbone segment of the Company. "Gross mining margin” is defined as the percentage obtained when dividing Gross mining profit by Revenues for the Backbone segment of the Company.</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These measures may not be comparable to similar measures presented by other companies. The Company uses non-IFRS measures as additional information to complement IFRS measures by providing further understanding of the Company’s results of operations from management’s perspective. EBITDA and EBITDA margin are common measures used to assess profitability before the impact of different financing methods, income taxes, depreciation of capital assets and amortization of intangible assets. Adjusted EBITDA and Adjusted EBITDA margin are measures used to assess profitability before the impact of all of the items in calculating EBITDA in addition to certain other non-cash expenses. Gross mining profit and Gross mining margin are measures used to assess profitability after power costs in cryptocurrency production, the largest variable expense in Mining. Management uses non-IFRS measures in order to facilitate operating performance comparisons from period to period and to prepare annual operating budgets.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Accordingly, they should not be considered in isolation nor as a substitute for analysis of the Company's financial information reported under IFRS.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from IFRS measures to non-IFRS measures are included in this press release.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Investor and Media Contact:</w:t>
            </w:r>
          </w:p>
        </w:tc>
        <w:tc>
          <w:tcPr>
            <w:tcW w:w="7340" w:type="dxa"/>
            <w:vAlign w:val="bottom"/>
          </w:tcPr>
          <w:p>
            <w:pPr>
              <w:ind w:left="2860"/>
              <w:spacing w:after="0"/>
              <w:rPr>
                <w:sz w:val="20"/>
                <w:szCs w:val="20"/>
                <w:color w:val="auto"/>
              </w:rPr>
            </w:pPr>
            <w:r>
              <w:rPr>
                <w:rFonts w:ascii="Arial" w:cs="Arial" w:eastAsia="Arial" w:hAnsi="Arial"/>
                <w:sz w:val="18"/>
                <w:szCs w:val="18"/>
                <w:b w:val="1"/>
                <w:bCs w:val="1"/>
                <w:color w:val="auto"/>
              </w:rPr>
              <w:t>Investor Relations Contact:</w:t>
            </w: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Jeffrey Lucas</w:t>
            </w:r>
          </w:p>
        </w:tc>
        <w:tc>
          <w:tcPr>
            <w:tcW w:w="7340" w:type="dxa"/>
            <w:vAlign w:val="bottom"/>
          </w:tcPr>
          <w:p>
            <w:pPr>
              <w:ind w:left="2860"/>
              <w:spacing w:after="0"/>
              <w:rPr>
                <w:sz w:val="20"/>
                <w:szCs w:val="20"/>
                <w:color w:val="auto"/>
              </w:rPr>
            </w:pPr>
            <w:r>
              <w:rPr>
                <w:rFonts w:ascii="Arial" w:cs="Arial" w:eastAsia="Arial" w:hAnsi="Arial"/>
                <w:sz w:val="18"/>
                <w:szCs w:val="18"/>
                <w:color w:val="auto"/>
              </w:rPr>
              <w:t>CORE IR</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7340" w:type="dxa"/>
            <w:vAlign w:val="bottom"/>
          </w:tcPr>
          <w:p>
            <w:pPr>
              <w:ind w:left="2860"/>
              <w:spacing w:after="0"/>
              <w:rPr>
                <w:sz w:val="20"/>
                <w:szCs w:val="20"/>
                <w:color w:val="auto"/>
              </w:rPr>
            </w:pPr>
            <w:r>
              <w:rPr>
                <w:rFonts w:ascii="Arial" w:cs="Arial" w:eastAsia="Arial" w:hAnsi="Arial"/>
                <w:sz w:val="18"/>
                <w:szCs w:val="18"/>
                <w:color w:val="auto"/>
              </w:rPr>
              <w:t>investors@bitfarms.com</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Bitfarms Ltd.</w:t>
            </w:r>
          </w:p>
        </w:tc>
        <w:tc>
          <w:tcPr>
            <w:tcW w:w="7340" w:type="dxa"/>
            <w:vAlign w:val="bottom"/>
          </w:tcPr>
          <w:p>
            <w:pPr>
              <w:ind w:left="2860"/>
              <w:spacing w:after="0"/>
              <w:rPr>
                <w:sz w:val="20"/>
                <w:szCs w:val="20"/>
                <w:color w:val="auto"/>
              </w:rPr>
            </w:pPr>
            <w:r>
              <w:rPr>
                <w:rFonts w:ascii="Arial" w:cs="Arial" w:eastAsia="Arial" w:hAnsi="Arial"/>
                <w:sz w:val="18"/>
                <w:szCs w:val="18"/>
                <w:color w:val="auto"/>
              </w:rPr>
              <w:t>+1.516.222-2560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+1.833.bitfarm (248.3276)</w:t>
            </w:r>
          </w:p>
        </w:tc>
        <w:tc>
          <w:tcPr>
            <w:tcW w:w="734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ext. 109 jlucas@bitfarms.com</w:t>
            </w:r>
          </w:p>
        </w:tc>
        <w:tc>
          <w:tcPr>
            <w:tcW w:w="7340" w:type="dxa"/>
            <w:vAlign w:val="bottom"/>
          </w:tcPr>
          <w:p>
            <w:pPr>
              <w:spacing w:after="0"/>
              <w:rPr>
                <w:sz w:val="20"/>
                <w:szCs w:val="20"/>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908"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3"/>
          </w:tcPr>
          <w:p>
            <w:pPr>
              <w:ind w:left="320"/>
              <w:spacing w:after="0"/>
              <w:rPr>
                <w:sz w:val="20"/>
                <w:szCs w:val="20"/>
                <w:color w:val="auto"/>
              </w:rPr>
            </w:pPr>
            <w:r>
              <w:rPr>
                <w:rFonts w:ascii="Arial" w:cs="Arial" w:eastAsia="Arial" w:hAnsi="Arial"/>
                <w:sz w:val="18"/>
                <w:szCs w:val="18"/>
                <w:b w:val="1"/>
                <w:bCs w:val="1"/>
                <w:color w:val="auto"/>
                <w:w w:val="94"/>
              </w:rPr>
              <w:t>Bitfarms Ltd. Consolidated Results of Operations (Unaudited)</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20" w:type="dxa"/>
            <w:vAlign w:val="bottom"/>
            <w:gridSpan w:val="2"/>
          </w:tcPr>
          <w:p>
            <w:pPr>
              <w:spacing w:after="0"/>
              <w:rPr>
                <w:sz w:val="20"/>
                <w:szCs w:val="20"/>
                <w:color w:val="auto"/>
              </w:rPr>
            </w:pPr>
            <w:r>
              <w:rPr>
                <w:rFonts w:ascii="Arial" w:cs="Arial" w:eastAsia="Arial" w:hAnsi="Arial"/>
                <w:sz w:val="18"/>
                <w:szCs w:val="18"/>
                <w:color w:val="auto"/>
              </w:rPr>
              <w:t>(U.S.$ in thousands except where</w:t>
            </w:r>
          </w:p>
        </w:tc>
        <w:tc>
          <w:tcPr>
            <w:tcW w:w="2160" w:type="dxa"/>
            <w:vAlign w:val="bottom"/>
            <w:gridSpan w:val="5"/>
            <w:vMerge w:val="restart"/>
          </w:tcPr>
          <w:p>
            <w:pPr>
              <w:jc w:val="right"/>
              <w:ind w:right="460"/>
              <w:spacing w:after="0"/>
              <w:rPr>
                <w:sz w:val="20"/>
                <w:szCs w:val="20"/>
                <w:color w:val="auto"/>
              </w:rPr>
            </w:pPr>
            <w:r>
              <w:rPr>
                <w:rFonts w:ascii="Arial" w:cs="Arial" w:eastAsia="Arial" w:hAnsi="Arial"/>
                <w:sz w:val="18"/>
                <w:szCs w:val="18"/>
                <w:b w:val="1"/>
                <w:bCs w:val="1"/>
                <w:color w:val="auto"/>
                <w:w w:val="94"/>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vMerge w:val="restart"/>
          </w:tcPr>
          <w:p>
            <w:pPr>
              <w:ind w:left="140"/>
              <w:spacing w:after="0"/>
              <w:rPr>
                <w:sz w:val="20"/>
                <w:szCs w:val="20"/>
                <w:color w:val="auto"/>
              </w:rPr>
            </w:pPr>
            <w:r>
              <w:rPr>
                <w:rFonts w:ascii="Arial" w:cs="Arial" w:eastAsia="Arial" w:hAnsi="Arial"/>
                <w:sz w:val="18"/>
                <w:szCs w:val="18"/>
                <w:b w:val="1"/>
                <w:bCs w:val="1"/>
                <w:color w:val="auto"/>
              </w:rPr>
              <w:t>Six months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92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160" w:type="dxa"/>
            <w:vAlign w:val="bottom"/>
            <w:gridSpan w:val="5"/>
            <w:vMerge w:val="continue"/>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6"/>
            <w:vMerge w:val="continue"/>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0" w:type="dxa"/>
            <w:vAlign w:val="bottom"/>
            <w:tcBorders>
              <w:top w:val="single" w:sz="8" w:color="auto"/>
              <w:right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5"/>
              </w:rPr>
              <w:t>June 30</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5"/>
              </w:rPr>
              <w:t>June 30</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320" w:type="dxa"/>
            <w:vAlign w:val="bottom"/>
            <w:tcBorders>
              <w:right w:val="single" w:sz="8" w:color="auto"/>
            </w:tcBorders>
          </w:tcPr>
          <w:p>
            <w:pPr>
              <w:spacing w:after="0"/>
              <w:rPr>
                <w:sz w:val="17"/>
                <w:szCs w:val="17"/>
                <w:color w:val="auto"/>
              </w:rPr>
            </w:pPr>
          </w:p>
        </w:tc>
        <w:tc>
          <w:tcPr>
            <w:tcW w:w="980" w:type="dxa"/>
            <w:vAlign w:val="bottom"/>
            <w:tcBorders>
              <w:top w:val="single" w:sz="8" w:color="auto"/>
              <w:right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8"/>
              </w:rPr>
              <w:t>June 30</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8"/>
              </w:rPr>
              <w:t>June 30</w:t>
            </w:r>
          </w:p>
        </w:tc>
        <w:tc>
          <w:tcPr>
            <w:tcW w:w="3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20" w:type="dxa"/>
            <w:vAlign w:val="bottom"/>
            <w:tcBorders>
              <w:bottom w:val="single" w:sz="8" w:color="CCEEFF"/>
              <w:right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Change</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bottom w:val="single" w:sz="8" w:color="CCEEFF"/>
              <w:right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Change</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right w:val="single" w:sz="8" w:color="auto"/>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36,687</w:t>
            </w:r>
          </w:p>
        </w:tc>
        <w:tc>
          <w:tcPr>
            <w:tcW w:w="2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29,315</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65,119</w:t>
            </w: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7"/>
        </w:trPr>
        <w:tc>
          <w:tcPr>
            <w:tcW w:w="29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Cost of sales</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13,332</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7,506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5,826</w:t>
            </w:r>
          </w:p>
        </w:tc>
        <w:tc>
          <w:tcPr>
            <w:tcW w:w="10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78%</w:t>
            </w:r>
          </w:p>
        </w:tc>
        <w:tc>
          <w:tcPr>
            <w:tcW w:w="9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22,452</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15,423</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23,355</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23,489</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42,667</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Gross margin (loss)</w:t>
            </w:r>
          </w:p>
        </w:tc>
        <w:tc>
          <w:tcPr>
            <w:tcW w:w="10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w w:val="96"/>
              </w:rPr>
              <w:t>General and administrative expenses</w:t>
            </w: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auto"/>
            </w:tcBorders>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tcBorders>
              <w:right w:val="single" w:sz="8" w:color="auto"/>
            </w:tcBorders>
            <w:gridSpan w:val="2"/>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10,607</w:t>
            </w: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220" w:type="dxa"/>
            <w:vAlign w:val="bottom"/>
            <w:vMerge w:val="continue"/>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674%</w:t>
            </w:r>
          </w:p>
        </w:tc>
        <w:tc>
          <w:tcPr>
            <w:tcW w:w="1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13,426</w:t>
            </w:r>
          </w:p>
        </w:tc>
        <w:tc>
          <w:tcPr>
            <w:tcW w:w="220" w:type="dxa"/>
            <w:vAlign w:val="bottom"/>
            <w:tcBorders>
              <w:right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2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9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Gain on disposition of digital assets</w:t>
            </w: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104%</w:t>
            </w:r>
          </w:p>
        </w:tc>
        <w:tc>
          <w:tcPr>
            <w:tcW w:w="9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9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Loss on revaluation of digital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14,885</w:t>
            </w:r>
          </w:p>
        </w:tc>
        <w:tc>
          <w:tcPr>
            <w:tcW w:w="2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14,885</w:t>
            </w:r>
          </w:p>
        </w:tc>
        <w:tc>
          <w:tcPr>
            <w:tcW w:w="10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9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14,885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right w:val="single" w:sz="8" w:color="auto"/>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tcBorders>
              <w:right w:val="single" w:sz="8" w:color="auto"/>
            </w:tcBorders>
            <w:gridSpan w:val="2"/>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(2,090)</w:t>
            </w:r>
          </w:p>
        </w:tc>
        <w:tc>
          <w:tcPr>
            <w:tcW w:w="26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(1,482)</w:t>
            </w:r>
          </w:p>
        </w:tc>
        <w:tc>
          <w:tcPr>
            <w:tcW w:w="32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(608)</w:t>
            </w:r>
          </w:p>
        </w:tc>
        <w:tc>
          <w:tcPr>
            <w:tcW w:w="220" w:type="dxa"/>
            <w:vAlign w:val="bottom"/>
            <w:vMerge w:val="continue"/>
          </w:tcPr>
          <w:p>
            <w:pPr>
              <w:spacing w:after="0"/>
              <w:rPr>
                <w:sz w:val="17"/>
                <w:szCs w:val="17"/>
                <w:color w:val="auto"/>
              </w:rPr>
            </w:pPr>
          </w:p>
        </w:tc>
        <w:tc>
          <w:tcPr>
            <w:tcW w:w="1080" w:type="dxa"/>
            <w:vAlign w:val="bottom"/>
            <w:tcBorders>
              <w:right w:val="single" w:sz="8" w:color="auto"/>
            </w:tcBorders>
            <w:gridSpan w:val="2"/>
          </w:tcPr>
          <w:p>
            <w:pPr>
              <w:jc w:val="right"/>
              <w:ind w:right="90"/>
              <w:spacing w:after="0" w:line="203" w:lineRule="exact"/>
              <w:rPr>
                <w:sz w:val="20"/>
                <w:szCs w:val="20"/>
                <w:color w:val="auto"/>
              </w:rPr>
            </w:pPr>
            <w:r>
              <w:rPr>
                <w:rFonts w:ascii="Arial" w:cs="Arial" w:eastAsia="Arial" w:hAnsi="Arial"/>
                <w:sz w:val="18"/>
                <w:szCs w:val="18"/>
                <w:color w:val="auto"/>
              </w:rPr>
              <w:t>41%</w:t>
            </w:r>
          </w:p>
        </w:tc>
        <w:tc>
          <w:tcPr>
            <w:tcW w:w="100" w:type="dxa"/>
            <w:vAlign w:val="bottom"/>
            <w:vMerge w:val="continue"/>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14,381</w:t>
            </w:r>
          </w:p>
        </w:tc>
        <w:tc>
          <w:tcPr>
            <w:tcW w:w="2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(2,992)</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17,373</w:t>
            </w:r>
          </w:p>
        </w:tc>
        <w:tc>
          <w:tcPr>
            <w:tcW w:w="200" w:type="dxa"/>
            <w:vAlign w:val="bottom"/>
            <w:vMerge w:val="continue"/>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50"/>
        </w:trPr>
        <w:tc>
          <w:tcPr>
            <w:tcW w:w="29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right w:val="single" w:sz="8" w:color="auto"/>
            </w:tcBorders>
            <w:gridSpan w:val="2"/>
          </w:tcPr>
          <w:p>
            <w:pPr>
              <w:spacing w:after="0" w:line="203" w:lineRule="exact"/>
              <w:rPr>
                <w:sz w:val="20"/>
                <w:szCs w:val="20"/>
                <w:color w:val="auto"/>
              </w:rPr>
            </w:pPr>
            <w:r>
              <w:rPr>
                <w:rFonts w:ascii="Arial" w:cs="Arial" w:eastAsia="Arial" w:hAnsi="Arial"/>
                <w:sz w:val="18"/>
                <w:szCs w:val="18"/>
                <w:color w:val="auto"/>
              </w:rPr>
              <w:t>Loss (gain) on disposition of PP&amp;E</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(146)</w:t>
            </w:r>
          </w:p>
        </w:tc>
        <w:tc>
          <w:tcPr>
            <w:tcW w:w="26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707</w:t>
            </w:r>
          </w:p>
        </w:tc>
        <w:tc>
          <w:tcPr>
            <w:tcW w:w="3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(853)</w:t>
            </w: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320" w:type="dxa"/>
            <w:vAlign w:val="bottom"/>
            <w:tcBorders>
              <w:top w:val="single" w:sz="8" w:color="CCEEFF"/>
              <w:right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(165)</w:t>
            </w:r>
          </w:p>
        </w:tc>
        <w:tc>
          <w:tcPr>
            <w:tcW w:w="2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(872)</w:t>
            </w: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w:t>
            </w:r>
          </w:p>
        </w:tc>
        <w:tc>
          <w:tcPr>
            <w:tcW w:w="2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1,127</w:t>
            </w:r>
          </w:p>
        </w:tc>
        <w:tc>
          <w:tcPr>
            <w:tcW w:w="2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w:t>
            </w:r>
          </w:p>
        </w:tc>
        <w:tc>
          <w:tcPr>
            <w:tcW w:w="1080" w:type="dxa"/>
            <w:vAlign w:val="bottom"/>
            <w:tcBorders>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9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24,552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right w:val="single" w:sz="8" w:color="auto"/>
            </w:tcBorders>
            <w:gridSpan w:val="2"/>
            <w:vMerge w:val="restart"/>
          </w:tcPr>
          <w:p>
            <w:pPr>
              <w:spacing w:after="0"/>
              <w:rPr>
                <w:sz w:val="20"/>
                <w:szCs w:val="20"/>
                <w:color w:val="auto"/>
              </w:rPr>
            </w:pPr>
            <w:r>
              <w:rPr>
                <w:rFonts w:ascii="Arial" w:cs="Arial" w:eastAsia="Arial" w:hAnsi="Arial"/>
                <w:sz w:val="18"/>
                <w:szCs w:val="18"/>
                <w:color w:val="auto"/>
              </w:rPr>
              <w:t>Net loss before income taxes</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tcBorders>
              <w:right w:val="single" w:sz="8" w:color="auto"/>
            </w:tcBorders>
            <w:gridSpan w:val="2"/>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(3,071)</w:t>
            </w:r>
          </w:p>
        </w:tc>
        <w:tc>
          <w:tcPr>
            <w:tcW w:w="26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(3,734)</w:t>
            </w:r>
          </w:p>
        </w:tc>
        <w:tc>
          <w:tcPr>
            <w:tcW w:w="32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663</w:t>
            </w:r>
          </w:p>
        </w:tc>
        <w:tc>
          <w:tcPr>
            <w:tcW w:w="22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(18)</w:t>
            </w:r>
          </w:p>
        </w:tc>
        <w:tc>
          <w:tcPr>
            <w:tcW w:w="320" w:type="dxa"/>
            <w:vAlign w:val="bottom"/>
            <w:tcBorders>
              <w:right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5"/>
              </w:rPr>
              <w:t>(10,006)</w:t>
            </w:r>
          </w:p>
        </w:tc>
        <w:tc>
          <w:tcPr>
            <w:tcW w:w="2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(6,266)</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(3,740)</w:t>
            </w:r>
          </w:p>
        </w:tc>
        <w:tc>
          <w:tcPr>
            <w:tcW w:w="200" w:type="dxa"/>
            <w:vAlign w:val="bottom"/>
            <w:vMerge w:val="continue"/>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9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2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w:t>
            </w:r>
          </w:p>
        </w:tc>
        <w:tc>
          <w:tcPr>
            <w:tcW w:w="1080" w:type="dxa"/>
            <w:vAlign w:val="bottom"/>
            <w:tcBorders>
              <w:right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nm</w:t>
            </w:r>
          </w:p>
        </w:tc>
        <w:tc>
          <w:tcPr>
            <w:tcW w:w="9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1,386</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right w:val="single" w:sz="8" w:color="auto"/>
            </w:tcBorders>
            <w:gridSpan w:val="2"/>
            <w:vMerge w:val="restart"/>
          </w:tcPr>
          <w:p>
            <w:pPr>
              <w:spacing w:after="0"/>
              <w:rPr>
                <w:sz w:val="20"/>
                <w:szCs w:val="20"/>
                <w:color w:val="auto"/>
              </w:rPr>
            </w:pPr>
            <w:r>
              <w:rPr>
                <w:rFonts w:ascii="Arial" w:cs="Arial" w:eastAsia="Arial" w:hAnsi="Arial"/>
                <w:sz w:val="18"/>
                <w:szCs w:val="18"/>
                <w:color w:val="auto"/>
              </w:rPr>
              <w:t>Net loss</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tcBorders>
              <w:right w:val="single" w:sz="8" w:color="auto"/>
            </w:tcBorders>
            <w:gridSpan w:val="2"/>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(3,675)</w:t>
            </w:r>
          </w:p>
        </w:tc>
        <w:tc>
          <w:tcPr>
            <w:tcW w:w="26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(3,730)</w:t>
            </w:r>
          </w:p>
        </w:tc>
        <w:tc>
          <w:tcPr>
            <w:tcW w:w="32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220" w:type="dxa"/>
            <w:vAlign w:val="bottom"/>
            <w:vMerge w:val="continue"/>
          </w:tcPr>
          <w:p>
            <w:pPr>
              <w:spacing w:after="0"/>
              <w:rPr>
                <w:sz w:val="17"/>
                <w:szCs w:val="17"/>
                <w:color w:val="auto"/>
              </w:rPr>
            </w:pPr>
          </w:p>
        </w:tc>
        <w:tc>
          <w:tcPr>
            <w:tcW w:w="1080" w:type="dxa"/>
            <w:vAlign w:val="bottom"/>
            <w:tcBorders>
              <w:right w:val="single" w:sz="8" w:color="auto"/>
            </w:tcBorders>
            <w:gridSpan w:val="2"/>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100" w:type="dxa"/>
            <w:vAlign w:val="bottom"/>
            <w:vMerge w:val="continue"/>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5"/>
              </w:rPr>
              <w:t>(11,280)</w:t>
            </w:r>
          </w:p>
        </w:tc>
        <w:tc>
          <w:tcPr>
            <w:tcW w:w="2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(6,154)</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(5,126)</w:t>
            </w:r>
          </w:p>
        </w:tc>
        <w:tc>
          <w:tcPr>
            <w:tcW w:w="200" w:type="dxa"/>
            <w:vAlign w:val="bottom"/>
            <w:vMerge w:val="continue"/>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9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right w:val="single" w:sz="8" w:color="auto"/>
            </w:tcBorders>
            <w:gridSpan w:val="2"/>
            <w:vMerge w:val="restart"/>
          </w:tcPr>
          <w:p>
            <w:pPr>
              <w:spacing w:after="0" w:line="195" w:lineRule="exact"/>
              <w:rPr>
                <w:sz w:val="20"/>
                <w:szCs w:val="20"/>
                <w:color w:val="auto"/>
              </w:rPr>
            </w:pPr>
            <w:r>
              <w:rPr>
                <w:rFonts w:ascii="Arial" w:cs="Arial" w:eastAsia="Arial" w:hAnsi="Arial"/>
                <w:sz w:val="18"/>
                <w:szCs w:val="18"/>
                <w:color w:val="auto"/>
                <w:w w:val="95"/>
              </w:rPr>
              <w:t>Revaluation loss on digital assets (net</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920" w:type="dxa"/>
            <w:vAlign w:val="bottom"/>
            <w:tcBorders>
              <w:right w:val="single" w:sz="8" w:color="auto"/>
            </w:tcBorders>
            <w:gridSpan w:val="2"/>
            <w:vMerge w:val="continue"/>
          </w:tcPr>
          <w:p>
            <w:pPr>
              <w:spacing w:after="0"/>
              <w:rPr>
                <w:sz w:val="15"/>
                <w:szCs w:val="15"/>
                <w:color w:val="auto"/>
              </w:rPr>
            </w:pPr>
          </w:p>
        </w:tc>
        <w:tc>
          <w:tcPr>
            <w:tcW w:w="10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(5,128)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of tax)</w:t>
            </w:r>
          </w:p>
        </w:tc>
        <w:tc>
          <w:tcPr>
            <w:tcW w:w="100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(5,128)</w:t>
            </w:r>
          </w:p>
        </w:tc>
        <w:tc>
          <w:tcPr>
            <w:tcW w:w="10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(100)%</w:t>
            </w:r>
          </w:p>
        </w:tc>
        <w:tc>
          <w:tcPr>
            <w:tcW w:w="980" w:type="dxa"/>
            <w:vAlign w:val="bottom"/>
            <w:tcBorders>
              <w:right w:val="single" w:sz="8" w:color="auto"/>
            </w:tcBorders>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(8,803)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w:t>
            </w:r>
          </w:p>
        </w:tc>
        <w:tc>
          <w:tcPr>
            <w:tcW w:w="10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c>
          <w:tcPr>
            <w:tcW w:w="9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(11,280)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(6,154)</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right w:val="single" w:sz="8" w:color="auto"/>
            </w:tcBorders>
            <w:gridSpan w:val="2"/>
            <w:vMerge w:val="restart"/>
          </w:tcPr>
          <w:p>
            <w:pPr>
              <w:spacing w:after="0" w:line="250" w:lineRule="exact"/>
              <w:rPr>
                <w:sz w:val="20"/>
                <w:szCs w:val="20"/>
                <w:color w:val="auto"/>
              </w:rPr>
            </w:pPr>
            <w:r>
              <w:rPr>
                <w:rFonts w:ascii="Arial" w:cs="Arial" w:eastAsia="Arial" w:hAnsi="Arial"/>
                <w:sz w:val="17"/>
                <w:szCs w:val="17"/>
                <w:color w:val="auto"/>
              </w:rPr>
              <w:t xml:space="preserve">Gross mining profit </w:t>
            </w:r>
            <w:r>
              <w:rPr>
                <w:rFonts w:ascii="Arial" w:cs="Arial" w:eastAsia="Arial" w:hAnsi="Arial"/>
                <w:sz w:val="28"/>
                <w:szCs w:val="28"/>
                <w:color w:val="auto"/>
                <w:vertAlign w:val="superscript"/>
              </w:rPr>
              <w:t>(1)</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Borders>
              <w:right w:val="single" w:sz="8" w:color="auto"/>
            </w:tcBorders>
            <w:gridSpan w:val="2"/>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28,064</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2,506</w:t>
            </w:r>
          </w:p>
        </w:tc>
        <w:tc>
          <w:tcPr>
            <w:tcW w:w="3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25,558</w:t>
            </w:r>
          </w:p>
        </w:tc>
        <w:tc>
          <w:tcPr>
            <w:tcW w:w="1080" w:type="dxa"/>
            <w:vAlign w:val="bottom"/>
            <w:tcBorders>
              <w:right w:val="single" w:sz="8" w:color="auto"/>
            </w:tcBorders>
            <w:gridSpan w:val="2"/>
          </w:tcPr>
          <w:p>
            <w:pPr>
              <w:jc w:val="right"/>
              <w:ind w:right="230"/>
              <w:spacing w:after="0"/>
              <w:rPr>
                <w:sz w:val="20"/>
                <w:szCs w:val="20"/>
                <w:color w:val="auto"/>
              </w:rPr>
            </w:pPr>
            <w:r>
              <w:rPr>
                <w:rFonts w:ascii="Arial" w:cs="Arial" w:eastAsia="Arial" w:hAnsi="Arial"/>
                <w:sz w:val="18"/>
                <w:szCs w:val="18"/>
                <w:i w:val="1"/>
                <w:iCs w:val="1"/>
                <w:color w:val="auto"/>
              </w:rPr>
              <w:t>nm</w:t>
            </w:r>
          </w:p>
        </w:tc>
        <w:tc>
          <w:tcPr>
            <w:tcW w:w="9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50,334</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43,732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57"/>
        </w:trPr>
        <w:tc>
          <w:tcPr>
            <w:tcW w:w="2920" w:type="dxa"/>
            <w:vAlign w:val="bottom"/>
            <w:tcBorders>
              <w:right w:val="single" w:sz="8" w:color="auto"/>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0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20" w:type="dxa"/>
            <w:vAlign w:val="bottom"/>
            <w:tcBorders>
              <w:right w:val="single" w:sz="8" w:color="auto"/>
            </w:tcBorders>
            <w:gridSpan w:val="2"/>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2,746</w:t>
            </w:r>
          </w:p>
        </w:tc>
        <w:tc>
          <w:tcPr>
            <w:tcW w:w="10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2,330</w:t>
            </w:r>
          </w:p>
        </w:tc>
        <w:tc>
          <w:tcPr>
            <w:tcW w:w="10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560%</w:t>
            </w:r>
          </w:p>
        </w:tc>
        <w:tc>
          <w:tcPr>
            <w:tcW w:w="9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(283)</w:t>
            </w:r>
          </w:p>
        </w:tc>
        <w:tc>
          <w:tcPr>
            <w:tcW w:w="1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2920" w:type="dxa"/>
            <w:vAlign w:val="bottom"/>
            <w:tcBorders>
              <w:right w:val="single" w:sz="8" w:color="auto"/>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0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20" w:type="dxa"/>
            <w:vAlign w:val="bottom"/>
            <w:tcBorders>
              <w:right w:val="single" w:sz="8" w:color="auto"/>
            </w:tcBorders>
            <w:gridSpan w:val="2"/>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23,827</w:t>
            </w:r>
          </w:p>
        </w:tc>
        <w:tc>
          <w:tcPr>
            <w:tcW w:w="10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1,435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22,392</w:t>
            </w:r>
          </w:p>
        </w:tc>
        <w:tc>
          <w:tcPr>
            <w:tcW w:w="1080" w:type="dxa"/>
            <w:vAlign w:val="bottom"/>
            <w:tcBorders>
              <w:right w:val="single" w:sz="8" w:color="auto"/>
            </w:tcBorders>
            <w:gridSpan w:val="2"/>
          </w:tcPr>
          <w:p>
            <w:pPr>
              <w:jc w:val="right"/>
              <w:ind w:right="230"/>
              <w:spacing w:after="0"/>
              <w:rPr>
                <w:sz w:val="20"/>
                <w:szCs w:val="20"/>
                <w:color w:val="auto"/>
              </w:rPr>
            </w:pPr>
            <w:r>
              <w:rPr>
                <w:rFonts w:ascii="Arial" w:cs="Arial" w:eastAsia="Arial" w:hAnsi="Arial"/>
                <w:sz w:val="18"/>
                <w:szCs w:val="18"/>
                <w:i w:val="1"/>
                <w:iCs w:val="1"/>
                <w:color w:val="auto"/>
              </w:rPr>
              <w:t>nm</w:t>
            </w:r>
          </w:p>
        </w:tc>
        <w:tc>
          <w:tcPr>
            <w:tcW w:w="9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43,528</w:t>
            </w:r>
          </w:p>
        </w:tc>
        <w:tc>
          <w:tcPr>
            <w:tcW w:w="1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4,340</w:t>
            </w:r>
          </w:p>
        </w:tc>
        <w:tc>
          <w:tcPr>
            <w:tcW w:w="12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39,188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0"/>
        </w:trPr>
        <w:tc>
          <w:tcPr>
            <w:tcW w:w="2920" w:type="dxa"/>
            <w:vAlign w:val="bottom"/>
            <w:tcBorders>
              <w:right w:val="single" w:sz="8" w:color="auto"/>
            </w:tcBorders>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0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09" w:lineRule="auto"/>
        <w:tabs>
          <w:tab w:leader="none" w:pos="34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Gross mining profit, Gross mining margin, EBITDA, EBITDA margin, Adjusted EBITDA, and Adjusted EBITDA margin, are non-IFRS performance measures; please refer to the Caution Regarding Non-IFRS Financial Performance Measures section of Bitfarms Management Discussion &amp; Analysis for the three and six months ended June 30, 2021</w:t>
      </w:r>
    </w:p>
    <w:p>
      <w:pPr>
        <w:spacing w:after="0" w:line="1"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Represents the average cost of Bitcoin based on variable cost of electricity and is calculated by taking the total electricity costs related to the Mining of Bitcoin, excluding electricity consumed by hosting clients, divided by the total number of Bitcoin mined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(U.S.$ in thousands except where</w:t>
            </w:r>
          </w:p>
        </w:tc>
        <w:tc>
          <w:tcPr>
            <w:tcW w:w="1960" w:type="dxa"/>
            <w:vAlign w:val="bottom"/>
            <w:gridSpan w:val="5"/>
            <w:vMerge w:val="restart"/>
          </w:tcPr>
          <w:p>
            <w:pPr>
              <w:jc w:val="right"/>
              <w:ind w:right="221"/>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5"/>
            <w:vMerge w:val="restart"/>
          </w:tcPr>
          <w:p>
            <w:pPr>
              <w:jc w:val="right"/>
              <w:ind w:right="321"/>
              <w:spacing w:after="0"/>
              <w:rPr>
                <w:sz w:val="20"/>
                <w:szCs w:val="20"/>
                <w:color w:val="auto"/>
              </w:rPr>
            </w:pPr>
            <w:r>
              <w:rPr>
                <w:rFonts w:ascii="Arial" w:cs="Arial" w:eastAsia="Arial" w:hAnsi="Arial"/>
                <w:sz w:val="18"/>
                <w:szCs w:val="18"/>
                <w:b w:val="1"/>
                <w:bCs w:val="1"/>
                <w:color w:val="auto"/>
                <w:w w:val="98"/>
              </w:rPr>
              <w:t>Six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26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960" w:type="dxa"/>
            <w:vAlign w:val="bottom"/>
            <w:gridSpan w:val="5"/>
            <w:vMerge w:val="continue"/>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5"/>
            <w:vMerge w:val="continue"/>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80" w:type="dxa"/>
            <w:vAlign w:val="bottom"/>
            <w:tcBorders>
              <w:top w:val="single" w:sz="8" w:color="auto"/>
              <w:right w:val="single" w:sz="8" w:color="auto"/>
            </w:tcBorders>
            <w:gridSpan w:val="2"/>
          </w:tcPr>
          <w:p>
            <w:pPr>
              <w:jc w:val="right"/>
              <w:ind w:right="121"/>
              <w:spacing w:after="0" w:line="198" w:lineRule="exact"/>
              <w:rPr>
                <w:sz w:val="20"/>
                <w:szCs w:val="20"/>
                <w:color w:val="auto"/>
              </w:rPr>
            </w:pPr>
            <w:r>
              <w:rPr>
                <w:rFonts w:ascii="Arial" w:cs="Arial" w:eastAsia="Arial" w:hAnsi="Arial"/>
                <w:sz w:val="18"/>
                <w:szCs w:val="18"/>
                <w:b w:val="1"/>
                <w:bCs w:val="1"/>
                <w:color w:val="auto"/>
                <w:w w:val="98"/>
              </w:rPr>
              <w:t>June 30</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8"/>
              </w:rPr>
              <w:t>June 30</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340" w:type="dxa"/>
            <w:vAlign w:val="bottom"/>
            <w:tcBorders>
              <w:right w:val="single" w:sz="8" w:color="auto"/>
            </w:tcBorders>
          </w:tcPr>
          <w:p>
            <w:pPr>
              <w:spacing w:after="0"/>
              <w:rPr>
                <w:sz w:val="17"/>
                <w:szCs w:val="17"/>
                <w:color w:val="auto"/>
              </w:rPr>
            </w:pPr>
          </w:p>
        </w:tc>
        <w:tc>
          <w:tcPr>
            <w:tcW w:w="860" w:type="dxa"/>
            <w:vAlign w:val="bottom"/>
            <w:tcBorders>
              <w:top w:val="single" w:sz="8" w:color="auto"/>
              <w:right w:val="single" w:sz="8" w:color="auto"/>
            </w:tcBorders>
            <w:gridSpan w:val="2"/>
          </w:tcPr>
          <w:p>
            <w:pPr>
              <w:jc w:val="right"/>
              <w:ind w:right="121"/>
              <w:spacing w:after="0" w:line="198" w:lineRule="exact"/>
              <w:rPr>
                <w:sz w:val="20"/>
                <w:szCs w:val="20"/>
                <w:color w:val="auto"/>
              </w:rPr>
            </w:pPr>
            <w:r>
              <w:rPr>
                <w:rFonts w:ascii="Arial" w:cs="Arial" w:eastAsia="Arial" w:hAnsi="Arial"/>
                <w:sz w:val="18"/>
                <w:szCs w:val="18"/>
                <w:b w:val="1"/>
                <w:bCs w:val="1"/>
                <w:color w:val="auto"/>
                <w:w w:val="95"/>
              </w:rPr>
              <w:t>June 30</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June 30</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For the periods ended as indicated</w:t>
            </w: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 Change</w:t>
            </w:r>
          </w:p>
        </w:tc>
        <w:tc>
          <w:tcPr>
            <w:tcW w:w="1120" w:type="dxa"/>
            <w:vAlign w:val="bottom"/>
            <w:tcBorders>
              <w:right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9"/>
              </w:rPr>
              <w:t>Change</w:t>
            </w: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1"/>
              </w:rPr>
              <w:t>$ Change</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50"/>
        </w:trPr>
        <w:tc>
          <w:tcPr>
            <w:tcW w:w="31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(3,071</w:t>
            </w:r>
          </w:p>
        </w:tc>
        <w:tc>
          <w:tcPr>
            <w:tcW w:w="120" w:type="dxa"/>
            <w:vAlign w:val="bottom"/>
            <w:tcBorders>
              <w:top w:val="single" w:sz="8" w:color="CCEEFF"/>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top w:val="single" w:sz="8" w:color="CCEEFF"/>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(10,006</w:t>
            </w:r>
          </w:p>
        </w:tc>
        <w:tc>
          <w:tcPr>
            <w:tcW w:w="120" w:type="dxa"/>
            <w:vAlign w:val="bottom"/>
            <w:tcBorders>
              <w:top w:val="single" w:sz="8" w:color="CCEEFF"/>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60" w:type="dxa"/>
            <w:vAlign w:val="bottom"/>
            <w:tcBorders>
              <w:right w:val="single" w:sz="8" w:color="auto"/>
            </w:tcBorders>
            <w:gridSpan w:val="2"/>
          </w:tcPr>
          <w:p>
            <w:pPr>
              <w:spacing w:after="0" w:line="203" w:lineRule="exact"/>
              <w:rPr>
                <w:sz w:val="20"/>
                <w:szCs w:val="20"/>
                <w:color w:val="auto"/>
              </w:rPr>
            </w:pPr>
            <w:r>
              <w:rPr>
                <w:rFonts w:ascii="Arial" w:cs="Arial" w:eastAsia="Arial" w:hAnsi="Arial"/>
                <w:sz w:val="18"/>
                <w:szCs w:val="18"/>
                <w:color w:val="auto"/>
              </w:rPr>
              <w:t>Interest expense</w:t>
            </w: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897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1,400</w:t>
            </w: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(503)</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340" w:type="dxa"/>
            <w:vAlign w:val="bottom"/>
            <w:tcBorders>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1,795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2,785</w:t>
            </w: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(990)</w:t>
            </w: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8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4,920</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2,750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2,170</w:t>
            </w:r>
          </w:p>
        </w:tc>
        <w:tc>
          <w:tcPr>
            <w:tcW w:w="112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c>
          <w:tcPr>
            <w:tcW w:w="8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7,928</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5,730</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2,198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right w:val="single" w:sz="8" w:color="auto"/>
            </w:tcBorders>
            <w:gridSpan w:val="2"/>
          </w:tcPr>
          <w:p>
            <w:pPr>
              <w:spacing w:after="0" w:line="203" w:lineRule="exact"/>
              <w:rPr>
                <w:sz w:val="20"/>
                <w:szCs w:val="20"/>
                <w:color w:val="auto"/>
              </w:rPr>
            </w:pPr>
            <w:r>
              <w:rPr>
                <w:rFonts w:ascii="Arial" w:cs="Arial" w:eastAsia="Arial" w:hAnsi="Arial"/>
                <w:sz w:val="18"/>
                <w:szCs w:val="18"/>
                <w:color w:val="auto"/>
              </w:rPr>
              <w:t>EBITDA</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2,746</w:t>
            </w:r>
          </w:p>
        </w:tc>
        <w:tc>
          <w:tcPr>
            <w:tcW w:w="120" w:type="dxa"/>
            <w:vAlign w:val="bottom"/>
            <w:tcBorders>
              <w:top w:val="single" w:sz="8" w:color="CCEEFF"/>
              <w:bottom w:val="single" w:sz="8" w:color="CCEEFF"/>
              <w:right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2,330</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w:t>
            </w:r>
          </w:p>
        </w:tc>
        <w:tc>
          <w:tcPr>
            <w:tcW w:w="340" w:type="dxa"/>
            <w:vAlign w:val="bottom"/>
            <w:tcBorders>
              <w:top w:val="single" w:sz="8" w:color="CCEEFF"/>
              <w:bottom w:val="single" w:sz="8" w:color="CCEEFF"/>
              <w:right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(283</w:t>
            </w:r>
          </w:p>
        </w:tc>
        <w:tc>
          <w:tcPr>
            <w:tcW w:w="120" w:type="dxa"/>
            <w:vAlign w:val="bottom"/>
            <w:tcBorders>
              <w:top w:val="single" w:sz="8" w:color="CCEEFF"/>
              <w:bottom w:val="single" w:sz="8" w:color="CCEEFF"/>
              <w:right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2,249</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32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40" w:type="dxa"/>
            <w:vAlign w:val="bottom"/>
            <w:tcBorders>
              <w:right w:val="single" w:sz="8" w:color="auto"/>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3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Loss on revaluation of digital assets</w:t>
            </w:r>
          </w:p>
        </w:tc>
        <w:tc>
          <w:tcPr>
            <w:tcW w:w="88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b w:val="1"/>
                <w:bCs w:val="1"/>
                <w:color w:val="auto"/>
              </w:rPr>
              <w:t>14,885</w:t>
            </w:r>
          </w:p>
        </w:tc>
        <w:tc>
          <w:tcPr>
            <w:tcW w:w="10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14,885</w:t>
            </w:r>
          </w:p>
        </w:tc>
        <w:tc>
          <w:tcPr>
            <w:tcW w:w="112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100%</w:t>
            </w:r>
          </w:p>
        </w:tc>
        <w:tc>
          <w:tcPr>
            <w:tcW w:w="8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b w:val="1"/>
                <w:bCs w:val="1"/>
                <w:color w:val="auto"/>
              </w:rPr>
              <w:t>14,885</w:t>
            </w:r>
          </w:p>
        </w:tc>
        <w:tc>
          <w:tcPr>
            <w:tcW w:w="1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14,885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32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Financial expenses (income) and other</w:t>
            </w:r>
          </w:p>
        </w:tc>
        <w:tc>
          <w:tcPr>
            <w:tcW w:w="8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w:t>
            </w:r>
          </w:p>
        </w:tc>
        <w:tc>
          <w:tcPr>
            <w:tcW w:w="1120" w:type="dxa"/>
            <w:vAlign w:val="bottom"/>
            <w:tcBorders>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8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22,164</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827</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21,337</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4"/>
        </w:trPr>
        <w:tc>
          <w:tcPr>
            <w:tcW w:w="3260" w:type="dxa"/>
            <w:vAlign w:val="bottom"/>
            <w:tcBorders>
              <w:top w:val="single" w:sz="8" w:color="CCEEFF"/>
              <w:right w:val="single" w:sz="8" w:color="auto"/>
            </w:tcBorders>
            <w:gridSpan w:val="2"/>
          </w:tcPr>
          <w:p>
            <w:pPr>
              <w:spacing w:after="0"/>
              <w:rPr>
                <w:sz w:val="20"/>
                <w:szCs w:val="20"/>
                <w:color w:val="auto"/>
              </w:rPr>
            </w:pPr>
            <w:r>
              <w:rPr>
                <w:rFonts w:ascii="Arial" w:cs="Arial" w:eastAsia="Arial" w:hAnsi="Arial"/>
                <w:sz w:val="18"/>
                <w:szCs w:val="18"/>
                <w:color w:val="auto"/>
              </w:rPr>
              <w:t>Adjusted EBITDA</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23,827</w:t>
            </w:r>
          </w:p>
        </w:tc>
        <w:tc>
          <w:tcPr>
            <w:tcW w:w="120" w:type="dxa"/>
            <w:vAlign w:val="bottom"/>
            <w:tcBorders>
              <w:top w:val="single" w:sz="8" w:color="CCEEFF"/>
              <w:bottom w:val="single" w:sz="8" w:color="auto"/>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220" w:type="dxa"/>
            <w:vAlign w:val="bottom"/>
            <w:tcBorders>
              <w:top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22,392</w:t>
            </w:r>
          </w:p>
        </w:tc>
        <w:tc>
          <w:tcPr>
            <w:tcW w:w="220" w:type="dxa"/>
            <w:vAlign w:val="bottom"/>
            <w:tcBorders>
              <w:top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nm</w:t>
            </w:r>
          </w:p>
        </w:tc>
        <w:tc>
          <w:tcPr>
            <w:tcW w:w="340" w:type="dxa"/>
            <w:vAlign w:val="bottom"/>
            <w:tcBorders>
              <w:top w:val="single" w:sz="8" w:color="CCEEFF"/>
              <w:right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43,528</w:t>
            </w:r>
          </w:p>
        </w:tc>
        <w:tc>
          <w:tcPr>
            <w:tcW w:w="120" w:type="dxa"/>
            <w:vAlign w:val="bottom"/>
            <w:tcBorders>
              <w:top w:val="single" w:sz="8" w:color="CCEEFF"/>
              <w:bottom w:val="single" w:sz="8" w:color="auto"/>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00" w:type="dxa"/>
            <w:vAlign w:val="bottom"/>
            <w:tcBorders>
              <w:top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39,188</w:t>
            </w:r>
          </w:p>
        </w:tc>
        <w:tc>
          <w:tcPr>
            <w:tcW w:w="220" w:type="dxa"/>
            <w:vAlign w:val="bottom"/>
            <w:tcBorders>
              <w:top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2"/>
        </w:trPr>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7"/>
          </w:tcPr>
          <w:p>
            <w:pPr>
              <w:spacing w:after="0"/>
              <w:rPr>
                <w:sz w:val="20"/>
                <w:szCs w:val="20"/>
                <w:color w:val="auto"/>
              </w:rPr>
            </w:pPr>
            <w:r>
              <w:rPr>
                <w:rFonts w:ascii="Arial" w:cs="Arial" w:eastAsia="Arial" w:hAnsi="Arial"/>
                <w:sz w:val="18"/>
                <w:szCs w:val="18"/>
                <w:b w:val="1"/>
                <w:bCs w:val="1"/>
                <w:color w:val="auto"/>
                <w:w w:val="99"/>
              </w:rPr>
              <w:t>Calculation of Gross Mining Profit and Gross Mining Margin</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(U.S. $ in thousands except where</w:t>
            </w:r>
          </w:p>
        </w:tc>
        <w:tc>
          <w:tcPr>
            <w:tcW w:w="2080" w:type="dxa"/>
            <w:vAlign w:val="bottom"/>
            <w:gridSpan w:val="5"/>
            <w:vMerge w:val="restart"/>
          </w:tcPr>
          <w:p>
            <w:pPr>
              <w:jc w:val="right"/>
              <w:ind w:right="321"/>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06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080" w:type="dxa"/>
            <w:vAlign w:val="bottom"/>
            <w:gridSpan w:val="5"/>
            <w:vMerge w:val="continue"/>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gridSpan w:val="5"/>
            <w:vMerge w:val="continue"/>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60" w:type="dxa"/>
            <w:vAlign w:val="bottom"/>
            <w:tcBorders>
              <w:top w:val="single" w:sz="8" w:color="auto"/>
              <w:right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5"/>
              </w:rPr>
              <w:t>June 30</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5"/>
              </w:rPr>
              <w:t>June 30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340" w:type="dxa"/>
            <w:vAlign w:val="bottom"/>
            <w:tcBorders>
              <w:right w:val="single" w:sz="8" w:color="auto"/>
            </w:tcBorders>
          </w:tcPr>
          <w:p>
            <w:pPr>
              <w:spacing w:after="0"/>
              <w:rPr>
                <w:sz w:val="17"/>
                <w:szCs w:val="17"/>
                <w:color w:val="auto"/>
              </w:rPr>
            </w:pPr>
          </w:p>
        </w:tc>
        <w:tc>
          <w:tcPr>
            <w:tcW w:w="960" w:type="dxa"/>
            <w:vAlign w:val="bottom"/>
            <w:tcBorders>
              <w:top w:val="single" w:sz="8" w:color="auto"/>
              <w:right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8"/>
              </w:rPr>
              <w:t>June 30</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June 30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20" w:type="dxa"/>
            <w:vAlign w:val="bottom"/>
            <w:tcBorders>
              <w:bottom w:val="single" w:sz="8" w:color="CCEEFF"/>
              <w:right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Change</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Change</w:t>
            </w:r>
          </w:p>
        </w:tc>
        <w:tc>
          <w:tcPr>
            <w:tcW w:w="340" w:type="dxa"/>
            <w:vAlign w:val="bottom"/>
            <w:tcBorders>
              <w:bottom w:val="single" w:sz="8" w:color="CCEEFF"/>
              <w:right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63,215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6"/>
        </w:trPr>
        <w:tc>
          <w:tcPr>
            <w:tcW w:w="3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12,301</w:t>
            </w:r>
          </w:p>
        </w:tc>
        <w:tc>
          <w:tcPr>
            <w:tcW w:w="100" w:type="dxa"/>
            <w:vAlign w:val="bottom"/>
          </w:tcPr>
          <w:p>
            <w:pPr>
              <w:spacing w:after="0"/>
              <w:rPr>
                <w:sz w:val="20"/>
                <w:szCs w:val="20"/>
                <w:color w:val="auto"/>
              </w:rPr>
            </w:pPr>
          </w:p>
        </w:tc>
        <w:tc>
          <w:tcPr>
            <w:tcW w:w="1020" w:type="dxa"/>
            <w:vAlign w:val="bottom"/>
            <w:gridSpan w:val="2"/>
          </w:tcPr>
          <w:p>
            <w:pPr>
              <w:jc w:val="right"/>
              <w:ind w:right="201"/>
              <w:spacing w:after="0"/>
              <w:rPr>
                <w:sz w:val="20"/>
                <w:szCs w:val="20"/>
                <w:color w:val="auto"/>
              </w:rPr>
            </w:pPr>
            <w:r>
              <w:rPr>
                <w:rFonts w:ascii="Arial" w:cs="Arial" w:eastAsia="Arial" w:hAnsi="Arial"/>
                <w:sz w:val="18"/>
                <w:szCs w:val="18"/>
                <w:color w:val="auto"/>
              </w:rPr>
              <w:t>7,189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5,112</w:t>
            </w:r>
          </w:p>
        </w:tc>
        <w:tc>
          <w:tcPr>
            <w:tcW w:w="11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71%</w:t>
            </w: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20,744</w:t>
            </w: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14,674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6,070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306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23,178</w:t>
            </w:r>
          </w:p>
        </w:tc>
        <w:tc>
          <w:tcPr>
            <w:tcW w:w="2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42,471</w:t>
            </w:r>
          </w:p>
        </w:tc>
        <w:tc>
          <w:tcPr>
            <w:tcW w:w="2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4,886</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2,729</w:t>
            </w:r>
          </w:p>
        </w:tc>
        <w:tc>
          <w:tcPr>
            <w:tcW w:w="2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2,157</w:t>
            </w:r>
          </w:p>
        </w:tc>
        <w:tc>
          <w:tcPr>
            <w:tcW w:w="20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00"/>
              <w:spacing w:after="0" w:line="203" w:lineRule="exact"/>
              <w:rPr>
                <w:sz w:val="20"/>
                <w:szCs w:val="20"/>
                <w:color w:val="auto"/>
              </w:rPr>
            </w:pPr>
            <w:r>
              <w:rPr>
                <w:rFonts w:ascii="Arial" w:cs="Arial" w:eastAsia="Arial" w:hAnsi="Arial"/>
                <w:sz w:val="18"/>
                <w:szCs w:val="18"/>
                <w:color w:val="auto"/>
              </w:rPr>
              <w:t>79%</w:t>
            </w: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7,863</w:t>
            </w: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5,682</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2,181</w:t>
            </w:r>
          </w:p>
        </w:tc>
        <w:tc>
          <w:tcPr>
            <w:tcW w:w="20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0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change in inventory and other</w:t>
            </w: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96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1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right w:val="single" w:sz="8" w:color="auto"/>
            </w:tcBorders>
            <w:gridSpan w:val="2"/>
            <w:vMerge w:val="restart"/>
          </w:tcPr>
          <w:p>
            <w:pPr>
              <w:spacing w:after="0"/>
              <w:rPr>
                <w:sz w:val="20"/>
                <w:szCs w:val="20"/>
                <w:color w:val="auto"/>
              </w:rPr>
            </w:pPr>
            <w:r>
              <w:rPr>
                <w:rFonts w:ascii="Arial" w:cs="Arial" w:eastAsia="Arial" w:hAnsi="Arial"/>
                <w:sz w:val="18"/>
                <w:szCs w:val="18"/>
                <w:color w:val="auto"/>
              </w:rPr>
              <w:t>Gross mining profit</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auto"/>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tcBorders>
              <w:right w:val="single" w:sz="8" w:color="auto"/>
            </w:tcBorders>
            <w:gridSpan w:val="2"/>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28,064</w:t>
            </w:r>
          </w:p>
        </w:tc>
        <w:tc>
          <w:tcPr>
            <w:tcW w:w="2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2,506</w:t>
            </w:r>
          </w:p>
        </w:tc>
        <w:tc>
          <w:tcPr>
            <w:tcW w:w="28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25,558</w:t>
            </w:r>
          </w:p>
        </w:tc>
        <w:tc>
          <w:tcPr>
            <w:tcW w:w="20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340" w:type="dxa"/>
            <w:vAlign w:val="bottom"/>
            <w:tcBorders>
              <w:right w:val="single" w:sz="8" w:color="auto"/>
            </w:tcBorders>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50,334</w:t>
            </w:r>
          </w:p>
        </w:tc>
        <w:tc>
          <w:tcPr>
            <w:tcW w:w="20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6,602</w:t>
            </w:r>
          </w:p>
        </w:tc>
        <w:tc>
          <w:tcPr>
            <w:tcW w:w="26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43,732</w:t>
            </w:r>
          </w:p>
        </w:tc>
        <w:tc>
          <w:tcPr>
            <w:tcW w:w="200" w:type="dxa"/>
            <w:vAlign w:val="bottom"/>
            <w:vMerge w:val="continue"/>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30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Gross mining margin</w:t>
            </w:r>
          </w:p>
        </w:tc>
        <w:tc>
          <w:tcPr>
            <w:tcW w:w="9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mining profit” is defined as Gross profit excluding depreciation and amortization and net change in inventory and other minor items included in cost of sales for the Backbone segment of the Company. “Gross mining margin” is defined as the percentage obtained when dividing Gross mining profit by Revenues for the Backbone segment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2"/>
    </w:lvl>
  </w:abstractNum>
  <w:abstractNum w:abstractNumId="1">
    <w:nsid w:val="2443A858"/>
    <w:multiLevelType w:val="hybridMultilevel"/>
    <w:lvl w:ilvl="0">
      <w:lvlJc w:val="left"/>
      <w:lvlText w:val="%1."/>
      <w:numFmt w:val="decimal"/>
      <w:start w:val="3"/>
    </w:lvl>
    <w:lvl w:ilvl="1">
      <w:lvlJc w:val="left"/>
      <w:lvlText w:val="(%2)"/>
      <w:numFmt w:val="lowerLetter"/>
      <w:start w:val="1"/>
    </w:lvl>
  </w:abstractNum>
  <w:abstractNum w:abstractNumId="2">
    <w:nsid w:val="2D1D5AE9"/>
    <w:multiLevelType w:val="hybridMultilevel"/>
    <w:lvl w:ilvl="0">
      <w:lvlJc w:val="left"/>
      <w:lvlText w:val="(%1)"/>
      <w:numFmt w:val="lowerLetter"/>
      <w:start w:val="2"/>
    </w:lvl>
    <w:lvl w:ilvl="1">
      <w:lvlJc w:val="left"/>
      <w:lvlText w:val="(%2)"/>
      <w:numFmt w:val="lowerRoman"/>
      <w:start w:val="1"/>
    </w:lvl>
  </w:abstractNum>
  <w:abstractNum w:abstractNumId="3">
    <w:nsid w:val="6763845E"/>
    <w:multiLevelType w:val="hybridMultilevel"/>
    <w:lvl w:ilvl="0">
      <w:lvlJc w:val="left"/>
      <w:lvlText w:val="(%1)"/>
      <w:numFmt w:val="lowerRoman"/>
      <w:start w:val="4"/>
    </w:lvl>
  </w:abstractNum>
  <w:abstractNum w:abstractNumId="4">
    <w:nsid w:val="75A2A8D4"/>
    <w:multiLevelType w:val="hybridMultilevel"/>
    <w:lvl w:ilvl="0">
      <w:lvlJc w:val="left"/>
      <w:lvlText w:val="(%1)"/>
      <w:numFmt w:val="lowerRoman"/>
      <w:start w:val="8"/>
    </w:lvl>
  </w:abstractNum>
  <w:abstractNum w:abstractNumId="5">
    <w:nsid w:val="8EDBDAB"/>
    <w:multiLevelType w:val="hybridMultilevel"/>
    <w:lvl w:ilvl="0">
      <w:lvlJc w:val="left"/>
      <w:lvlText w:val="(%1)"/>
      <w:numFmt w:val="lowerLetter"/>
      <w:start w:val="3"/>
    </w:lvl>
  </w:abstractNum>
  <w:abstractNum w:abstractNumId="6">
    <w:nsid w:val="79838CB2"/>
    <w:multiLevelType w:val="hybridMultilevel"/>
    <w:lvl w:ilvl="0">
      <w:lvlJc w:val="left"/>
      <w:lvlText w:val="%1"/>
      <w:numFmt w:val="decimal"/>
      <w:start w:val="1"/>
    </w:lvl>
    <w:lvl w:ilvl="1">
      <w:lvlJc w:val="left"/>
      <w:lvlText w:val="(%2)"/>
      <w:numFmt w:val="lowerLetter"/>
      <w:start w:val="8"/>
    </w:lvl>
  </w:abstractNum>
  <w:abstractNum w:abstractNumId="7">
    <w:nsid w:val="4353D0CD"/>
    <w:multiLevelType w:val="hybridMultilevel"/>
    <w:lvl w:ilvl="0">
      <w:lvlJc w:val="left"/>
      <w:lvlText w:val="%1."/>
      <w:numFmt w:val="decimal"/>
      <w:start w:val="4"/>
    </w:lvl>
    <w:lvl w:ilvl="1">
      <w:lvlJc w:val="left"/>
      <w:lvlText w:val="(%2)"/>
      <w:numFmt w:val="lowerLetter"/>
      <w:start w:val="1"/>
    </w:lvl>
  </w:abstractNum>
  <w:abstractNum w:abstractNumId="8">
    <w:nsid w:val="B03E0C6"/>
    <w:multiLevelType w:val="hybridMultilevel"/>
    <w:lvl w:ilvl="0">
      <w:lvlJc w:val="left"/>
      <w:lvlText w:val="(%1)"/>
      <w:numFmt w:val="lowerLetter"/>
      <w:start w:val="3"/>
    </w:lvl>
  </w:abstractNum>
  <w:abstractNum w:abstractNumId="9">
    <w:nsid w:val="189A769B"/>
    <w:multiLevelType w:val="hybridMultilevel"/>
    <w:lvl w:ilvl="0">
      <w:lvlJc w:val="left"/>
      <w:lvlText w:val="(%1)"/>
      <w:numFmt w:val="lowerLetter"/>
      <w:start w:val="5"/>
    </w:lvl>
  </w:abstractNum>
  <w:abstractNum w:abstractNumId="10">
    <w:nsid w:val="54E49EB4"/>
    <w:multiLevelType w:val="hybridMultilevel"/>
    <w:lvl w:ilvl="0">
      <w:lvlJc w:val="left"/>
      <w:lvlText w:val="(%1)"/>
      <w:numFmt w:val="lowerLetter"/>
      <w:start w:val="7"/>
    </w:lvl>
  </w:abstractNum>
  <w:abstractNum w:abstractNumId="11">
    <w:nsid w:val="71F32454"/>
    <w:multiLevelType w:val="hybridMultilevel"/>
    <w:lvl w:ilvl="0">
      <w:lvlJc w:val="left"/>
      <w:lvlText w:val="(%1)"/>
      <w:numFmt w:val="lowerLetter"/>
      <w:start w:val="9"/>
    </w:lvl>
  </w:abstractNum>
  <w:abstractNum w:abstractNumId="12">
    <w:nsid w:val="2CA88611"/>
    <w:multiLevelType w:val="hybridMultilevel"/>
    <w:lvl w:ilvl="0">
      <w:lvlJc w:val="left"/>
      <w:lvlText w:val="(%1)"/>
      <w:numFmt w:val="lowerLetter"/>
      <w:start w:val="11"/>
    </w:lvl>
  </w:abstractNum>
  <w:abstractNum w:abstractNumId="13">
    <w:nsid w:val="836C40E"/>
    <w:multiLevelType w:val="hybridMultilevel"/>
    <w:lvl w:ilvl="0">
      <w:lvlJc w:val="left"/>
      <w:lvlText w:val="(%1)"/>
      <w:numFmt w:val="lowerLetter"/>
      <w:start w:val="13"/>
    </w:lvl>
  </w:abstractNum>
  <w:abstractNum w:abstractNumId="14">
    <w:nsid w:val="2901D82"/>
    <w:multiLevelType w:val="hybridMultilevel"/>
    <w:lvl w:ilvl="0">
      <w:lvlJc w:val="left"/>
      <w:lvlText w:val="(%1)"/>
      <w:numFmt w:val="lowerLetter"/>
      <w:start w:val="17"/>
    </w:lvl>
  </w:abstractNum>
  <w:abstractNum w:abstractNumId="15">
    <w:nsid w:val="3A95F874"/>
    <w:multiLevelType w:val="hybridMultilevel"/>
    <w:lvl w:ilvl="0">
      <w:lvlJc w:val="left"/>
      <w:lvlText w:val="(%1)"/>
      <w:numFmt w:val="lowerLetter"/>
      <w:start w:val="21"/>
    </w:lvl>
  </w:abstractNum>
  <w:abstractNum w:abstractNumId="16">
    <w:nsid w:val="8138641"/>
    <w:multiLevelType w:val="hybridMultilevel"/>
    <w:lvl w:ilvl="0">
      <w:lvlJc w:val="left"/>
      <w:lvlText w:val="(%1)"/>
      <w:numFmt w:val="lowerLetter"/>
      <w:start w:val="23"/>
    </w:lvl>
  </w:abstractNum>
  <w:abstractNum w:abstractNumId="17">
    <w:nsid w:val="1E7FF521"/>
    <w:multiLevelType w:val="hybridMultilevel"/>
    <w:lvl w:ilvl="0">
      <w:lvlJc w:val="left"/>
      <w:lvlText w:val="(%1)"/>
      <w:numFmt w:val="lowerLetter"/>
      <w:start w:val="26"/>
    </w:lvl>
  </w:abstractNum>
  <w:abstractNum w:abstractNumId="18">
    <w:nsid w:val="7C3DBD3D"/>
    <w:multiLevelType w:val="hybridMultilevel"/>
    <w:lvl w:ilvl="0">
      <w:lvlJc w:val="left"/>
      <w:lvlText w:val="(%1)"/>
      <w:numFmt w:val="lowerLetter"/>
      <w:start w:val="27"/>
    </w:lvl>
  </w:abstractNum>
  <w:abstractNum w:abstractNumId="19">
    <w:nsid w:val="737B8DDC"/>
    <w:multiLevelType w:val="hybridMultilevel"/>
    <w:lvl w:ilvl="0">
      <w:lvlJc w:val="left"/>
      <w:lvlText w:val="(%1)"/>
      <w:numFmt w:val="lowerLetter"/>
      <w:start w:val="30"/>
    </w:lvl>
  </w:abstractNum>
  <w:abstractNum w:abstractNumId="20">
    <w:nsid w:val="6CEAF087"/>
    <w:multiLevelType w:val="hybridMultilevel"/>
    <w:lvl w:ilvl="0">
      <w:lvlJc w:val="left"/>
      <w:lvlText w:val="%1"/>
      <w:numFmt w:val="decimal"/>
      <w:start w:val="1"/>
    </w:lvl>
    <w:lvl w:ilvl="1">
      <w:lvlJc w:val="left"/>
      <w:lvlText w:val="(%2)"/>
      <w:numFmt w:val="lowerLetter"/>
      <w:start w:val="35"/>
    </w:lvl>
  </w:abstractNum>
  <w:abstractNum w:abstractNumId="21">
    <w:nsid w:val="22221A70"/>
    <w:multiLevelType w:val="hybridMultilevel"/>
    <w:lvl w:ilvl="0">
      <w:lvlJc w:val="left"/>
      <w:lvlText w:val="%1."/>
      <w:numFmt w:val="decimal"/>
      <w:start w:val="5"/>
    </w:lvl>
    <w:lvl w:ilvl="1">
      <w:lvlJc w:val="left"/>
      <w:lvlText w:val="(%2)"/>
      <w:numFmt w:val="lowerLetter"/>
      <w:start w:val="1"/>
    </w:lvl>
  </w:abstractNum>
  <w:abstractNum w:abstractNumId="22">
    <w:nsid w:val="4516DDE9"/>
    <w:multiLevelType w:val="hybridMultilevel"/>
    <w:lvl w:ilvl="0">
      <w:lvlJc w:val="left"/>
      <w:lvlText w:val="(%1)"/>
      <w:numFmt w:val="lowerLetter"/>
      <w:start w:val="2"/>
    </w:lvl>
  </w:abstractNum>
  <w:abstractNum w:abstractNumId="23">
    <w:nsid w:val="3006C83E"/>
    <w:multiLevelType w:val="hybridMultilevel"/>
    <w:lvl w:ilvl="0">
      <w:lvlJc w:val="left"/>
      <w:lvlText w:val="(%1)"/>
      <w:numFmt w:val="lowerLetter"/>
      <w:start w:val="6"/>
    </w:lvl>
  </w:abstractNum>
  <w:abstractNum w:abstractNumId="24">
    <w:nsid w:val="614FD4A1"/>
    <w:multiLevelType w:val="hybridMultilevel"/>
    <w:lvl w:ilvl="0">
      <w:lvlJc w:val="left"/>
      <w:lvlText w:val="(%1)"/>
      <w:numFmt w:val="lowerLetter"/>
      <w:start w:val="10"/>
    </w:lvl>
  </w:abstractNum>
  <w:abstractNum w:abstractNumId="25">
    <w:nsid w:val="419AC241"/>
    <w:multiLevelType w:val="hybridMultilevel"/>
    <w:lvl w:ilvl="0">
      <w:lvlJc w:val="left"/>
      <w:lvlText w:val="(%1)"/>
      <w:numFmt w:val="lowerLetter"/>
      <w:start w:val="12"/>
    </w:lvl>
  </w:abstractNum>
  <w:abstractNum w:abstractNumId="26">
    <w:nsid w:val="5577F8E1"/>
    <w:multiLevelType w:val="hybridMultilevel"/>
    <w:lvl w:ilvl="0">
      <w:lvlJc w:val="left"/>
      <w:lvlText w:val="(%1)"/>
      <w:numFmt w:val="lowerLetter"/>
      <w:start w:val="14"/>
    </w:lvl>
  </w:abstractNum>
  <w:abstractNum w:abstractNumId="27">
    <w:nsid w:val="440BADFC"/>
    <w:multiLevelType w:val="hybridMultilevel"/>
    <w:lvl w:ilvl="0">
      <w:lvlJc w:val="left"/>
      <w:lvlText w:val="(%1)"/>
      <w:numFmt w:val="lowerLetter"/>
      <w:start w:val="18"/>
    </w:lvl>
  </w:abstractNum>
  <w:abstractNum w:abstractNumId="28">
    <w:nsid w:val="5072367"/>
    <w:multiLevelType w:val="hybridMultilevel"/>
    <w:lvl w:ilvl="0">
      <w:lvlJc w:val="left"/>
      <w:lvlText w:val="%1."/>
      <w:numFmt w:val="decimal"/>
      <w:start w:val="6"/>
    </w:lvl>
    <w:lvl w:ilvl="1">
      <w:lvlJc w:val="left"/>
      <w:lvlText w:val="(%2)"/>
      <w:numFmt w:val="lowerLetter"/>
      <w:start w:val="1"/>
    </w:lvl>
  </w:abstractNum>
  <w:abstractNum w:abstractNumId="29">
    <w:nsid w:val="3804823E"/>
    <w:multiLevelType w:val="hybridMultilevel"/>
    <w:lvl w:ilvl="0">
      <w:lvlJc w:val="left"/>
      <w:lvlText w:val="(%1)"/>
      <w:numFmt w:val="lowerLetter"/>
      <w:start w:val="3"/>
    </w:lvl>
    <w:lvl w:ilvl="1">
      <w:lvlJc w:val="left"/>
      <w:lvlText w:val="(%2)"/>
      <w:numFmt w:val="lowerRoman"/>
      <w:start w:val="1"/>
    </w:lvl>
  </w:abstractNum>
  <w:abstractNum w:abstractNumId="30">
    <w:nsid w:val="77465F01"/>
    <w:multiLevelType w:val="hybridMultilevel"/>
    <w:lvl w:ilvl="0">
      <w:lvlJc w:val="left"/>
      <w:lvlText w:val="(%1)"/>
      <w:numFmt w:val="lowerLetter"/>
      <w:start w:val="6"/>
    </w:lvl>
  </w:abstractNum>
  <w:abstractNum w:abstractNumId="31">
    <w:nsid w:val="7724C67E"/>
    <w:multiLevelType w:val="hybridMultilevel"/>
    <w:lvl w:ilvl="0">
      <w:lvlJc w:val="left"/>
      <w:lvlText w:val="%1."/>
      <w:numFmt w:val="decimal"/>
      <w:start w:val="8"/>
    </w:lvl>
    <w:lvl w:ilvl="1">
      <w:lvlJc w:val="left"/>
      <w:lvlText w:val="(%2)"/>
      <w:numFmt w:val="lowerLetter"/>
      <w:start w:val="1"/>
    </w:lvl>
  </w:abstractNum>
  <w:abstractNum w:abstractNumId="32">
    <w:nsid w:val="5C482A97"/>
    <w:multiLevelType w:val="hybridMultilevel"/>
    <w:lvl w:ilvl="0">
      <w:lvlJc w:val="left"/>
      <w:lvlText w:val="%1"/>
      <w:numFmt w:val="lowerLetter"/>
      <w:start w:val="1"/>
    </w:lvl>
    <w:lvl w:ilvl="1">
      <w:lvlJc w:val="left"/>
      <w:lvlText w:val="(%2)"/>
      <w:numFmt w:val="lowerLetter"/>
      <w:start w:val="3"/>
    </w:lvl>
  </w:abstractNum>
  <w:abstractNum w:abstractNumId="33">
    <w:nsid w:val="2463B9EA"/>
    <w:multiLevelType w:val="hybridMultilevel"/>
    <w:lvl w:ilvl="0">
      <w:lvlJc w:val="left"/>
      <w:lvlText w:val="(%1)"/>
      <w:numFmt w:val="lowerLetter"/>
      <w:start w:val="4"/>
    </w:lvl>
    <w:lvl w:ilvl="1">
      <w:lvlJc w:val="left"/>
      <w:lvlText w:val="(%2)"/>
      <w:numFmt w:val="lowerLetter"/>
      <w:start w:val="4"/>
    </w:lvl>
  </w:abstractNum>
  <w:abstractNum w:abstractNumId="34">
    <w:nsid w:val="5E884ADC"/>
    <w:multiLevelType w:val="hybridMultilevel"/>
    <w:lvl w:ilvl="0">
      <w:lvlJc w:val="left"/>
      <w:lvlText w:val="%1."/>
      <w:numFmt w:val="decimal"/>
      <w:start w:val="9"/>
    </w:lvl>
    <w:lvl w:ilvl="1">
      <w:lvlJc w:val="left"/>
      <w:lvlText w:val="(%2)"/>
      <w:numFmt w:val="lowerLetter"/>
      <w:start w:val="1"/>
    </w:lvl>
  </w:abstractNum>
  <w:abstractNum w:abstractNumId="35">
    <w:nsid w:val="51EAD36B"/>
    <w:multiLevelType w:val="hybridMultilevel"/>
    <w:lvl w:ilvl="0">
      <w:lvlJc w:val="left"/>
      <w:lvlText w:val="%1"/>
      <w:numFmt w:val="lowerLetter"/>
      <w:start w:val="1"/>
    </w:lvl>
    <w:lvl w:ilvl="1">
      <w:lvlJc w:val="left"/>
      <w:lvlText w:val="%2."/>
      <w:numFmt w:val="decimal"/>
      <w:start w:val="10"/>
    </w:lvl>
  </w:abstractNum>
  <w:abstractNum w:abstractNumId="36">
    <w:nsid w:val="2D517796"/>
    <w:multiLevelType w:val="hybridMultilevel"/>
    <w:lvl w:ilvl="0">
      <w:lvlJc w:val="left"/>
      <w:lvlText w:val="(%1)"/>
      <w:numFmt w:val="lowerLetter"/>
      <w:start w:val="2"/>
    </w:lvl>
    <w:lvl w:ilvl="1">
      <w:lvlJc w:val="left"/>
      <w:lvlText w:val="%2."/>
      <w:numFmt w:val="decimal"/>
      <w:start w:val="14"/>
    </w:lvl>
  </w:abstractNum>
  <w:abstractNum w:abstractNumId="37">
    <w:nsid w:val="580BD78F"/>
    <w:multiLevelType w:val="hybridMultilevel"/>
    <w:lvl w:ilvl="0">
      <w:lvlJc w:val="left"/>
      <w:lvlText w:val="%1."/>
      <w:numFmt w:val="decimal"/>
      <w:start w:val="15"/>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bullet"/>
      <w:start w:val="1"/>
    </w:lvl>
  </w:abstractNum>
  <w:abstractNum w:abstractNumId="40">
    <w:nsid w:val="70A64E2A"/>
    <w:multiLevelType w:val="hybridMultilevel"/>
    <w:lvl w:ilvl="0">
      <w:lvlJc w:val="left"/>
      <w:lvlText w:val="2"/>
      <w:numFmt w:val="bullet"/>
      <w:start w:val="1"/>
    </w:lvl>
  </w:abstractNum>
  <w:abstractNum w:abstractNumId="41">
    <w:nsid w:val="6A2342EC"/>
    <w:multiLevelType w:val="hybridMultilevel"/>
    <w:lvl w:ilvl="0">
      <w:lvlJc w:val="left"/>
      <w:lvlText w:val="&amp;"/>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2021-08-17T09:16:18Z</dcterms:created>
  <dcterms:modified xsi:type="dcterms:W3CDTF">2021-08-17T09:16:18Z</dcterms:modified>
</cp:coreProperties>
</file>