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ind w:left="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Material Change Report dated March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March 28, 2022 by a newswire company in Canada.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586105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367" w:lineRule="exact"/>
        <w:rPr>
          <w:sz w:val="20"/>
          <w:szCs w:val="20"/>
          <w:color w:val="auto"/>
        </w:rPr>
      </w:pPr>
    </w:p>
    <w:p>
      <w:pPr>
        <w:jc w:val="center"/>
        <w:ind w:left="340" w:right="2620"/>
        <w:spacing w:after="0" w:line="265" w:lineRule="auto"/>
        <w:rPr>
          <w:sz w:val="20"/>
          <w:szCs w:val="20"/>
          <w:color w:val="auto"/>
        </w:rPr>
      </w:pPr>
      <w:r>
        <w:rPr>
          <w:rFonts w:ascii="Arial" w:cs="Arial" w:eastAsia="Arial" w:hAnsi="Arial"/>
          <w:sz w:val="25"/>
          <w:szCs w:val="25"/>
          <w:b w:val="1"/>
          <w:bCs w:val="1"/>
          <w:color w:val="auto"/>
        </w:rPr>
        <w:t>Bitfarms Reports Revenues Up 426% to $60 Million for Q4 2021 and Up 388% to $169 million in 2021 vs. Prior Periods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Mined 3,453 Bitcoin in 2021 at an Average Cost of $8,100/Bitcoin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Net Income improved to $10 million in Q4 2021, up from Net Loss of $5 million in Q4 2020 -</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Adjusted EBITDA increased to $44 million in Q4 2021, up from $4 million in Q4 2020 -</w:t>
      </w:r>
    </w:p>
    <w:p>
      <w:pPr>
        <w:spacing w:after="0" w:line="225" w:lineRule="exact"/>
        <w:rPr>
          <w:sz w:val="20"/>
          <w:szCs w:val="20"/>
          <w:color w:val="auto"/>
        </w:rPr>
      </w:pPr>
    </w:p>
    <w:p>
      <w:pPr>
        <w:ind w:left="660" w:right="92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(March 28,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its financial results for the quarter ended December 31, 2021. All financial references are in US dollars. During Q4 2021, Bitfarms mined 1,045 Bitcoin (BTC) at an average cost of production of $8,000/BTC*. For the full year 2021, Bitfarms mined 3,453 BTC at an average cost of production of $8,100/BTC.</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“2021 marked a year of exceptional growth as we delivered fourth quarter and full-year 2021 revenue increases of 426% and 388%, respectively, compared to the same periods in 2020,” said Geoff Morphy, Bitfarms’ President and COO. “We drove growth by increasing our hashrate 131% in 2021, and we estimate that we expanded our market share from ~0.6% share of the BTC network to ~1.2% share from year-end 2020 to year-end 2021. From our original base of operations in Canada, we have made significant investments in the United States, Paraguay, and Argentina. We also strengthened management with newly created executive positions internationally in key areas of special projects, human resources, marketing, and corporate affairs.</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2022, we are better positioned than ever to scale our global operations and continue to invest aggressively to cost-effectively gain market share. As of March 25</w:t>
      </w:r>
      <w:r>
        <w:rPr>
          <w:rFonts w:ascii="Arial" w:cs="Arial" w:eastAsia="Arial" w:hAnsi="Arial"/>
          <w:sz w:val="28"/>
          <w:szCs w:val="28"/>
          <w:color w:val="auto"/>
          <w:vertAlign w:val="superscript"/>
        </w:rPr>
        <w:t>th</w:t>
      </w:r>
      <w:r>
        <w:rPr>
          <w:rFonts w:ascii="Arial" w:cs="Arial" w:eastAsia="Arial" w:hAnsi="Arial"/>
          <w:sz w:val="17"/>
          <w:szCs w:val="17"/>
          <w:color w:val="auto"/>
        </w:rPr>
        <w:t>, our hashrate is 2.7 exahash per second (EH/s), up 23% for the year-to-date, and continues to outpace the BTC network’s 20% growth over the same period. With eight farms currently in production and a total of 10 planned to be operational this year, we expect to exceed 3 EH/s in early April and are continuing to work towards achieving our target of 8 EH/s by year-end 2022,” added Geoff Morphy.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Q4 2021 and Recent Financial Highlights</w:t>
      </w:r>
    </w:p>
    <w:p>
      <w:pPr>
        <w:spacing w:after="0" w:line="229" w:lineRule="exact"/>
        <w:rPr>
          <w:sz w:val="20"/>
          <w:szCs w:val="20"/>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Increased total revenues to $60 million, up 33%, from $45 million in Q3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Improved Q4 2021 net income to $10 million, up from net loss of $5 million in Q4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Increased gross mining margin** to 84%, up from 82% in Q3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Improved Adjusted EBITDA**, to $44 million, or 74% of revenue, up from $32 million, or 71% of revenue, in Q3 2021.</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At December 31, 2021, held $126 million in cash and 3,301 BTC valued at approximately $153 million, based upon a Bitcoin price of approximately $46,300 as reported by Coinmarketcap.com at December 31, 2021, and had working capital of $186 million.</w:t>
      </w: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Secured $100 million BTC-backed credit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On January 6, 2022, purchased 1,000 BTC for $43 million, adding to BTC treasury holdings.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On February 24, 2022, entered into a $32 million equipment financing agreement.</w:t>
      </w:r>
    </w:p>
    <w:p>
      <w:pPr>
        <w:spacing w:after="0" w:line="210" w:lineRule="exact"/>
        <w:rPr>
          <w:rFonts w:ascii="Arial" w:cs="Arial" w:eastAsia="Arial" w:hAnsi="Arial"/>
          <w:sz w:val="18"/>
          <w:szCs w:val="18"/>
          <w:color w:val="auto"/>
        </w:rPr>
      </w:pPr>
    </w:p>
    <w:p>
      <w:pPr>
        <w:ind w:left="340" w:right="20" w:hanging="324"/>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Represents the direct cost of Bitcoin based on the total electricity costs and hosting costs related to the Mining of Bitcoin, excluding electricity</w:t>
      </w:r>
      <w:r>
        <w:rPr>
          <w:rFonts w:ascii="Arial" w:cs="Arial" w:eastAsia="Arial" w:hAnsi="Arial"/>
          <w:sz w:val="18"/>
          <w:szCs w:val="18"/>
          <w:color w:val="auto"/>
        </w:rPr>
        <w:t xml:space="preserve"> </w:t>
      </w:r>
      <w:r>
        <w:rPr>
          <w:rFonts w:ascii="Arial" w:cs="Arial" w:eastAsia="Arial" w:hAnsi="Arial"/>
          <w:sz w:val="18"/>
          <w:szCs w:val="18"/>
          <w:i w:val="1"/>
          <w:iCs w:val="1"/>
          <w:color w:val="auto"/>
        </w:rPr>
        <w:t>consumed by hosting clients, divided by the total number of Bitcoin mined.</w:t>
      </w:r>
    </w:p>
    <w:p>
      <w:pPr>
        <w:spacing w:after="0" w:line="1"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Gross mining margin, EBITDA, EBITDA margin, Adjusted EBITDA and Adjusted EBITDA margin are non-IFRS financial measures and should be read in conjunction with, and should not be viewed as alternatives to or replacements of, measures of operating results and liquidity presented in accordance with IFRS and refer readers to reconciliations of Non-IFRS measures included in the Company’s MD&amp;A.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Operating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by March 25, 2022, as compared to December 31, 2021:</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2.7 EH/s hashrate, up 23% from 2.2 EH/s.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121 MW in production on 8 farms, up from 106 MW on 6 farms.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and installed over 7,000 miners in Q4 2021.</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Nearly 11,000 miners received or are in transit to date in 2022, with the majority now in production and other installations underway at multiple farms.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production at The Bunker in the City of Sherbrooke, Québec, adding capacity of 12 MW.</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additional location, known as Garlock, in the City of Sherbrooke, to develop an 18 MW facility intended to replace the existing de la Pointe facility scheduled to be retired in February 2023.</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Commenced production at 10 MW farm in Paraguay.</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management team to support growth with the additions of VP Special Projects, VP Human Resources, VP Marketing, and VP Corporate Affairs.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2022 Expansion Plan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its existing orders of miners and contracted infrastructure expansion have the potential to produce approximately 7.2 EH/s by the end of 2022, based upon the current facility development and deployment schedule that includes the construction of two warehouse facilities in Rio Cuarto, Argentina, currently expected to be operational in December 2021. The Company continues to develop opportunities, including additions and alternatives to its currently contracted infrastructure expansion, to reach its 8.0 EH/s target by year-end. Achievement of these targets is dependent on meeting construction timelines and sourcing of supplies.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develop our farms, we assess the cost effectiveness of our expansion on an ongoing basis. In Argentina, we are reviewing the short-term and long-term impact of higher global energy prices witnessed since the start of 2022 and our ability to utilize up to 210 megawatts (MW) of infrastructure capacity in 2022 at previously anticipated rates,” noted Geoff Morphy. “Opportunities are being assessed continually in all of our current geographic regions to implement cost effective growth in light of market conditions,” added Morphy.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16, 2021, the Company entered into and commenced an offering agreement with H.C. Wainwright &amp; Co., LLC (the “</w:t>
      </w:r>
      <w:r>
        <w:rPr>
          <w:rFonts w:ascii="Arial" w:cs="Arial" w:eastAsia="Arial" w:hAnsi="Arial"/>
          <w:sz w:val="18"/>
          <w:szCs w:val="18"/>
          <w:b w:val="1"/>
          <w:bCs w:val="1"/>
          <w:color w:val="auto"/>
        </w:rPr>
        <w:t>Agent</w:t>
      </w:r>
      <w:r>
        <w:rPr>
          <w:rFonts w:ascii="Arial" w:cs="Arial" w:eastAsia="Arial" w:hAnsi="Arial"/>
          <w:sz w:val="18"/>
          <w:szCs w:val="18"/>
          <w:color w:val="auto"/>
        </w:rPr>
        <w:t>”) as agent, pursuant to which the Company established an at-the-market equity program (the “</w:t>
      </w:r>
      <w:r>
        <w:rPr>
          <w:rFonts w:ascii="Arial" w:cs="Arial" w:eastAsia="Arial" w:hAnsi="Arial"/>
          <w:sz w:val="18"/>
          <w:szCs w:val="18"/>
          <w:b w:val="1"/>
          <w:bCs w:val="1"/>
          <w:color w:val="auto"/>
        </w:rPr>
        <w:t>ATM Program</w:t>
      </w:r>
      <w:r>
        <w:rPr>
          <w:rFonts w:ascii="Arial" w:cs="Arial" w:eastAsia="Arial" w:hAnsi="Arial"/>
          <w:sz w:val="18"/>
          <w:szCs w:val="18"/>
          <w:color w:val="auto"/>
        </w:rPr>
        <w:t>”). From the commencement of the ATM Program through September 30, 2021, the Company issued 6,329,615 common shares in exchange for gross proceeds of $36.4 million, at an average share price of approximately $5.75, and received net proceeds of $35.2 million after paying commissions of $1.1 million to the Agent and incurring 0.1 million of other transaction fees.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December 31, 2021, the Company issued 17,593,313 common shares in exchange for gross proceeds of $113.9 million, at an average share price of approximately $6.47, and received net proceeds of $110.4 million after paying commissions of $3.4 million to the Agent and incurring $0.1 million of other transaction fees.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Subsequent to quarter-end through March 25, 2022, the Company issued 6,445,709 common shares in exchange for gross proceeds of $25.6 million, at an average share price of approximately $3.97, and received net proceeds of $24.8 million after paying commissions of $0.8 million to the Agent and incurring $25,000 of other transaction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Overall, from its commencement through March 28, 2022, total gross proceeds of $175.9 million have been raised under the ATM Program.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financing activities included initiating a $100 million BTC-backed credit facility on December 31, 2021, of which $60 million has been drawn and is outstanding, and entering into a $32 million equipment financing agreement on February 24,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support our ongoing growth, we have sought to implement a balanced and flexible financing strategy comprised of an opportunistic mix of equity, via our ATM, and non-dilutive, non-recourse, debt financing,” said Jeffrey Lucas, CFO of Bitfarms.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Q4 2021, the Company generated revenues of $60 million, up $48 million, or 426%, compared to Q4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Q4 2021 gross mining profit and gross mining margin were $49 million and 84%, compared to $5 million and 53% in Q4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Q4 2021, the Company mined 1,045 BTC for an average cost of production per BTC of $8,000 in Q4 2021, compared to $7,500 in Q4 2020.</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Q4 2021 was $15 million, compared to $366,000 in Q4 2020. Q4 2021 net income was $10 million, or $0.05 per diluted share, compared to a net loss of $5 million, or $(0.06) per diluted share, in Q4 2020. Q4 2021 EBITDA and EBITDA margin were $29 million and 49%, up from a loss of $500,000 and negative 4% in Q4 2020, respectively. Q4 2021 Adjusted EBITDA was $44 million, resulting in an Adjusted EBITDA margin of 74%, compared to $4 million and 31% in Q4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Company held $126 million in cash and 3,301 BTC, of which 1,875 collateralized $60 million in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Year-ended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2021, the Company generated revenues of $169 million, up $134 million, or 383%, compared to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2021 gross profit was $111 million, or 66% gross margin, compared to $3 million, or 8% gross margin,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2021, the Company mined 3,453 Bitcoin for an average cost of production per BTC of $8,100 in 2021.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was $64 million in 2021, compared to a loss of $7 million in 2020. Net income was $22 million, or $0.13 per diluted share, in 2021, compared to a loss of $16 million, or $(0.19) per share, in 2020. EBITDA was $71 million, with EBITDA margin of 42% compared to $1 million, with EBITDA margin of 4%, in 2020. Adjusted EBITDA was $119 million, with f70% Adjusted EBITDA margin, compared to $8 million, and 23% Adjusted EBITDA margin,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Production per BTC in 2021 (Rounded to nearest $100)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00" w:type="dxa"/>
            <w:vAlign w:val="bottom"/>
          </w:tcPr>
          <w:p>
            <w:pPr>
              <w:jc w:val="right"/>
              <w:ind w:right="210"/>
              <w:spacing w:after="0"/>
              <w:rPr>
                <w:sz w:val="20"/>
                <w:szCs w:val="20"/>
                <w:color w:val="auto"/>
              </w:rPr>
            </w:pPr>
            <w:r>
              <w:rPr>
                <w:rFonts w:ascii="Arial" w:cs="Arial" w:eastAsia="Arial" w:hAnsi="Arial"/>
                <w:sz w:val="18"/>
                <w:szCs w:val="18"/>
                <w:color w:val="auto"/>
              </w:rPr>
              <w:t>Q4 2021:</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Q3 2021:</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ind w:right="198"/>
              <w:spacing w:after="0"/>
              <w:rPr>
                <w:sz w:val="20"/>
                <w:szCs w:val="20"/>
                <w:color w:val="auto"/>
              </w:rPr>
            </w:pPr>
            <w:r>
              <w:rPr>
                <w:rFonts w:ascii="Arial" w:cs="Arial" w:eastAsia="Arial" w:hAnsi="Arial"/>
                <w:sz w:val="18"/>
                <w:szCs w:val="18"/>
                <w:color w:val="auto"/>
              </w:rPr>
              <w:t>Q2 2021:</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gridSpan w:val="2"/>
          </w:tcPr>
          <w:p>
            <w:pPr>
              <w:ind w:left="420"/>
              <w:spacing w:after="0"/>
              <w:rPr>
                <w:sz w:val="20"/>
                <w:szCs w:val="20"/>
                <w:color w:val="auto"/>
              </w:rPr>
            </w:pPr>
            <w:r>
              <w:rPr>
                <w:rFonts w:ascii="Arial" w:cs="Arial" w:eastAsia="Arial" w:hAnsi="Arial"/>
                <w:sz w:val="18"/>
                <w:szCs w:val="18"/>
                <w:color w:val="auto"/>
              </w:rPr>
              <w:t>Q1 2021:</w:t>
            </w:r>
          </w:p>
        </w:tc>
      </w:tr>
      <w:tr>
        <w:trPr>
          <w:trHeight w:val="216"/>
        </w:trPr>
        <w:tc>
          <w:tcPr>
            <w:tcW w:w="2000" w:type="dxa"/>
            <w:vAlign w:val="bottom"/>
            <w:tcBorders>
              <w:top w:val="single" w:sz="8" w:color="auto"/>
            </w:tcBorders>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7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73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Bitfarms’ average cost of production for all of 2021 was $8,100, among the lowest known in the industry. The cost of production in Q3 2021 was lower than other 2021 quarterly periods primarily due to disruptions during that period in China that affected the global BTC network.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Management will host a conference call and live webcast with accompanying presentation today, Monday, March 28, 11 a.m. ET to review the financial results. Following management’s formal remarks there will be a live question-and-answer session, which may include pre-submitted questions. The conference call will also be available through a live webcast found here: Live Webcast .</w:t>
      </w:r>
    </w:p>
    <w:p>
      <w:pPr>
        <w:spacing w:after="0" w:line="184" w:lineRule="exact"/>
        <w:rPr>
          <w:sz w:val="20"/>
          <w:szCs w:val="20"/>
          <w:color w:val="auto"/>
        </w:rPr>
      </w:pPr>
    </w:p>
    <w:p>
      <w:pPr>
        <w:jc w:val="both"/>
        <w:ind w:left="20" w:hanging="11"/>
        <w:spacing w:after="0" w:line="259" w:lineRule="auto"/>
        <w:rPr>
          <w:sz w:val="20"/>
          <w:szCs w:val="20"/>
          <w:color w:val="auto"/>
        </w:rPr>
      </w:pPr>
      <w:r>
        <w:rPr>
          <w:rFonts w:ascii="Arial" w:cs="Arial" w:eastAsia="Arial" w:hAnsi="Arial"/>
          <w:sz w:val="18"/>
          <w:szCs w:val="18"/>
          <w:color w:val="auto"/>
        </w:rPr>
        <w:t>The presentation can also be downloaded from the investors section of the website www.bitfarms.com. Registered participants received their dial in number upon registration and will dial directly into the call without delay. Those without internet access or unable to pre-register may dial in by calling: 1-866-777-2509 (domestic), 1-412-317-5413 (international). All callers should dial in approximately 10 minutes prior to the scheduled start time and ask to be joined into the Bitfarms call.</w:t>
      </w:r>
    </w:p>
    <w:p>
      <w:pPr>
        <w:spacing w:after="0" w:line="187" w:lineRule="exact"/>
        <w:rPr>
          <w:sz w:val="20"/>
          <w:szCs w:val="20"/>
          <w:color w:val="auto"/>
        </w:rPr>
      </w:pPr>
    </w:p>
    <w:p>
      <w:pPr>
        <w:jc w:val="both"/>
        <w:ind w:left="20" w:hanging="11"/>
        <w:spacing w:after="0" w:line="259" w:lineRule="auto"/>
        <w:rPr>
          <w:sz w:val="20"/>
          <w:szCs w:val="20"/>
          <w:color w:val="auto"/>
        </w:rPr>
      </w:pPr>
      <w:r>
        <w:rPr>
          <w:rFonts w:ascii="Arial" w:cs="Arial" w:eastAsia="Arial" w:hAnsi="Arial"/>
          <w:sz w:val="18"/>
          <w:szCs w:val="18"/>
          <w:color w:val="auto"/>
        </w:rPr>
        <w:t>A webcast replay of the call will be available approximately one hour after the end of the call and will be available for one year, at the above webcast link. A telephonic replay of the call will be available through April 4, 2022 and may be accessed by calling 1-877-344-7529 (domestic) or 1-412-317-0088 (international) or Canada (toll free) 855-669-9658 and using access code 4794660. A presentation of the Q4 2021 results will be accessible on Monday, March 28, 2022, under the “Investors” section of Bitfarms’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Bitfarms Ltd.</w:t>
      </w:r>
    </w:p>
    <w:p>
      <w:pPr>
        <w:spacing w:after="0" w:line="229" w:lineRule="exact"/>
        <w:rPr>
          <w:sz w:val="20"/>
          <w:szCs w:val="20"/>
          <w:color w:val="auto"/>
        </w:rPr>
      </w:pPr>
    </w:p>
    <w:p>
      <w:pPr>
        <w:jc w:val="both"/>
        <w:ind w:left="20" w:hanging="11"/>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left="20" w:hanging="11"/>
        <w:spacing w:after="0" w:line="259"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a Venture 50 Winner, placing first in the Technology sector.</w:t>
      </w:r>
    </w:p>
    <w:p>
      <w:pPr>
        <w:spacing w:after="0" w:line="187"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Operationally, Bitfarms has a diversified production platform with six industrial scale facilities located in Québec, one in Washington state, and one in Paraguay. Each facility is over 99% powered with environmentally friendly hydro power and secured with long term power contracts. Bitfarms is currently the only publicly traded pure-play crypto mining company audited by a Big Four accounting firm.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highlight w:val="white"/>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highlight w:val="white"/>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highlight w:val="white"/>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highlight w:val="white"/>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highlight w:val="white"/>
        </w:rPr>
        <w:t>Cautionary Statement</w:t>
      </w:r>
    </w:p>
    <w:p>
      <w:pPr>
        <w:spacing w:after="0" w:line="225" w:lineRule="exact"/>
        <w:rPr>
          <w:sz w:val="20"/>
          <w:szCs w:val="20"/>
          <w:color w:val="auto"/>
        </w:rPr>
      </w:pPr>
    </w:p>
    <w:p>
      <w:pPr>
        <w:jc w:val="both"/>
        <w:ind w:left="20" w:hanging="8"/>
        <w:spacing w:after="0" w:line="259" w:lineRule="auto"/>
        <w:rPr>
          <w:sz w:val="20"/>
          <w:szCs w:val="20"/>
          <w:color w:val="auto"/>
        </w:rPr>
      </w:pPr>
      <w:r>
        <w:rPr>
          <w:rFonts w:ascii="Arial" w:cs="Arial" w:eastAsia="Arial" w:hAnsi="Arial"/>
          <w:sz w:val="18"/>
          <w:szCs w:val="18"/>
          <w:i w:val="1"/>
          <w:iCs w:val="1"/>
          <w:color w:val="auto"/>
          <w:highlight w:val="white"/>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highlight w:val="white"/>
        </w:rPr>
        <w:t>Forward-Looking Statements</w:t>
      </w:r>
    </w:p>
    <w:p>
      <w:pPr>
        <w:spacing w:after="0" w:line="225" w:lineRule="exact"/>
        <w:rPr>
          <w:sz w:val="20"/>
          <w:szCs w:val="20"/>
          <w:color w:val="auto"/>
        </w:rPr>
      </w:pPr>
    </w:p>
    <w:p>
      <w:pPr>
        <w:jc w:val="both"/>
        <w:ind w:left="20" w:hanging="8"/>
        <w:spacing w:after="0" w:line="270"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benefits of acquiring and holding Bitcoin,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1" w:lineRule="exact"/>
        <w:rPr>
          <w:sz w:val="20"/>
          <w:szCs w:val="20"/>
          <w:color w:val="auto"/>
        </w:rPr>
      </w:pPr>
    </w:p>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left="20" w:hanging="8"/>
        <w:spacing w:after="0" w:line="283" w:lineRule="auto"/>
        <w:rPr>
          <w:sz w:val="20"/>
          <w:szCs w:val="20"/>
          <w:color w:val="auto"/>
        </w:rPr>
      </w:pPr>
      <w:r>
        <w:rPr>
          <w:rFonts w:ascii="Arial" w:cs="Arial" w:eastAsia="Arial" w:hAnsi="Arial"/>
          <w:sz w:val="16"/>
          <w:szCs w:val="16"/>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color w:val="auto"/>
        </w:rPr>
        <w:t>;</w:t>
      </w:r>
      <w:r>
        <w:rPr>
          <w:rFonts w:ascii="Arial" w:cs="Arial" w:eastAsia="Arial" w:hAnsi="Arial"/>
          <w:sz w:val="16"/>
          <w:szCs w:val="16"/>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w w:val="90"/>
              </w:rPr>
              <w:t>Bitfarms Ltd. Consolidated Results of Operations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(U.S.$ in thousands except where</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940" w:type="dxa"/>
            <w:vAlign w:val="bottom"/>
          </w:tcPr>
          <w:p>
            <w:pPr>
              <w:ind w:left="100"/>
              <w:spacing w:after="0"/>
              <w:rPr>
                <w:sz w:val="20"/>
                <w:szCs w:val="20"/>
                <w:color w:val="auto"/>
              </w:rPr>
            </w:pPr>
            <w:r>
              <w:rPr>
                <w:rFonts w:ascii="Arial" w:cs="Arial" w:eastAsia="Arial" w:hAnsi="Arial"/>
                <w:sz w:val="18"/>
                <w:szCs w:val="18"/>
                <w:color w:val="auto"/>
              </w:rPr>
              <w:t>indicated)</w:t>
            </w:r>
          </w:p>
        </w:tc>
        <w:tc>
          <w:tcPr>
            <w:tcW w:w="20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1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1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1"/>
              </w:rPr>
              <w:t>Twelve months ended</w:t>
            </w: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940" w:type="dxa"/>
            <w:vAlign w:val="bottom"/>
            <w:tcBorders>
              <w:right w:val="single" w:sz="8" w:color="auto"/>
            </w:tcBorders>
          </w:tcPr>
          <w:p>
            <w:pPr>
              <w:spacing w:after="0"/>
              <w:rPr>
                <w:sz w:val="17"/>
                <w:szCs w:val="17"/>
                <w:color w:val="auto"/>
              </w:rPr>
            </w:pPr>
          </w:p>
        </w:tc>
        <w:tc>
          <w:tcPr>
            <w:tcW w:w="74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Dec. 31</w:t>
            </w: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Dec. 31</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Borders>
              <w:right w:val="single" w:sz="8" w:color="auto"/>
            </w:tcBorders>
          </w:tcPr>
          <w:p>
            <w:pPr>
              <w:jc w:val="right"/>
              <w:ind w:right="530"/>
              <w:spacing w:after="0" w:line="198"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Dec. 31</w:t>
            </w: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Dec. 31</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right"/>
              <w:ind w:right="410"/>
              <w:spacing w:after="0" w:line="198"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 Change</w:t>
            </w:r>
          </w:p>
        </w:tc>
        <w:tc>
          <w:tcPr>
            <w:tcW w:w="11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 Change</w:t>
            </w: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29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59,598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11,324</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48,274</w:t>
            </w:r>
          </w:p>
        </w:tc>
        <w:tc>
          <w:tcPr>
            <w:tcW w:w="11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169,491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34,703</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134,788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Cost of sales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8,580</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12,033</w:t>
            </w:r>
          </w:p>
        </w:tc>
        <w:tc>
          <w:tcPr>
            <w:tcW w:w="11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58,371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31,830</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9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38,985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2,744</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36,241</w:t>
            </w:r>
          </w:p>
        </w:tc>
        <w:tc>
          <w:tcPr>
            <w:tcW w:w="112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111,120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2,873</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108,247</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Gross margin</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66%</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9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General and administrative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18,928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16,663</w:t>
            </w:r>
          </w:p>
        </w:tc>
        <w:tc>
          <w:tcPr>
            <w:tcW w:w="11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43,238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34,988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2"/>
        </w:trPr>
        <w:tc>
          <w:tcPr>
            <w:tcW w:w="2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Loss (gain) on disposition of digital</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289</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assets</w:t>
            </w:r>
          </w:p>
        </w:tc>
        <w:tc>
          <w:tcPr>
            <w:tcW w:w="7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202</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311%</w:t>
            </w:r>
          </w:p>
        </w:tc>
        <w:tc>
          <w:tcPr>
            <w:tcW w:w="7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377</w:t>
            </w: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revaluation of digital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3,869</w:t>
            </w:r>
          </w:p>
        </w:tc>
        <w:tc>
          <w:tcPr>
            <w:tcW w:w="11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6"/>
              </w:rPr>
              <w:t>Loss (gain) on disposition of property,</w:t>
            </w:r>
          </w:p>
        </w:tc>
        <w:tc>
          <w:tcPr>
            <w:tcW w:w="102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(753)</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(848)</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plant and equipment</w:t>
            </w:r>
          </w:p>
        </w:tc>
        <w:tc>
          <w:tcPr>
            <w:tcW w:w="1020" w:type="dxa"/>
            <w:vAlign w:val="bottom"/>
            <w:gridSpan w:val="2"/>
            <w:vMerge w:val="continue"/>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1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(523%)</w:t>
            </w:r>
          </w:p>
        </w:tc>
        <w:tc>
          <w:tcPr>
            <w:tcW w:w="1060" w:type="dxa"/>
            <w:vAlign w:val="bottom"/>
            <w:gridSpan w:val="2"/>
            <w:vMerge w:val="continue"/>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1,442</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(2,290)</w:t>
            </w: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294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Impairment on property, plant and</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74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1,800</w:t>
            </w:r>
          </w:p>
        </w:tc>
        <w:tc>
          <w:tcPr>
            <w:tcW w:w="11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78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Impairment reversal on property, plant</w:t>
            </w:r>
          </w:p>
        </w:tc>
        <w:tc>
          <w:tcPr>
            <w:tcW w:w="1020" w:type="dxa"/>
            <w:vAlign w:val="bottom"/>
            <w:gridSpan w:val="2"/>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(1,860)</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equipment</w:t>
            </w:r>
          </w:p>
        </w:tc>
        <w:tc>
          <w:tcPr>
            <w:tcW w:w="1020" w:type="dxa"/>
            <w:vAlign w:val="bottom"/>
            <w:tcBorders>
              <w:bottom w:val="single" w:sz="8" w:color="auto"/>
            </w:tcBorders>
            <w:gridSpan w:val="2"/>
            <w:vMerge w:val="continue"/>
          </w:tcPr>
          <w:p>
            <w:pPr>
              <w:spacing w:after="0"/>
              <w:rPr>
                <w:sz w:val="20"/>
                <w:szCs w:val="20"/>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29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14,638</w:t>
            </w:r>
          </w:p>
        </w:tc>
        <w:tc>
          <w:tcPr>
            <w:tcW w:w="112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63,640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(6,731)</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70,371</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Operating margin</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38%</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financial expenses (income)</w:t>
            </w:r>
          </w:p>
        </w:tc>
        <w:tc>
          <w:tcPr>
            <w:tcW w:w="10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(2,933)</w:t>
            </w:r>
          </w:p>
        </w:tc>
        <w:tc>
          <w:tcPr>
            <w:tcW w:w="10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5,456</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(8,389)</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21,003</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9,386</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11,617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9"/>
        </w:trPr>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Net income (loss) before income taxes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17,937</w:t>
            </w: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(5,090)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23,027</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452%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42,637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(16,117)</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58,754</w:t>
            </w:r>
          </w:p>
        </w:tc>
        <w:tc>
          <w:tcPr>
            <w:tcW w:w="100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8,260</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7,976</w:t>
            </w:r>
          </w:p>
        </w:tc>
        <w:tc>
          <w:tcPr>
            <w:tcW w:w="1120" w:type="dxa"/>
            <w:vAlign w:val="bottom"/>
            <w:tcBorders>
              <w:bottom w:val="single" w:sz="8" w:color="auto"/>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20,507</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20,335</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0"/>
        </w:trPr>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9,677</w:t>
            </w: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(5,374)</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15,051</w:t>
            </w:r>
          </w:p>
        </w:tc>
        <w:tc>
          <w:tcPr>
            <w:tcW w:w="11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280%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22,130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(16,289)</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38,419</w:t>
            </w: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Diluted earnings (loss) per share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(0.06)</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(0.19)</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40" w:type="dxa"/>
            <w:vAlign w:val="bottom"/>
            <w:tcBorders>
              <w:right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 xml:space="preserve">Gross mining profit </w:t>
            </w:r>
            <w:r>
              <w:rPr>
                <w:rFonts w:ascii="Arial" w:cs="Arial" w:eastAsia="Arial" w:hAnsi="Arial"/>
                <w:sz w:val="28"/>
                <w:szCs w:val="28"/>
                <w:color w:val="auto"/>
                <w:vertAlign w:val="superscript"/>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49,055</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5,461</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43,594</w:t>
            </w:r>
          </w:p>
        </w:tc>
        <w:tc>
          <w:tcPr>
            <w:tcW w:w="11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134,884</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13,782</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121,102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56"/>
        </w:trPr>
        <w:tc>
          <w:tcPr>
            <w:tcW w:w="2940" w:type="dxa"/>
            <w:vAlign w:val="bottom"/>
            <w:tcBorders>
              <w:right w:val="single" w:sz="8" w:color="auto"/>
            </w:tcBorders>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40" w:type="dxa"/>
            <w:vAlign w:val="bottom"/>
            <w:tcBorders>
              <w:right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29,061</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29,561</w:t>
            </w:r>
          </w:p>
        </w:tc>
        <w:tc>
          <w:tcPr>
            <w:tcW w:w="112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70,533</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1,473</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69,060</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7"/>
        </w:trPr>
        <w:tc>
          <w:tcPr>
            <w:tcW w:w="2940" w:type="dxa"/>
            <w:vAlign w:val="bottom"/>
            <w:tcBorders>
              <w:right w:val="single" w:sz="8" w:color="auto"/>
            </w:tcBorders>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940" w:type="dxa"/>
            <w:vAlign w:val="bottom"/>
            <w:tcBorders>
              <w:right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44,013</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3,556</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40,457</w:t>
            </w:r>
          </w:p>
        </w:tc>
        <w:tc>
          <w:tcPr>
            <w:tcW w:w="112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119,400</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8,019</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111,381</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7"/>
        </w:trPr>
        <w:tc>
          <w:tcPr>
            <w:tcW w:w="2940" w:type="dxa"/>
            <w:vAlign w:val="bottom"/>
            <w:tcBorders>
              <w:bottom w:val="single" w:sz="8" w:color="auto"/>
              <w:right w:val="single" w:sz="8" w:color="auto"/>
            </w:tcBorders>
          </w:tcPr>
          <w:p>
            <w:pPr>
              <w:spacing w:after="0" w:line="256"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74%</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70%</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-4362450</wp:posOffset>
            </wp:positionV>
            <wp:extent cx="8255" cy="4363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436308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-4362450</wp:posOffset>
            </wp:positionV>
            <wp:extent cx="8255" cy="4363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436308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22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mining profit, Gross mining margin, EBITDA, EBITDA margin, Adjusted EBITDA and Adjusted EBITDA margin, are non-IFRS performance measures; refer to the Non-IFRS Financial Performance Measures section of this MD&amp;A.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0220" w:type="dxa"/>
            <w:vAlign w:val="bottom"/>
            <w:gridSpan w:val="10"/>
          </w:tcPr>
          <w:p>
            <w:pPr>
              <w:jc w:val="center"/>
              <w:ind w:left="890"/>
              <w:spacing w:after="0"/>
              <w:rPr>
                <w:sz w:val="20"/>
                <w:szCs w:val="20"/>
                <w:color w:val="auto"/>
              </w:rPr>
            </w:pPr>
            <w:r>
              <w:rPr>
                <w:rFonts w:ascii="Arial" w:cs="Arial" w:eastAsia="Arial" w:hAnsi="Arial"/>
                <w:sz w:val="18"/>
                <w:szCs w:val="18"/>
                <w:b w:val="1"/>
                <w:bCs w:val="1"/>
                <w:color w:val="auto"/>
                <w:w w:val="92"/>
              </w:rPr>
              <w:t>Bitfarms Ltd. Reconciliation of Consolidated Net Income (loss) to EBITDA and Adjusted EBITDA</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0"/>
                <w:szCs w:val="20"/>
                <w:color w:val="auto"/>
              </w:rPr>
            </w:pPr>
            <w:r>
              <w:rPr>
                <w:rFonts w:ascii="Arial" w:cs="Arial" w:eastAsia="Arial" w:hAnsi="Arial"/>
                <w:sz w:val="18"/>
                <w:szCs w:val="18"/>
                <w:color w:val="auto"/>
              </w:rPr>
              <w:t>(U.S.$ in thousands except where</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260" w:type="dxa"/>
            <w:vAlign w:val="bottom"/>
          </w:tcPr>
          <w:p>
            <w:pPr>
              <w:spacing w:after="0"/>
              <w:rPr>
                <w:sz w:val="20"/>
                <w:szCs w:val="20"/>
                <w:color w:val="auto"/>
              </w:rPr>
            </w:pPr>
            <w:r>
              <w:rPr>
                <w:rFonts w:ascii="Arial" w:cs="Arial" w:eastAsia="Arial" w:hAnsi="Arial"/>
                <w:sz w:val="18"/>
                <w:szCs w:val="18"/>
                <w:color w:val="auto"/>
              </w:rPr>
              <w:t>indicated)</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Twelve months ended</w:t>
            </w: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260" w:type="dxa"/>
            <w:vAlign w:val="bottom"/>
            <w:tcBorders>
              <w:right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Dec. 31</w:t>
            </w:r>
          </w:p>
        </w:tc>
        <w:tc>
          <w:tcPr>
            <w:tcW w:w="96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Dec. 31</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Borders>
              <w:right w:val="single" w:sz="8" w:color="auto"/>
            </w:tcBorders>
          </w:tcPr>
          <w:p>
            <w:pPr>
              <w:jc w:val="right"/>
              <w:ind w:right="550"/>
              <w:spacing w:after="0" w:line="198"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8"/>
              </w:rPr>
              <w:t>Dec. 31</w:t>
            </w: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Dec. 31</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3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7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 Change</w:t>
            </w:r>
          </w:p>
        </w:tc>
        <w:tc>
          <w:tcPr>
            <w:tcW w:w="114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 Change</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17,937</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23,027</w:t>
            </w:r>
          </w:p>
        </w:tc>
        <w:tc>
          <w:tcPr>
            <w:tcW w:w="11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452%</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42,637</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(16,117)</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58,754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9"/>
        </w:trPr>
        <w:tc>
          <w:tcPr>
            <w:tcW w:w="3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837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1,756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(919)</w:t>
            </w:r>
          </w:p>
        </w:tc>
        <w:tc>
          <w:tcPr>
            <w:tcW w:w="11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(52%)</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3,420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6,104</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(2,684)</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10,287</w:t>
            </w: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7,453</w:t>
            </w:r>
          </w:p>
        </w:tc>
        <w:tc>
          <w:tcPr>
            <w:tcW w:w="11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263%</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24,476</w:t>
            </w: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11,486</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12,990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29,061</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29,561</w:t>
            </w:r>
          </w:p>
        </w:tc>
        <w:tc>
          <w:tcPr>
            <w:tcW w:w="11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nm</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70,533</w:t>
            </w: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1,473</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69,060</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9"/>
        </w:trPr>
        <w:tc>
          <w:tcPr>
            <w:tcW w:w="326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9,633</w:t>
            </w:r>
          </w:p>
        </w:tc>
        <w:tc>
          <w:tcPr>
            <w:tcW w:w="114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22,585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2,201</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20,384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3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Loss on revaluation of digital assets</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3,869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3,869</w:t>
            </w:r>
          </w:p>
        </w:tc>
        <w:tc>
          <w:tcPr>
            <w:tcW w:w="11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100%</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4,861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4,861</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26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Impairment on property, plant and</w:t>
            </w:r>
          </w:p>
        </w:tc>
        <w:tc>
          <w:tcPr>
            <w:tcW w:w="7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780" w:type="dxa"/>
            <w:vAlign w:val="bottom"/>
            <w:tcBorders>
              <w:right w:val="single" w:sz="8" w:color="auto"/>
            </w:tcBorders>
            <w:vMerge w:val="continue"/>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1,800</w:t>
            </w:r>
          </w:p>
        </w:tc>
        <w:tc>
          <w:tcPr>
            <w:tcW w:w="11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760" w:type="dxa"/>
            <w:vAlign w:val="bottom"/>
            <w:tcBorders>
              <w:right w:val="single" w:sz="8" w:color="auto"/>
            </w:tcBorders>
            <w:vMerge w:val="continue"/>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2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Impairment reversal on property, plant and</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(1,860)</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equipment</w:t>
            </w:r>
          </w:p>
        </w:tc>
        <w:tc>
          <w:tcPr>
            <w:tcW w:w="780" w:type="dxa"/>
            <w:vAlign w:val="bottom"/>
            <w:tcBorders>
              <w:right w:val="single" w:sz="8" w:color="auto"/>
            </w:tcBorders>
            <w:vMerge w:val="continue"/>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vMerge w:val="continue"/>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(1,860)</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Net financial expenses (income) and other</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3,653</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(4,406)</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21,481</w:t>
            </w: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17,136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394%</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44,013</w:t>
            </w: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3,556</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40,457</w:t>
            </w:r>
          </w:p>
        </w:tc>
        <w:tc>
          <w:tcPr>
            <w:tcW w:w="11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nm</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119,400</w:t>
            </w: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8,019</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111,381</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648"/>
        </w:trPr>
        <w:tc>
          <w:tcPr>
            <w:tcW w:w="3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80" w:type="dxa"/>
            <w:vAlign w:val="bottom"/>
            <w:gridSpan w:val="10"/>
          </w:tcPr>
          <w:p>
            <w:pPr>
              <w:jc w:val="right"/>
              <w:ind w:right="580"/>
              <w:spacing w:after="0"/>
              <w:rPr>
                <w:sz w:val="20"/>
                <w:szCs w:val="20"/>
                <w:color w:val="auto"/>
              </w:rPr>
            </w:pPr>
            <w:r>
              <w:rPr>
                <w:rFonts w:ascii="Arial" w:cs="Arial" w:eastAsia="Arial" w:hAnsi="Arial"/>
                <w:sz w:val="18"/>
                <w:szCs w:val="18"/>
                <w:b w:val="1"/>
                <w:bCs w:val="1"/>
                <w:color w:val="auto"/>
                <w:w w:val="99"/>
              </w:rPr>
              <w:t>Bitfarms Ltd. Calculation of Gross Mining Profit &amp; Gross Mining Margin</w:t>
            </w: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20" w:type="dxa"/>
            <w:vAlign w:val="bottom"/>
          </w:tcPr>
          <w:p>
            <w:pPr>
              <w:spacing w:after="0"/>
              <w:rPr>
                <w:sz w:val="20"/>
                <w:szCs w:val="20"/>
                <w:color w:val="auto"/>
              </w:rPr>
            </w:pPr>
            <w:r>
              <w:rPr>
                <w:rFonts w:ascii="Arial" w:cs="Arial" w:eastAsia="Arial" w:hAnsi="Arial"/>
                <w:sz w:val="18"/>
                <w:szCs w:val="18"/>
                <w:color w:val="auto"/>
                <w:w w:val="96"/>
              </w:rPr>
              <w:t>(U.S.$ in thousands except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120" w:type="dxa"/>
            <w:vAlign w:val="bottom"/>
          </w:tcPr>
          <w:p>
            <w:pPr>
              <w:ind w:left="180"/>
              <w:spacing w:after="0"/>
              <w:rPr>
                <w:sz w:val="20"/>
                <w:szCs w:val="20"/>
                <w:color w:val="auto"/>
              </w:rPr>
            </w:pPr>
            <w:r>
              <w:rPr>
                <w:rFonts w:ascii="Arial" w:cs="Arial" w:eastAsia="Arial" w:hAnsi="Arial"/>
                <w:sz w:val="18"/>
                <w:szCs w:val="18"/>
                <w:color w:val="auto"/>
              </w:rPr>
              <w:t>where indicated)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1"/>
              </w:rPr>
              <w:t>Three months ended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Twelve months ended</w:t>
            </w: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Arial" w:cs="Arial" w:eastAsia="Arial" w:hAnsi="Arial"/>
                <w:sz w:val="18"/>
                <w:szCs w:val="18"/>
                <w:color w:val="auto"/>
              </w:rPr>
              <w:t>For the periods ended as</w:t>
            </w:r>
          </w:p>
        </w:tc>
        <w:tc>
          <w:tcPr>
            <w:tcW w:w="100" w:type="dxa"/>
            <w:vAlign w:val="bottom"/>
            <w:tcBorders>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right"/>
              <w:ind w:right="330"/>
              <w:spacing w:after="0" w:line="198" w:lineRule="exact"/>
              <w:rPr>
                <w:sz w:val="20"/>
                <w:szCs w:val="20"/>
                <w:color w:val="auto"/>
              </w:rPr>
            </w:pPr>
            <w:r>
              <w:rPr>
                <w:rFonts w:ascii="Arial" w:cs="Arial" w:eastAsia="Arial" w:hAnsi="Arial"/>
                <w:sz w:val="18"/>
                <w:szCs w:val="18"/>
                <w:b w:val="1"/>
                <w:bCs w:val="1"/>
                <w:color w:val="auto"/>
                <w:w w:val="85"/>
              </w:rPr>
              <w:t>Dec. 31</w:t>
            </w:r>
          </w:p>
        </w:tc>
        <w:tc>
          <w:tcPr>
            <w:tcW w:w="90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rPr>
              <w:t>Dec.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Dec. 31</w:t>
            </w:r>
          </w:p>
        </w:tc>
        <w:tc>
          <w:tcPr>
            <w:tcW w:w="96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rPr>
              <w:t>Dec. 31</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Arial" w:cs="Arial" w:eastAsia="Arial" w:hAnsi="Arial"/>
                <w:sz w:val="18"/>
                <w:szCs w:val="18"/>
                <w:color w:val="auto"/>
              </w:rPr>
              <w:t>indicated</w:t>
            </w:r>
          </w:p>
        </w:tc>
        <w:tc>
          <w:tcPr>
            <w:tcW w:w="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 Change</w:t>
            </w:r>
          </w:p>
        </w:tc>
        <w:tc>
          <w:tcPr>
            <w:tcW w:w="12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6"/>
              </w:rPr>
              <w:t>% Change</w:t>
            </w:r>
          </w:p>
        </w:tc>
        <w:tc>
          <w:tcPr>
            <w:tcW w:w="104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38,985</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2,744</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36,241</w:t>
            </w:r>
          </w:p>
        </w:tc>
        <w:tc>
          <w:tcPr>
            <w:tcW w:w="1280" w:type="dxa"/>
            <w:vAlign w:val="bottom"/>
            <w:tcBorders>
              <w:bottom w:val="single" w:sz="8" w:color="auto"/>
              <w:right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i w:val="1"/>
                <w:iCs w:val="1"/>
                <w:color w:val="auto"/>
              </w:rPr>
              <w:t>nm</w:t>
            </w:r>
          </w:p>
        </w:tc>
        <w:tc>
          <w:tcPr>
            <w:tcW w:w="104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111,120</w:t>
            </w:r>
          </w:p>
        </w:tc>
        <w:tc>
          <w:tcPr>
            <w:tcW w:w="11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2,873</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108,247</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8"/>
                <w:szCs w:val="18"/>
                <w:color w:val="auto"/>
              </w:rPr>
              <w:t>Non-mining revenues (1)</w:t>
            </w: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(1,206)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12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0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(4,425)</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(2,637)</w:t>
            </w:r>
          </w:p>
        </w:tc>
        <w:tc>
          <w:tcPr>
            <w:tcW w:w="1060" w:type="dxa"/>
            <w:vAlign w:val="bottom"/>
          </w:tcPr>
          <w:p>
            <w:pPr>
              <w:jc w:val="right"/>
              <w:spacing w:after="0"/>
              <w:rPr>
                <w:sz w:val="20"/>
                <w:szCs w:val="20"/>
                <w:color w:val="auto"/>
              </w:rPr>
            </w:pPr>
            <w:r>
              <w:rPr>
                <w:rFonts w:ascii="Arial" w:cs="Arial" w:eastAsia="Arial" w:hAnsi="Arial"/>
                <w:sz w:val="18"/>
                <w:szCs w:val="18"/>
                <w:color w:val="auto"/>
              </w:rPr>
              <w:t>(1,788)</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0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gridSpan w:val="2"/>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10,287</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24,476</w:t>
            </w: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0" w:type="dxa"/>
            <w:vAlign w:val="bottom"/>
            <w:tcBorders>
              <w:right w:val="single" w:sz="8" w:color="auto"/>
            </w:tcBorders>
            <w:shd w:val="clear" w:color="auto" w:fill="CCEEFF"/>
          </w:tcPr>
          <w:p>
            <w:pPr>
              <w:spacing w:after="0"/>
              <w:rPr>
                <w:sz w:val="20"/>
                <w:szCs w:val="20"/>
                <w:color w:val="auto"/>
              </w:rPr>
            </w:pPr>
          </w:p>
        </w:tc>
        <w:tc>
          <w:tcPr>
            <w:tcW w:w="1120" w:type="dxa"/>
            <w:vAlign w:val="bottom"/>
            <w:tcBorders>
              <w:right w:val="single" w:sz="8" w:color="auto"/>
            </w:tcBorders>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2,834</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7,453</w:t>
            </w:r>
          </w:p>
        </w:tc>
        <w:tc>
          <w:tcPr>
            <w:tcW w:w="128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1040" w:type="dxa"/>
            <w:vAlign w:val="bottom"/>
            <w:tcBorders>
              <w:right w:val="single" w:sz="8" w:color="auto"/>
            </w:tcBorders>
            <w:vMerge w:val="continue"/>
            <w:shd w:val="clear" w:color="auto" w:fill="CCEEFF"/>
          </w:tcPr>
          <w:p>
            <w:pPr>
              <w:spacing w:after="0"/>
              <w:rPr>
                <w:sz w:val="20"/>
                <w:szCs w:val="20"/>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11,486</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12,990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21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Purchases of electrical</w:t>
            </w:r>
          </w:p>
        </w:tc>
        <w:tc>
          <w:tcPr>
            <w:tcW w:w="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560</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1,986</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components and other</w:t>
            </w:r>
          </w:p>
        </w:tc>
        <w:tc>
          <w:tcPr>
            <w:tcW w:w="1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gridSpan w:val="2"/>
            <w:vMerge w:val="continue"/>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2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40" w:type="dxa"/>
            <w:vAlign w:val="bottom"/>
            <w:tcBorders>
              <w:right w:val="single" w:sz="8" w:color="auto"/>
            </w:tcBorders>
            <w:vMerge w:val="continue"/>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1,153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Electrician salaries and</w:t>
            </w:r>
          </w:p>
        </w:tc>
        <w:tc>
          <w:tcPr>
            <w:tcW w:w="10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gridSpan w:val="2"/>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429</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1,727</w:t>
            </w: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payroll taxes</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right w:val="single" w:sz="8" w:color="auto"/>
            </w:tcBorders>
            <w:gridSpan w:val="2"/>
            <w:vMerge w:val="continue"/>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c>
          <w:tcPr>
            <w:tcW w:w="128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0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20"/>
                <w:szCs w:val="20"/>
                <w:color w:val="auto"/>
              </w:rPr>
            </w:pPr>
            <w:r>
              <w:rPr>
                <w:rFonts w:ascii="Arial" w:cs="Arial" w:eastAsia="Arial" w:hAnsi="Arial"/>
                <w:sz w:val="18"/>
                <w:szCs w:val="18"/>
                <w:color w:val="auto"/>
              </w:rPr>
              <w:t>Gross mining profit (2)</w:t>
            </w: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49,055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5,461</w:t>
            </w: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43,594</w:t>
            </w:r>
          </w:p>
        </w:tc>
        <w:tc>
          <w:tcPr>
            <w:tcW w:w="12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798%</w:t>
            </w:r>
          </w:p>
        </w:tc>
        <w:tc>
          <w:tcPr>
            <w:tcW w:w="10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134,884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13,782</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121,102</w:t>
            </w:r>
          </w:p>
        </w:tc>
        <w:tc>
          <w:tcPr>
            <w:tcW w:w="114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mining margin</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1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1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3340" w:type="dxa"/>
            <w:vAlign w:val="bottom"/>
            <w:gridSpan w:val="4"/>
          </w:tcPr>
          <w:p>
            <w:pPr>
              <w:spacing w:after="0"/>
              <w:rPr>
                <w:sz w:val="20"/>
                <w:szCs w:val="20"/>
                <w:color w:val="auto"/>
              </w:rPr>
            </w:pPr>
            <w:r>
              <w:rPr>
                <w:rFonts w:ascii="Arial" w:cs="Arial" w:eastAsia="Arial" w:hAnsi="Arial"/>
                <w:sz w:val="18"/>
                <w:szCs w:val="18"/>
                <w:color w:val="auto"/>
              </w:rPr>
              <w:t>(1) Non-mining revenues reconciliation:</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20" w:type="dxa"/>
            <w:vAlign w:val="bottom"/>
          </w:tcPr>
          <w:p>
            <w:pPr>
              <w:spacing w:after="0"/>
              <w:rPr>
                <w:sz w:val="20"/>
                <w:szCs w:val="20"/>
                <w:color w:val="auto"/>
              </w:rPr>
            </w:pPr>
            <w:r>
              <w:rPr>
                <w:rFonts w:ascii="Arial" w:cs="Arial" w:eastAsia="Arial" w:hAnsi="Arial"/>
                <w:sz w:val="18"/>
                <w:szCs w:val="18"/>
                <w:color w:val="auto"/>
                <w:w w:val="96"/>
              </w:rPr>
              <w:t>(U.S.$ in thousands except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120" w:type="dxa"/>
            <w:vAlign w:val="bottom"/>
          </w:tcPr>
          <w:p>
            <w:pPr>
              <w:spacing w:after="0"/>
              <w:rPr>
                <w:sz w:val="20"/>
                <w:szCs w:val="20"/>
                <w:color w:val="auto"/>
              </w:rPr>
            </w:pPr>
            <w:r>
              <w:rPr>
                <w:rFonts w:ascii="Arial" w:cs="Arial" w:eastAsia="Arial" w:hAnsi="Arial"/>
                <w:sz w:val="18"/>
                <w:szCs w:val="18"/>
                <w:color w:val="auto"/>
              </w:rPr>
              <w:t>where indicated)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8"/>
              </w:rPr>
              <w:t>Three months ended</w:t>
            </w: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Twelve months ended</w:t>
            </w: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Arial" w:cs="Arial" w:eastAsia="Arial" w:hAnsi="Arial"/>
                <w:sz w:val="18"/>
                <w:szCs w:val="18"/>
                <w:color w:val="auto"/>
              </w:rPr>
              <w:t>For the periods ended as</w:t>
            </w:r>
          </w:p>
        </w:tc>
        <w:tc>
          <w:tcPr>
            <w:tcW w:w="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Dec. 31</w:t>
            </w:r>
          </w:p>
        </w:tc>
        <w:tc>
          <w:tcPr>
            <w:tcW w:w="98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rPr>
              <w:t>Dec. 31</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Dec. 31</w:t>
            </w:r>
          </w:p>
        </w:tc>
        <w:tc>
          <w:tcPr>
            <w:tcW w:w="92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rPr>
              <w:t>Dec. 31</w:t>
            </w:r>
          </w:p>
        </w:tc>
        <w:tc>
          <w:tcPr>
            <w:tcW w:w="2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indicated</w:t>
            </w:r>
          </w:p>
        </w:tc>
        <w:tc>
          <w:tcPr>
            <w:tcW w:w="240" w:type="dxa"/>
            <w:vAlign w:val="bottom"/>
            <w:tcBorders>
              <w:bottom w:val="single" w:sz="8" w:color="auto"/>
              <w:right w:val="single" w:sz="8" w:color="auto"/>
            </w:tcBorders>
            <w:gridSpan w:val="2"/>
          </w:tcPr>
          <w:p>
            <w:pPr>
              <w:spacing w:after="0"/>
              <w:rPr>
                <w:sz w:val="20"/>
                <w:szCs w:val="20"/>
                <w:color w:val="auto"/>
              </w:rPr>
            </w:pPr>
          </w:p>
        </w:tc>
        <w:tc>
          <w:tcPr>
            <w:tcW w:w="9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28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104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 Change</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auto"/>
              <w:right w:val="single" w:sz="8" w:color="auto"/>
            </w:tcBorders>
            <w:gridSpan w:val="2"/>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59,598</w:t>
            </w:r>
          </w:p>
        </w:tc>
        <w:tc>
          <w:tcPr>
            <w:tcW w:w="11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11,324</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48,274</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426%</w:t>
            </w:r>
          </w:p>
        </w:tc>
        <w:tc>
          <w:tcPr>
            <w:tcW w:w="104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169,491</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34,703</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134,788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95"/>
        </w:trPr>
        <w:tc>
          <w:tcPr>
            <w:tcW w:w="2120" w:type="dxa"/>
            <w:vAlign w:val="bottom"/>
          </w:tcPr>
          <w:p>
            <w:pPr>
              <w:spacing w:after="0" w:line="195" w:lineRule="exact"/>
              <w:rPr>
                <w:sz w:val="20"/>
                <w:szCs w:val="20"/>
                <w:color w:val="auto"/>
              </w:rPr>
            </w:pPr>
            <w:r>
              <w:rPr>
                <w:rFonts w:ascii="Arial" w:cs="Arial" w:eastAsia="Arial" w:hAnsi="Arial"/>
                <w:sz w:val="18"/>
                <w:szCs w:val="18"/>
                <w:color w:val="auto"/>
                <w:w w:val="88"/>
              </w:rPr>
              <w:t>Less mining related revenues</w:t>
            </w: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color w:val="auto"/>
              </w:rPr>
              <w:t>for the purpose of</w:t>
            </w: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color w:val="auto"/>
                <w:w w:val="98"/>
              </w:rPr>
              <w:t>calculating gross mining</w:t>
            </w:r>
          </w:p>
        </w:tc>
        <w:tc>
          <w:tcPr>
            <w:tcW w:w="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margin:</w:t>
            </w:r>
          </w:p>
        </w:tc>
        <w:tc>
          <w:tcPr>
            <w:tcW w:w="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Mining revenues</w:t>
            </w:r>
          </w:p>
        </w:tc>
        <w:tc>
          <w:tcPr>
            <w:tcW w:w="240" w:type="dxa"/>
            <w:vAlign w:val="bottom"/>
            <w:tcBorders>
              <w:right w:val="single" w:sz="8" w:color="auto"/>
            </w:tcBorders>
            <w:gridSpan w:val="2"/>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(58,392)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(48,691)</w:t>
            </w:r>
          </w:p>
        </w:tc>
        <w:tc>
          <w:tcPr>
            <w:tcW w:w="128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502%</w:t>
            </w: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(164,393)</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(31,125)</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(133,268)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Hosting revenues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(597)</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(673)</w:t>
            </w: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(941)</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Non-mining revenues</w:t>
            </w:r>
          </w:p>
        </w:tc>
        <w:tc>
          <w:tcPr>
            <w:tcW w:w="240" w:type="dxa"/>
            <w:vAlign w:val="bottom"/>
            <w:tcBorders>
              <w:bottom w:val="single" w:sz="8" w:color="auto"/>
              <w:right w:val="single" w:sz="8" w:color="auto"/>
            </w:tcBorders>
            <w:gridSpan w:val="2"/>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1,206</w:t>
            </w:r>
          </w:p>
        </w:tc>
        <w:tc>
          <w:tcPr>
            <w:tcW w:w="11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1,026</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2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04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4,425</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2,637</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1,788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2022-03-28T06:12:24Z</dcterms:created>
  <dcterms:modified xsi:type="dcterms:W3CDTF">2022-03-28T06:12:24Z</dcterms:modified>
</cp:coreProperties>
</file>