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1,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300" w:type="dxa"/>
            <w:vAlign w:val="bottom"/>
          </w:tcPr>
          <w:p>
            <w:pPr>
              <w:spacing w:after="0"/>
              <w:rPr>
                <w:sz w:val="20"/>
                <w:szCs w:val="20"/>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February 1, 2023</w:t>
            </w:r>
          </w:p>
        </w:tc>
      </w:tr>
      <w:tr>
        <w:trPr>
          <w:trHeight w:val="547"/>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60" w:type="dxa"/>
            <w:vAlign w:val="bottom"/>
            <w:tcBorders>
              <w:top w:val="single" w:sz="8" w:color="0000EE"/>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tabs>
          <w:tab w:leader="none" w:pos="78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L. Geoffrey Morphy</w:t>
      </w:r>
    </w:p>
    <w:p>
      <w:pPr>
        <w:spacing w:after="0" w:line="23" w:lineRule="exact"/>
        <w:rPr>
          <w:sz w:val="20"/>
          <w:szCs w:val="20"/>
          <w:color w:val="auto"/>
        </w:rPr>
      </w:pPr>
    </w:p>
    <w:p>
      <w:pPr>
        <w:ind w:left="720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796"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ectPr>
          <w:pgSz w:w="11900" w:h="16838" w:orient="portrait"/>
          <w:cols w:equalWidth="0" w:num="1">
            <w:col w:w="11240"/>
          </w:cols>
          <w:pgMar w:left="320" w:top="108"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 of Company</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 2023.</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February 1, 2023,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 of Report</w:t>
            </w:r>
          </w:p>
        </w:tc>
      </w:tr>
      <w:tr>
        <w:trPr>
          <w:trHeight w:val="43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2023.</w:t>
            </w:r>
          </w:p>
        </w:tc>
        <w:tc>
          <w:tcPr>
            <w:tcW w:w="9720" w:type="dxa"/>
            <w:vAlign w:val="bottom"/>
          </w:tcPr>
          <w:p>
            <w:pPr>
              <w:spacing w:after="0"/>
              <w:rPr>
                <w:sz w:val="24"/>
                <w:szCs w:val="24"/>
                <w:color w:val="auto"/>
              </w:rPr>
            </w:pPr>
          </w:p>
        </w:tc>
      </w:tr>
      <w:tr>
        <w:trPr>
          <w:trHeight w:val="331"/>
        </w:trPr>
        <w:tc>
          <w:tcPr>
            <w:tcW w:w="152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19685</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Mines 486 Bitcoin in January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Upgraded Paraguay farm with 2,888 new miners increasing hashrate 168 PH/s -</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(February 1,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January 2023.</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our proven best in class operations, well-established corporate infrastructure and team firmly in place, we are excited about the prospects in 2023 for both organic and transactional expansion emerging from the industry downturn,” said Geoff Morphy, CEO of Bitfarms. “In January, we continued to deliver steady performance amidst a period of macro headwinds and predominantly low BTC prices most of the month. Pursuing a disciplined approach to investment as the industry consolidates and recovers, we expect to benefit in 2023 and into the next halving event in 2024.”</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 Gagnon, Chief Mining Officer of Bitfarms, said, “With 486 BTC mined in January, we increased production by 61% compared to 301 BTC in the same period a year ago and averaged 15.7 BTC mined per day. Two network difficulty increases during the month impacted overall BTC productivity, as network difficulty increased 10.3% on January 15, and by another 4.7% on January 29, for a total of 15.5% in January. Additionally, during the month, we deployed more efficient miners in Paraguay, which added a net 168 petahash per second (PH/s) near the end of the month.”</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CFO Jeff Lucas added, “During January, we continued to proactively increase financial flexibility by reducing indebtedness and capital expenditure obligations. We paid off three of our highest interest rate equipment loans totaling $830,000. These payments furthered our progress towards achieving our strategic objective of deleveraging our balance sheet that we set in June of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Quebec was warmer in January 2023 than in January 2022, energy curtailment programs impacted production as a normal part of operations during the winter. As a result, Bitfarms temporarily curtailed operations in Quebec, supporting the community by restoring power back to the local grids.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Jan. 2023</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 2022</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Jan. 2022</w:t>
            </w:r>
          </w:p>
        </w:tc>
      </w:tr>
      <w:tr>
        <w:trPr>
          <w:trHeight w:val="24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Mined</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486</w:t>
            </w:r>
          </w:p>
        </w:tc>
        <w:tc>
          <w:tcPr>
            <w:tcW w:w="2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496</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301</w:t>
            </w:r>
          </w:p>
        </w:tc>
        <w:tc>
          <w:tcPr>
            <w:tcW w:w="100" w:type="dxa"/>
            <w:vAlign w:val="bottom"/>
            <w:tcBorders>
              <w:top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4.7</w:t>
            </w:r>
          </w:p>
        </w:tc>
        <w:tc>
          <w:tcPr>
            <w:tcW w:w="24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Avg. EH/s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110</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158</w:t>
            </w:r>
          </w:p>
        </w:tc>
        <w:tc>
          <w:tcPr>
            <w:tcW w:w="100" w:type="dxa"/>
            <w:vAlign w:val="bottom"/>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188</w:t>
            </w:r>
          </w:p>
        </w:tc>
        <w:tc>
          <w:tcPr>
            <w:tcW w:w="24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188</w:t>
            </w:r>
          </w:p>
        </w:tc>
        <w:tc>
          <w:tcPr>
            <w:tcW w:w="22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116</w:t>
            </w: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178</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178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116</w:t>
            </w:r>
          </w:p>
        </w:tc>
        <w:tc>
          <w:tcPr>
            <w:tcW w:w="100" w:type="dxa"/>
            <w:vAlign w:val="bottom"/>
            <w:shd w:val="clear" w:color="auto" w:fill="CCEEFF"/>
          </w:tcPr>
          <w:p>
            <w:pPr>
              <w:spacing w:after="0"/>
              <w:rPr>
                <w:sz w:val="21"/>
                <w:szCs w:val="21"/>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40</w:t>
            </w:r>
          </w:p>
        </w:tc>
        <w:tc>
          <w:tcPr>
            <w:tcW w:w="240" w:type="dxa"/>
            <w:vAlign w:val="bottom"/>
          </w:tcPr>
          <w:p>
            <w:pPr>
              <w:spacing w:after="0"/>
              <w:rPr>
                <w:sz w:val="21"/>
                <w:szCs w:val="21"/>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21"/>
                <w:szCs w:val="21"/>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486</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r>
      <w:tr>
        <w:trPr>
          <w:trHeight w:val="372"/>
        </w:trPr>
        <w:tc>
          <w:tcPr>
            <w:tcW w:w="7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January 2023 Select Operating Highlights</w:t>
      </w:r>
    </w:p>
    <w:p>
      <w:pPr>
        <w:spacing w:after="0" w:line="148" w:lineRule="exact"/>
        <w:rPr>
          <w:sz w:val="20"/>
          <w:szCs w:val="20"/>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EH/s online as of January 31, 2023, up 104% from January 31, 2022 and up 4% compared to December 31, 2022.</w:t>
      </w:r>
    </w:p>
    <w:p>
      <w:pPr>
        <w:spacing w:after="0" w:line="2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 EH/s average online, compared to 4.38 EH/s in December 2022.</w:t>
      </w:r>
    </w:p>
    <w:p>
      <w:pPr>
        <w:spacing w:after="0" w:line="9"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BTC/average EH/s, down 3% from 113 in December 2022.</w:t>
      </w:r>
    </w:p>
    <w:p>
      <w:pPr>
        <w:spacing w:after="0" w:line="9"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486 new BTC mined, up 61% from January 2022 and down 2% from December 2022.</w:t>
      </w:r>
    </w:p>
    <w:p>
      <w:pPr>
        <w:spacing w:after="0" w:line="9" w:lineRule="exact"/>
        <w:rPr>
          <w:rFonts w:ascii="Times New Roman" w:cs="Times New Roman" w:eastAsia="Times New Roman" w:hAnsi="Times New Roman"/>
          <w:sz w:val="18"/>
          <w:szCs w:val="18"/>
          <w:color w:val="auto"/>
        </w:rPr>
      </w:pPr>
    </w:p>
    <w:p>
      <w:pPr>
        <w:ind w:left="640" w:hanging="322"/>
        <w:spacing w:after="0" w:line="260"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 BTC mined daily on average, equivalent to about $362,700 per day and approximately $11.2 million for the month based on a BTC price of $23,100 on January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162" w:lineRule="exact"/>
        <w:rPr>
          <w:sz w:val="20"/>
          <w:szCs w:val="20"/>
          <w:color w:val="auto"/>
        </w:rPr>
      </w:pPr>
    </w:p>
    <w:p>
      <w:pPr>
        <w:jc w:val="both"/>
        <w:ind w:left="640" w:hanging="322"/>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2,888 new MicroBT M30s into Paraguay, which added a net 168 PH/s at this farm, bringing its total hashrate to 288 PH/s. This equipment upgrade improves fleet w/TH efficiency, as it replaces 2,450 Innosilicon T3 miners, which had contributed 120 PH/s and are now scheduled to be liquidated.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Bitfarms’ BTC Monthly Production</w:t>
            </w:r>
          </w:p>
        </w:tc>
        <w:tc>
          <w:tcPr>
            <w:tcW w:w="98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6"/>
        </w:trPr>
        <w:tc>
          <w:tcPr>
            <w:tcW w:w="3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38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BTC Mined 2023</w:t>
            </w:r>
          </w:p>
        </w:tc>
        <w:tc>
          <w:tcPr>
            <w:tcW w:w="36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BTC Mined 2022</w:t>
            </w:r>
          </w:p>
        </w:tc>
      </w:tr>
      <w:tr>
        <w:trPr>
          <w:trHeight w:val="243"/>
        </w:trPr>
        <w:tc>
          <w:tcPr>
            <w:tcW w:w="36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w:t>
            </w:r>
          </w:p>
        </w:tc>
        <w:tc>
          <w:tcPr>
            <w:tcW w:w="12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tcBorders>
              <w:top w:val="single" w:sz="8" w:color="CCEEFF"/>
            </w:tcBorders>
            <w:shd w:val="clear" w:color="auto" w:fill="CCEEFF"/>
          </w:tcPr>
          <w:p>
            <w:pPr>
              <w:spacing w:after="0"/>
              <w:rPr>
                <w:sz w:val="21"/>
                <w:szCs w:val="21"/>
                <w:color w:val="auto"/>
              </w:rPr>
            </w:pPr>
          </w:p>
        </w:tc>
        <w:tc>
          <w:tcPr>
            <w:tcW w:w="358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21"/>
                <w:szCs w:val="21"/>
                <w:color w:val="auto"/>
              </w:rPr>
            </w:pPr>
          </w:p>
        </w:tc>
      </w:tr>
      <w:tr>
        <w:trPr>
          <w:trHeight w:val="243"/>
        </w:trPr>
        <w:tc>
          <w:tcPr>
            <w:tcW w:w="3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YTD</w:t>
            </w:r>
          </w:p>
        </w:tc>
        <w:tc>
          <w:tcPr>
            <w:tcW w:w="360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486</w:t>
            </w:r>
          </w:p>
        </w:tc>
        <w:tc>
          <w:tcPr>
            <w:tcW w:w="220" w:type="dxa"/>
            <w:vAlign w:val="bottom"/>
          </w:tcPr>
          <w:p>
            <w:pPr>
              <w:spacing w:after="0"/>
              <w:rPr>
                <w:sz w:val="21"/>
                <w:szCs w:val="21"/>
                <w:color w:val="auto"/>
              </w:rPr>
            </w:pPr>
          </w:p>
        </w:tc>
        <w:tc>
          <w:tcPr>
            <w:tcW w:w="35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21"/>
                <w:szCs w:val="2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January 2023 Financial Update</w:t>
      </w:r>
    </w:p>
    <w:p>
      <w:pPr>
        <w:spacing w:after="0" w:line="162"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over $2.5 million in equipment related indebtedness during the month including full repayment of the three highest interest rate equipment loans totaling approximately $830,000, which reduced the total outstanding equipment related debt to $44.8 million.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486 BTC, generating total proceeds of $9.7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405 BTC in custody at January 31, 2023, representing a total value of approximately $9.4 million based on a BTC price of $23,100.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Conferences and Events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plans to attend the following upcoming events:</w:t>
      </w:r>
    </w:p>
    <w:p>
      <w:pPr>
        <w:spacing w:after="0" w:line="158"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1: Bitfarms along with the Digital Asset Mining Coalition will appear before The House of Commons of Canada’s Standing Committee on Industry and Technology in view of its study of Blockchain Technology, Ottawa</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22-23: Sidoti’s March 2023 Small Cap Virtual Conference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Company’s </w:t>
      </w:r>
      <w:r>
        <w:rPr>
          <w:rFonts w:ascii="Times New Roman" w:cs="Times New Roman" w:eastAsia="Times New Roman" w:hAnsi="Times New Roman"/>
          <w:sz w:val="18"/>
          <w:szCs w:val="18"/>
          <w:i w:val="1"/>
          <w:iCs w:val="1"/>
          <w:color w:val="auto"/>
        </w:rPr>
        <w:t>prospects in 2023 for both organic and transactional expansion,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 xml:space="preserve">expectations for industry consolidation and recovery (including expected benefits to the Company in 2023 and into the next halving event in 2024), expectations as to deleveraging the Company’s balance sheet </w:t>
      </w:r>
      <w:r>
        <w:rPr>
          <w:rFonts w:ascii="Times New Roman" w:cs="Times New Roman" w:eastAsia="Times New Roman" w:hAnsi="Times New Roman"/>
          <w:sz w:val="18"/>
          <w:szCs w:val="18"/>
          <w:i w:val="1"/>
          <w:iCs w:val="1"/>
          <w:color w:val="auto"/>
          <w:highlight w:val="white"/>
        </w:rPr>
        <w:t>and other future plans and objectives of the Company are forward-looking information.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Company’s outstanding indebtedness (including in respect of any defaults thereunder);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-135255</wp:posOffset>
            </wp:positionV>
            <wp:extent cx="2540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ectPr>
          <w:pgSz w:w="11900" w:h="16838" w:orient="portrait"/>
          <w:cols w:equalWidth="0" w:num="1">
            <w:col w:w="11240"/>
          </w:cols>
          <w:pgMar w:left="320" w:top="576"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2023-02-01T15:04:37Z</dcterms:created>
  <dcterms:modified xsi:type="dcterms:W3CDTF">2023-02-01T15:04:37Z</dcterms:modified>
</cp:coreProperties>
</file>