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71511-6k_bitfarms.htm"/>
      <w:bookmarkStart w:id="1" w:name="ksea02715116k_bitfarm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January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145"/>
        <w:gridCol w:w="60"/>
        <w:gridCol w:w="3380"/>
      </w:tblGrid>
      <w:tr>
        <w:trPr/>
        <w:tc>
          <w:tcPr>
            <w:tcW w:w="1145" w:type="dxa"/>
            <w:tcBorders/>
            <w:vAlign w:val="center"/>
          </w:tcPr>
          <w:p>
            <w:pPr>
              <w:pStyle w:val="TableContents"/>
              <w:bidi w:val="0"/>
              <w:spacing w:before="0" w:after="283"/>
              <w:jc w:val="left"/>
              <w:rPr>
                <w:b/>
              </w:rPr>
            </w:pPr>
            <w:r>
              <w:rPr>
                <w:b/>
              </w:rPr>
              <w:t>Exhibits</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Exhibit No.</w:t>
            </w:r>
          </w:p>
        </w:tc>
        <w:tc>
          <w:tcPr>
            <w:tcW w:w="60" w:type="dxa"/>
            <w:tcBorders/>
            <w:shd w:fill="FFFFFF" w:val="clear"/>
            <w:vAlign w:val="center"/>
          </w:tcPr>
          <w:p>
            <w:pPr>
              <w:pStyle w:val="TableContents"/>
              <w:bidi w:val="0"/>
              <w:spacing w:before="0" w:after="283"/>
              <w:jc w:val="left"/>
              <w:rPr/>
            </w:pPr>
            <w:r>
              <w:rPr/>
              <w:t> </w:t>
            </w:r>
          </w:p>
        </w:tc>
        <w:tc>
          <w:tcPr>
            <w:tcW w:w="3380" w:type="dxa"/>
            <w:tcBorders/>
            <w:shd w:fill="FFFFFF" w:val="clear"/>
            <w:vAlign w:val="center"/>
          </w:tcPr>
          <w:p>
            <w:pPr>
              <w:pStyle w:val="TableContents"/>
              <w:bidi w:val="0"/>
              <w:spacing w:before="0" w:after="283"/>
              <w:jc w:val="left"/>
              <w:rPr/>
            </w:pPr>
            <w:r>
              <w:rPr/>
              <w:t>Description</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99.1</w:t>
            </w:r>
          </w:p>
        </w:tc>
        <w:tc>
          <w:tcPr>
            <w:tcW w:w="60" w:type="dxa"/>
            <w:tcBorders/>
            <w:shd w:fill="CCEEFF" w:val="clear"/>
            <w:vAlign w:val="center"/>
          </w:tcPr>
          <w:p>
            <w:pPr>
              <w:pStyle w:val="TableContents"/>
              <w:bidi w:val="0"/>
              <w:spacing w:before="0" w:after="283"/>
              <w:jc w:val="left"/>
              <w:rPr/>
            </w:pPr>
            <w:r>
              <w:rPr/>
              <w:t> </w:t>
            </w:r>
          </w:p>
        </w:tc>
        <w:tc>
          <w:tcPr>
            <w:tcW w:w="3380" w:type="dxa"/>
            <w:tcBorders/>
            <w:shd w:fill="CCEEFF" w:val="clear"/>
            <w:vAlign w:val="center"/>
          </w:tcPr>
          <w:p>
            <w:pPr>
              <w:pStyle w:val="TableContents"/>
              <w:bidi w:val="0"/>
              <w:spacing w:before="0" w:after="283"/>
              <w:jc w:val="left"/>
              <w:rPr/>
            </w:pPr>
            <w:hyperlink w:anchor="ea027151101ex99-1_bitfarms.htm">
              <w:r>
                <w:rPr>
                  <w:rStyle w:val="InternetLink"/>
                </w:rPr>
                <w:t>Press release dated January 2, 2026</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75"/>
        <w:gridCol w:w="320"/>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Ben Gagnon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2,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2" w:name="ea027151101ex99-1_bitfarms.htm"/>
      <w:bookmarkStart w:id="3" w:name="ksea027151101ex991_bitfarms"/>
      <w:bookmarkEnd w:id="2"/>
      <w:bookmarkEnd w:id="3"/>
      <w:r>
        <w:rPr>
          <w:b/>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572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Announces Complete Exit from Latam with Sale of its Paso Pe Site for up to $30M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-Rebalances  energy assets portfolio to 100% North American-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to reinvest capital in North American HPC/AI energy infrastructure-</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New York, New York (January 2, 2026)</w:t>
      </w:r>
      <w:r>
        <w:rPr>
          <w:rFonts w:ascii="Times New Roman;Times;Serif" w:hAnsi="Times New Roman;Times;Serif"/>
          <w:b w:val="false"/>
          <w:i w:val="false"/>
          <w:caps w:val="false"/>
          <w:smallCaps w:val="false"/>
          <w:sz w:val="20"/>
        </w:rPr>
        <w:t xml:space="preserve"> - Bitfarms Ltd. (NASDAQ/TSX: BITF), a North American energy and digital infrastructure company, today announced that it has entered into a definitive share purchase agreement (“SPA”) to sell its 70 MW site in Paso Pe, Paraguay to the Sympatheia Power Fund (SPF), a crypto infrastructure fund  managed by Singapore-based Hawksburn Capital. The transaction is expected to close within 60 days of this release and completes Bitfarms’ exit from Latin America. The closing of the transaction is subject to the satisfaction or waiver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CEO Ben Gagnon stated, “I’m pleased to announce the strategic sale of our Paso Pe site and decisive rebalancing of our energy portfolio to 100% North American. This transaction brings forward an estimated two to three years of anticipated free cash flows from operations to be reinvested into our North American HPC/AI energy infrastructure  in 2026, where we believe we will be able to generate much stronger returns on our invested capital with HPC/AI. The sale of Paso Pe is the culmination of a series of transactions to completely exit Latam, and refocus the company, its management team and capital on 100% North American power and infrastructure for HPC/AI.”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SPF representative Josh Murchie said, “This transaction accelerates SPF’s regional expansion plan, and our priority is an uninterrupted, seamless transition from day one — maintaining continuity at Paso Pe as we move into the next phase of growth.”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SPA, the Buyer will acquire from Bitfarms and its affiliates the shares of the single purpose subsidiary that holds all the operating assets related to its Paso Pe, Paraguay, Bitcoin mining site (the “project shares”). The proposed transaction values the operating site at up to $30 million, with Bitfarms expected to receive:</w:t>
      </w:r>
    </w:p>
    <w:p>
      <w:pPr>
        <w:pStyle w:val="TextBody"/>
        <w:shd w:fill="FEFEFE" w:val="clear"/>
        <w:bidi w:val="0"/>
        <w:spacing w:before="0" w:after="0"/>
        <w:ind w:left="11" w:right="0" w:hanging="11"/>
        <w:jc w:val="both"/>
        <w:rPr>
          <w:caps w:val="false"/>
          <w:smallCaps w:val="false"/>
        </w:rPr>
      </w:pPr>
      <w:r>
        <w:rPr>
          <w:caps w:val="false"/>
          <w:smallCaps w:val="false"/>
        </w:rPr>
        <w:t> </w:t>
      </w:r>
    </w:p>
    <w:tbl>
      <w:tblPr>
        <w:tblW w:w="5000" w:type="pct"/>
        <w:jc w:val="left"/>
        <w:tblInd w:w="0" w:type="dxa"/>
        <w:shd w:fill="FEFEFE" w:val="clear"/>
        <w:tblLayout w:type="fixed"/>
        <w:tblCellMar>
          <w:top w:w="0" w:type="dxa"/>
          <w:left w:w="0" w:type="dxa"/>
          <w:bottom w:w="0" w:type="dxa"/>
          <w:right w:w="0" w:type="dxa"/>
        </w:tblCellMar>
      </w:tblPr>
      <w:tblGrid>
        <w:gridCol w:w="37"/>
        <w:gridCol w:w="170"/>
        <w:gridCol w:w="9998"/>
      </w:tblGrid>
      <w:tr>
        <w:trPr/>
        <w:tc>
          <w:tcPr>
            <w:tcW w:w="37"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pPr>
            <w:r>
              <w:rPr/>
              <w:t>●</w:t>
            </w:r>
          </w:p>
        </w:tc>
        <w:tc>
          <w:tcPr>
            <w:tcW w:w="9998" w:type="dxa"/>
            <w:tcBorders/>
            <w:shd w:fill="FEFEFE"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 million in cash upon closing of this transaction, expected in Q1 2026 (including a $1 million non-refundable deposit, which has been paid by the buyer);</w:t>
            </w:r>
          </w:p>
        </w:tc>
      </w:tr>
    </w:tbl>
    <w:p>
      <w:pPr>
        <w:pStyle w:val="TextBody"/>
        <w:bidi w:val="0"/>
        <w:spacing w:before="0" w:after="283"/>
        <w:jc w:val="left"/>
        <w:rPr/>
      </w:pPr>
      <w:r>
        <w:rPr/>
        <w:t> </w:t>
      </w:r>
    </w:p>
    <w:tbl>
      <w:tblPr>
        <w:tblW w:w="5000" w:type="pct"/>
        <w:jc w:val="left"/>
        <w:tblInd w:w="0" w:type="dxa"/>
        <w:shd w:fill="FEFEFE" w:val="clear"/>
        <w:tblLayout w:type="fixed"/>
        <w:tblCellMar>
          <w:top w:w="0" w:type="dxa"/>
          <w:left w:w="0" w:type="dxa"/>
          <w:bottom w:w="0" w:type="dxa"/>
          <w:right w:w="0" w:type="dxa"/>
        </w:tblCellMar>
      </w:tblPr>
      <w:tblGrid>
        <w:gridCol w:w="44"/>
        <w:gridCol w:w="198"/>
        <w:gridCol w:w="9963"/>
      </w:tblGrid>
      <w:tr>
        <w:trPr/>
        <w:tc>
          <w:tcPr>
            <w:tcW w:w="44" w:type="dxa"/>
            <w:tcBorders/>
            <w:shd w:fill="FEFEFE" w:val="clear"/>
            <w:vAlign w:val="center"/>
          </w:tcPr>
          <w:p>
            <w:pPr>
              <w:pStyle w:val="TableContents"/>
              <w:bidi w:val="0"/>
              <w:spacing w:before="0" w:after="283"/>
              <w:jc w:val="left"/>
              <w:rPr>
                <w:sz w:val="4"/>
                <w:szCs w:val="4"/>
              </w:rPr>
            </w:pPr>
            <w:r>
              <w:rPr>
                <w:sz w:val="4"/>
                <w:szCs w:val="4"/>
              </w:rPr>
            </w:r>
          </w:p>
        </w:tc>
        <w:tc>
          <w:tcPr>
            <w:tcW w:w="198" w:type="dxa"/>
            <w:tcBorders/>
            <w:shd w:fill="FEFEFE" w:val="clear"/>
            <w:vAlign w:val="center"/>
          </w:tcPr>
          <w:p>
            <w:pPr>
              <w:pStyle w:val="TableContents"/>
              <w:bidi w:val="0"/>
              <w:spacing w:before="0" w:after="283"/>
              <w:jc w:val="left"/>
              <w:rPr/>
            </w:pPr>
            <w:r>
              <w:rPr/>
              <w:t>●</w:t>
            </w:r>
          </w:p>
        </w:tc>
        <w:tc>
          <w:tcPr>
            <w:tcW w:w="9963" w:type="dxa"/>
            <w:tcBorders/>
            <w:shd w:fill="FEFEFE" w:val="clear"/>
            <w:vAlign w:val="center"/>
          </w:tcPr>
          <w:p>
            <w:pPr>
              <w:pStyle w:val="TableContents"/>
              <w:bidi w:val="0"/>
              <w:spacing w:before="0" w:after="283"/>
              <w:jc w:val="both"/>
              <w:rPr/>
            </w:pPr>
            <w:r>
              <w:rPr/>
              <w:t>Up to $21 million over 10 months following closing based on certain payment milestones.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Benefits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8"/>
        <w:gridCol w:w="9853"/>
      </w:tblGrid>
      <w:tr>
        <w:trPr/>
        <w:tc>
          <w:tcPr>
            <w:tcW w:w="6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w:t>
            </w:r>
          </w:p>
        </w:tc>
        <w:tc>
          <w:tcPr>
            <w:tcW w:w="9853" w:type="dxa"/>
            <w:tcBorders/>
            <w:vAlign w:val="center"/>
          </w:tcPr>
          <w:p>
            <w:pPr>
              <w:pStyle w:val="TableContents"/>
              <w:bidi w:val="0"/>
              <w:spacing w:before="0" w:after="283"/>
              <w:jc w:val="both"/>
              <w:rPr/>
            </w:pPr>
            <w:r>
              <w:rPr/>
              <w:t>Rebalances energy assets portfolio to 100% North American;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Improves liquidity profile with accelerated monetization of operation and short-term financing guaranteed by the operation;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3"/>
        <w:gridCol w:w="464"/>
        <w:gridCol w:w="9638"/>
      </w:tblGrid>
      <w:tr>
        <w:trPr/>
        <w:tc>
          <w:tcPr>
            <w:tcW w:w="10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w:t>
            </w:r>
          </w:p>
        </w:tc>
        <w:tc>
          <w:tcPr>
            <w:tcW w:w="9638" w:type="dxa"/>
            <w:tcBorders/>
            <w:vAlign w:val="center"/>
          </w:tcPr>
          <w:p>
            <w:pPr>
              <w:pStyle w:val="TableContents"/>
              <w:bidi w:val="0"/>
              <w:spacing w:before="0" w:after="283"/>
              <w:jc w:val="both"/>
              <w:rPr/>
            </w:pPr>
            <w:r>
              <w:rPr/>
              <w:t>Updated energy portfolio consists of:</w:t>
            </w:r>
          </w:p>
        </w:tc>
      </w:tr>
    </w:tbl>
    <w:p>
      <w:pPr>
        <w:pStyle w:val="TextBody"/>
        <w:bidi w:val="0"/>
        <w:spacing w:before="0" w:after="283"/>
        <w:jc w:val="left"/>
        <w:rPr/>
      </w:pPr>
      <w:r>
        <w:rPr/>
        <w:t> </w:t>
      </w:r>
    </w:p>
    <w:tbl>
      <w:tblPr>
        <w:tblW w:w="2943" w:type="dxa"/>
        <w:jc w:val="left"/>
        <w:tblInd w:w="0" w:type="dxa"/>
        <w:tblLayout w:type="fixed"/>
        <w:tblCellMar>
          <w:top w:w="0" w:type="dxa"/>
          <w:left w:w="0" w:type="dxa"/>
          <w:bottom w:w="0" w:type="dxa"/>
          <w:right w:w="0" w:type="dxa"/>
        </w:tblCellMar>
      </w:tblPr>
      <w:tblGrid>
        <w:gridCol w:w="38"/>
        <w:gridCol w:w="14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2765" w:type="dxa"/>
            <w:tcBorders/>
            <w:vAlign w:val="center"/>
          </w:tcPr>
          <w:p>
            <w:pPr>
              <w:pStyle w:val="TableContents"/>
              <w:bidi w:val="0"/>
              <w:spacing w:before="0" w:after="283"/>
              <w:jc w:val="both"/>
              <w:rPr/>
            </w:pPr>
            <w:r>
              <w:rPr/>
              <w:t>341 MW energized capacity;</w:t>
            </w:r>
          </w:p>
        </w:tc>
      </w:tr>
    </w:tbl>
    <w:p>
      <w:pPr>
        <w:pStyle w:val="TextBody"/>
        <w:bidi w:val="0"/>
        <w:spacing w:before="0" w:after="283"/>
        <w:jc w:val="left"/>
        <w:rPr/>
      </w:pPr>
      <w:r>
        <w:rPr/>
        <w:t> </w:t>
      </w:r>
    </w:p>
    <w:tbl>
      <w:tblPr>
        <w:tblW w:w="6513" w:type="dxa"/>
        <w:jc w:val="left"/>
        <w:tblInd w:w="0" w:type="dxa"/>
        <w:tblLayout w:type="fixed"/>
        <w:tblCellMar>
          <w:top w:w="0" w:type="dxa"/>
          <w:left w:w="0" w:type="dxa"/>
          <w:bottom w:w="0" w:type="dxa"/>
          <w:right w:w="0" w:type="dxa"/>
        </w:tblCellMar>
      </w:tblPr>
      <w:tblGrid>
        <w:gridCol w:w="38"/>
        <w:gridCol w:w="14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6335" w:type="dxa"/>
            <w:tcBorders/>
            <w:vAlign w:val="center"/>
          </w:tcPr>
          <w:p>
            <w:pPr>
              <w:pStyle w:val="TableContents"/>
              <w:bidi w:val="0"/>
              <w:spacing w:before="0" w:after="283"/>
              <w:jc w:val="both"/>
              <w:rPr/>
            </w:pPr>
            <w:r>
              <w:rPr/>
              <w:t>430 MW under Active Development, 100% based in the U.S.; and</w:t>
            </w:r>
          </w:p>
        </w:tc>
      </w:tr>
    </w:tbl>
    <w:p>
      <w:pPr>
        <w:pStyle w:val="TextBody"/>
        <w:bidi w:val="0"/>
        <w:spacing w:before="0" w:after="283"/>
        <w:jc w:val="left"/>
        <w:rPr/>
      </w:pPr>
      <w:r>
        <w:rPr/>
        <w:t> </w:t>
      </w:r>
    </w:p>
    <w:tbl>
      <w:tblPr>
        <w:tblW w:w="7428" w:type="dxa"/>
        <w:jc w:val="left"/>
        <w:tblInd w:w="0" w:type="dxa"/>
        <w:tblLayout w:type="fixed"/>
        <w:tblCellMar>
          <w:top w:w="0" w:type="dxa"/>
          <w:left w:w="0" w:type="dxa"/>
          <w:bottom w:w="0" w:type="dxa"/>
          <w:right w:w="0" w:type="dxa"/>
        </w:tblCellMar>
      </w:tblPr>
      <w:tblGrid>
        <w:gridCol w:w="38"/>
        <w:gridCol w:w="14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7250" w:type="dxa"/>
            <w:tcBorders/>
            <w:vAlign w:val="center"/>
          </w:tcPr>
          <w:p>
            <w:pPr>
              <w:pStyle w:val="TableContents"/>
              <w:bidi w:val="0"/>
              <w:spacing w:before="0" w:after="283"/>
              <w:jc w:val="both"/>
              <w:rPr/>
            </w:pPr>
            <w:r>
              <w:rPr/>
              <w:t>2.1 GW total multi-year pipeline in North America, ~90% based in the U.S.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a North American energy and digital infrastructure company that builds and operates vertically integrated, state-of-the-art data centers and energy infrastructure for high-performance computing and Bitcoin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2.1 GW North American energy portfolio, comprised of energized, under development, and pipeline MW, is clustered in data center hotspots with robust access to power and fiber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was founded in 2017 and is a proven leader in digital infrastructure with operations throughout the Americas. Bitfarms is headquartered in New York, NY and Toronto, ON and traded on the Nasdaq and Toronto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http://x.com/Bitfarms_io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https://www.linkedin.com/company/bitfarms/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Sympatheia Power Fund (SPF)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SPF, visit www.sympatheia.co.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80"/>
        <w:gridCol w:w="9741"/>
      </w:tblGrid>
      <w:tr>
        <w:trPr/>
        <w:tc>
          <w:tcPr>
            <w:tcW w:w="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t>
            </w:r>
          </w:p>
        </w:tc>
        <w:tc>
          <w:tcPr>
            <w:tcW w:w="9741" w:type="dxa"/>
            <w:tcBorders/>
            <w:vAlign w:val="center"/>
          </w:tcPr>
          <w:p>
            <w:pPr>
              <w:pStyle w:val="TableContents"/>
              <w:bidi w:val="0"/>
              <w:spacing w:before="0" w:after="283"/>
              <w:jc w:val="left"/>
              <w:rPr/>
            </w:pPr>
            <w:r>
              <w:rPr/>
              <w:t>MW or MWh = Megawatts or megawatt hour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left"/>
              <w:rPr/>
            </w:pPr>
            <w:r>
              <w:rPr/>
              <w:t>HPC/AI = High Performance Computing / Artificial Intelligence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sale of the Paso Pe, Paraguay Site, the merits of the rebalancing operations to North America, the reinvestment of the proceeds of the sale for growth and projected growth, the North American energy and compute infrastructure strategy and other statements regarding future growth, plans and objectives of the Company are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the inability to complete and the failure to receive payments owing pursuant to the sale of the Paso Pe, Paraguay Site on the terms as announced or at all; the reinvestment of the proceeds of the sale may not occur on an economic basis; the anticipated rebalancing of operations to North America and from Bitcoin mining to digital infrastructure may occur on a timeline different than the expectations of the Company, may not occur at all, and may have unanticipated costs for the Company;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Laine Yonker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investors@bitfarms.com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Tara Goldstein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tgoldstein@bitfarms.com</w:t>
      </w:r>
    </w:p>
    <w:p>
      <w:pPr>
        <w:pStyle w:val="TextBody"/>
        <w:bidi w:val="0"/>
        <w:spacing w:before="0" w:after="0"/>
        <w:ind w:left="0" w:right="0" w:hanging="1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center"/>
        <w:rPr/>
      </w:pPr>
      <w:r>
        <w:rPr/>
        <w:t>3</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1605</Words>
  <Characters>9052</Characters>
  <CharactersWithSpaces>10686</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