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130" w:right="0" w:hanging="0"/>
        <w:jc w:val="left"/>
        <w:rPr>
          <w:caps w:val="false"/>
          <w:smallCaps w:val="false"/>
        </w:rPr>
      </w:pPr>
      <w:bookmarkStart w:id="0" w:name="ea0200873-6k_bitfarms.htm"/>
      <w:bookmarkStart w:id="1" w:name="ksea02008736k_bitfarms"/>
      <w:bookmarkEnd w:id="0"/>
      <w:bookmarkEnd w:id="1"/>
      <w:r>
        <w:rPr>
          <w:caps w:val="false"/>
          <w:smallCaps w:val="false"/>
        </w:rPr>
        <w:t>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85" w:after="85"/>
        <w:ind w:left="979" w:right="979"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ind w:left="979" w:right="979"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1" w:after="1"/>
        <w:ind w:left="979" w:right="97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10" w:after="10"/>
        <w:ind w:left="10" w:right="10" w:hanging="0"/>
        <w:jc w:val="left"/>
        <w:rPr/>
      </w:pPr>
      <w:r>
        <w:rPr/>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7" w:after="7"/>
        <w:ind w:left="7" w:right="7" w:hanging="0"/>
        <w:jc w:val="left"/>
        <w:rPr>
          <w:caps w:val="false"/>
          <w:smallCaps w:val="false"/>
        </w:rPr>
      </w:pPr>
      <w:r>
        <w:rPr>
          <w:caps w:val="false"/>
          <w:smallCaps w:val="false"/>
        </w:rPr>
        <w:t> </w:t>
      </w:r>
    </w:p>
    <w:p>
      <w:pPr>
        <w:pStyle w:val="TextBody"/>
        <w:bidi w:val="0"/>
        <w:spacing w:before="85" w:after="283"/>
        <w:ind w:left="979" w:right="978"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11" w:after="11"/>
        <w:ind w:left="11" w:right="11" w:hanging="0"/>
        <w:jc w:val="left"/>
        <w:rPr/>
      </w:pPr>
      <w:r>
        <w:rPr/>
      </w:r>
    </w:p>
    <w:p>
      <w:pPr>
        <w:pStyle w:val="TextBody"/>
        <w:bidi w:val="0"/>
        <w:jc w:val="left"/>
        <w:rPr>
          <w:caps w:val="false"/>
          <w:smallCaps w:val="false"/>
        </w:rPr>
      </w:pPr>
      <w:r>
        <w:rPr>
          <w:caps w:val="false"/>
          <w:smallCaps w:val="false"/>
        </w:rPr>
        <w:t> </w:t>
      </w:r>
    </w:p>
    <w:p>
      <w:pPr>
        <w:pStyle w:val="TextBody"/>
        <w:bidi w:val="0"/>
        <w:spacing w:before="92" w:after="92"/>
        <w:ind w:left="2907" w:right="290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ind w:left="979" w:right="97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1" w:after="1"/>
        <w:ind w:left="1" w:right="1" w:hanging="0"/>
        <w:jc w:val="left"/>
        <w:rPr>
          <w:caps w:val="false"/>
          <w:smallCaps w:val="false"/>
        </w:rPr>
      </w:pPr>
      <w:r>
        <w:rPr>
          <w:caps w:val="false"/>
          <w:smallCaps w:val="false"/>
        </w:rPr>
        <w:t> </w:t>
      </w:r>
    </w:p>
    <w:p>
      <w:pPr>
        <w:pStyle w:val="TextBody"/>
        <w:bidi w:val="0"/>
        <w:ind w:left="979" w:right="97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February 2024</w:t>
      </w:r>
    </w:p>
    <w:p>
      <w:pPr>
        <w:pStyle w:val="TextBody"/>
        <w:bidi w:val="0"/>
        <w:spacing w:before="10" w:after="10"/>
        <w:ind w:left="10" w:right="10" w:hanging="0"/>
        <w:jc w:val="left"/>
        <w:rPr/>
      </w:pPr>
      <w:r>
        <w:rPr/>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ind w:left="10" w:right="10" w:hanging="0"/>
        <w:jc w:val="left"/>
        <w:rPr>
          <w:caps w:val="false"/>
          <w:smallCaps w:val="false"/>
        </w:rPr>
      </w:pPr>
      <w:r>
        <w:rPr>
          <w:caps w:val="false"/>
          <w:smallCaps w:val="false"/>
        </w:rPr>
        <w:t> </w:t>
      </w:r>
    </w:p>
    <w:p>
      <w:pPr>
        <w:pStyle w:val="TextBody"/>
        <w:bidi w:val="0"/>
        <w:spacing w:before="92" w:after="92"/>
        <w:ind w:left="979" w:right="97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001-40370</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0" w:after="283"/>
        <w:jc w:val="left"/>
        <w:rPr/>
      </w:pPr>
      <w:r>
        <w:rPr/>
      </w:r>
    </w:p>
    <w:p>
      <w:pPr>
        <w:pStyle w:val="TextBody"/>
        <w:bidi w:val="0"/>
        <w:spacing w:before="7" w:after="7"/>
        <w:ind w:left="7" w:right="7" w:hanging="0"/>
        <w:jc w:val="left"/>
        <w:rPr>
          <w:caps w:val="false"/>
          <w:smallCaps w:val="false"/>
        </w:rPr>
      </w:pPr>
      <w:r>
        <w:rPr>
          <w:caps w:val="false"/>
          <w:smallCaps w:val="false"/>
        </w:rPr>
        <w:t> </w:t>
      </w:r>
    </w:p>
    <w:p>
      <w:pPr>
        <w:pStyle w:val="TextBody"/>
        <w:bidi w:val="0"/>
        <w:spacing w:before="85" w:after="85"/>
        <w:ind w:left="978" w:right="979"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BITFARMS LTD.</w:t>
      </w:r>
    </w:p>
    <w:p>
      <w:pPr>
        <w:pStyle w:val="TextBody"/>
        <w:bidi w:val="0"/>
        <w:ind w:left="978" w:right="979"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0" w:after="283"/>
        <w:jc w:val="left"/>
        <w:rPr/>
      </w:pPr>
      <w:r>
        <w:rPr/>
      </w:r>
    </w:p>
    <w:p>
      <w:pPr>
        <w:pStyle w:val="TextBody"/>
        <w:bidi w:val="0"/>
        <w:jc w:val="left"/>
        <w:rPr>
          <w:caps w:val="false"/>
          <w:smallCaps w:val="false"/>
        </w:rPr>
      </w:pPr>
      <w:r>
        <w:rPr>
          <w:caps w:val="false"/>
          <w:smallCaps w:val="false"/>
        </w:rPr>
        <w:t> </w:t>
      </w:r>
    </w:p>
    <w:p>
      <w:pPr>
        <w:pStyle w:val="TextBody"/>
        <w:bidi w:val="0"/>
        <w:spacing w:before="92" w:after="92"/>
        <w:ind w:left="979" w:right="97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 Yonge Street, Suite 1601, Toronto, Ontario, Canada M5C 1T4</w:t>
      </w:r>
    </w:p>
    <w:p>
      <w:pPr>
        <w:pStyle w:val="TextBody"/>
        <w:bidi w:val="0"/>
        <w:spacing w:before="1" w:after="1"/>
        <w:ind w:left="979" w:right="979"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jc w:val="left"/>
        <w:rPr>
          <w:caps w:val="false"/>
          <w:smallCaps w:val="false"/>
        </w:rPr>
      </w:pPr>
      <w:r>
        <w:rPr>
          <w:caps w:val="false"/>
          <w:smallCaps w:val="false"/>
        </w:rPr>
        <w:t>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92" w:after="92"/>
        <w:ind w:left="160" w:right="15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jc w:val="left"/>
        <w:rPr>
          <w:caps w:val="false"/>
          <w:smallCaps w:val="false"/>
        </w:rPr>
      </w:pPr>
      <w:r>
        <w:rPr>
          <w:caps w:val="false"/>
          <w:smallCaps w:val="false"/>
        </w:rPr>
        <w:t> </w:t>
      </w:r>
    </w:p>
    <w:p>
      <w:pPr>
        <w:pStyle w:val="TextBody"/>
        <w:bidi w:val="0"/>
        <w:ind w:left="1"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w:t>
        <w:tab/>
        <w:t>Form 40-F ☒</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9" w:after="9"/>
        <w:ind w:left="9" w:right="9" w:hanging="0"/>
        <w:jc w:val="left"/>
        <w:rPr/>
      </w:pPr>
      <w:r>
        <w:rPr/>
      </w:r>
    </w:p>
    <w:p>
      <w:pPr>
        <w:pStyle w:val="TextBody"/>
        <w:bidi w:val="0"/>
        <w:spacing w:before="0" w:after="0"/>
        <w:ind w:left="0" w:right="0" w:hanging="0"/>
        <w:jc w:val="left"/>
        <w:rPr/>
      </w:pPr>
      <w:r>
        <w:rPr/>
        <w:t> </w:t>
      </w:r>
    </w:p>
    <w:p>
      <w:pPr>
        <w:pStyle w:val="TextBody"/>
        <w:bidi w:val="0"/>
        <w:ind w:left="160" w:right="569" w:hanging="0"/>
        <w:jc w:val="left"/>
        <w:rPr>
          <w:caps w:val="false"/>
          <w:smallCaps w:val="false"/>
        </w:rPr>
      </w:pPr>
      <w:r>
        <w:rPr>
          <w:caps w:val="false"/>
          <w:smallCaps w:val="false"/>
        </w:rPr>
        <w:t> </w:t>
      </w:r>
    </w:p>
    <w:p>
      <w:pPr>
        <w:pStyle w:val="TextBody"/>
        <w:bidi w:val="0"/>
        <w:spacing w:before="80" w:after="80"/>
        <w:ind w:left="979" w:right="97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INCLUDED AS PART OF THIS FORM 6-K</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2024, the Registrant filed with the Canadian Securities Regulatory Authorities on the System for Electronic Data Analysis and Retrieval (SEDAR) a press release, a copy of which is attached hereto as Exhibit 99.1, and which is incorporated herein by reference.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Exhibits listed below.</w:t>
      </w:r>
    </w:p>
    <w:p>
      <w:pPr>
        <w:pStyle w:val="TextBody"/>
        <w:bidi w:val="0"/>
        <w:spacing w:before="2" w:after="2"/>
        <w:ind w:left="2" w:right="2"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980"/>
        <w:gridCol w:w="60"/>
        <w:gridCol w:w="3065"/>
      </w:tblGrid>
      <w:tr>
        <w:trPr/>
        <w:tc>
          <w:tcPr>
            <w:tcW w:w="980" w:type="dxa"/>
            <w:tcBorders/>
            <w:vAlign w:val="center"/>
          </w:tcPr>
          <w:p>
            <w:pPr>
              <w:pStyle w:val="TableContents"/>
              <w:bidi w:val="0"/>
              <w:spacing w:before="0" w:after="283"/>
              <w:jc w:val="both"/>
              <w:rPr>
                <w:b/>
                <w:sz w:val="20"/>
              </w:rPr>
            </w:pPr>
            <w:r>
              <w:rPr>
                <w:b/>
                <w:sz w:val="20"/>
              </w:rPr>
              <w:t>Exhibits</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both"/>
              <w:rPr/>
            </w:pPr>
            <w:r>
              <w:rPr/>
              <w:t> </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both"/>
              <w:rPr/>
            </w:pPr>
            <w:r>
              <w:rPr/>
              <w:t> </w:t>
            </w:r>
          </w:p>
        </w:tc>
      </w:tr>
      <w:tr>
        <w:trPr/>
        <w:tc>
          <w:tcPr>
            <w:tcW w:w="980" w:type="dxa"/>
            <w:tcBorders>
              <w:bottom w:val="single" w:sz="12" w:space="0" w:color="000000"/>
            </w:tcBorders>
            <w:tcMar>
              <w:bottom w:w="28" w:type="dxa"/>
            </w:tcMar>
            <w:vAlign w:val="center"/>
          </w:tcPr>
          <w:p>
            <w:pPr>
              <w:pStyle w:val="TableContents"/>
              <w:bidi w:val="0"/>
              <w:spacing w:before="0" w:after="283"/>
              <w:jc w:val="both"/>
              <w:rPr>
                <w:sz w:val="20"/>
              </w:rPr>
            </w:pPr>
            <w:r>
              <w:rPr>
                <w:sz w:val="20"/>
              </w:rPr>
              <w:t>Exhibit No.</w:t>
            </w:r>
          </w:p>
        </w:tc>
        <w:tc>
          <w:tcPr>
            <w:tcW w:w="60" w:type="dxa"/>
            <w:tcBorders/>
            <w:vAlign w:val="center"/>
          </w:tcPr>
          <w:p>
            <w:pPr>
              <w:pStyle w:val="TableContents"/>
              <w:bidi w:val="0"/>
              <w:spacing w:before="0" w:after="283"/>
              <w:jc w:val="left"/>
              <w:rPr/>
            </w:pPr>
            <w:r>
              <w:rPr/>
              <w:t> </w:t>
            </w:r>
          </w:p>
        </w:tc>
        <w:tc>
          <w:tcPr>
            <w:tcW w:w="3065" w:type="dxa"/>
            <w:tcBorders>
              <w:bottom w:val="single" w:sz="12" w:space="0" w:color="000000"/>
            </w:tcBorders>
            <w:tcMar>
              <w:bottom w:w="28" w:type="dxa"/>
            </w:tcMar>
            <w:vAlign w:val="center"/>
          </w:tcPr>
          <w:p>
            <w:pPr>
              <w:pStyle w:val="TableContents"/>
              <w:bidi w:val="0"/>
              <w:spacing w:before="0" w:after="283"/>
              <w:jc w:val="both"/>
              <w:rPr>
                <w:sz w:val="20"/>
              </w:rPr>
            </w:pPr>
            <w:r>
              <w:rPr>
                <w:sz w:val="20"/>
              </w:rPr>
              <w:t>Description</w:t>
            </w:r>
          </w:p>
        </w:tc>
      </w:tr>
      <w:tr>
        <w:trPr/>
        <w:tc>
          <w:tcPr>
            <w:tcW w:w="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both"/>
              <w:rPr/>
            </w:pPr>
            <w:r>
              <w:rPr/>
              <w:t> </w:t>
            </w:r>
          </w:p>
        </w:tc>
      </w:tr>
      <w:tr>
        <w:trPr/>
        <w:tc>
          <w:tcPr>
            <w:tcW w:w="980" w:type="dxa"/>
            <w:tcBorders/>
            <w:shd w:fill="CCEEFF" w:val="clear"/>
            <w:vAlign w:val="center"/>
          </w:tcPr>
          <w:p>
            <w:pPr>
              <w:pStyle w:val="TableContents"/>
              <w:bidi w:val="0"/>
              <w:spacing w:before="0" w:after="283"/>
              <w:jc w:val="both"/>
              <w:rPr>
                <w:sz w:val="20"/>
              </w:rPr>
            </w:pPr>
            <w:r>
              <w:rPr>
                <w:sz w:val="20"/>
              </w:rPr>
              <w:t>99.1</w:t>
            </w:r>
          </w:p>
        </w:tc>
        <w:tc>
          <w:tcPr>
            <w:tcW w:w="60" w:type="dxa"/>
            <w:tcBorders/>
            <w:shd w:fill="CCEEFF" w:val="clear"/>
            <w:vAlign w:val="center"/>
          </w:tcPr>
          <w:p>
            <w:pPr>
              <w:pStyle w:val="TableContents"/>
              <w:bidi w:val="0"/>
              <w:spacing w:before="0" w:after="283"/>
              <w:jc w:val="left"/>
              <w:rPr/>
            </w:pPr>
            <w:r>
              <w:rPr/>
              <w:t> </w:t>
            </w:r>
          </w:p>
        </w:tc>
        <w:tc>
          <w:tcPr>
            <w:tcW w:w="3065" w:type="dxa"/>
            <w:tcBorders/>
            <w:shd w:fill="CCEEFF" w:val="clear"/>
            <w:vAlign w:val="center"/>
          </w:tcPr>
          <w:p>
            <w:pPr>
              <w:pStyle w:val="TableContents"/>
              <w:bidi w:val="0"/>
              <w:spacing w:before="0" w:after="283"/>
              <w:jc w:val="both"/>
              <w:rPr/>
            </w:pPr>
            <w:hyperlink w:anchor="ea0200873ex99-1_bitfarms.htm">
              <w:r>
                <w:rPr>
                  <w:rStyle w:val="InternetLink"/>
                  <w:sz w:val="20"/>
                </w:rPr>
                <w:t>Press release dated February 28, 2024</w:t>
              </w:r>
            </w:hyperlink>
          </w:p>
        </w:tc>
      </w:tr>
    </w:tbl>
    <w:p>
      <w:pPr>
        <w:pStyle w:val="TextBody"/>
        <w:bidi w:val="0"/>
        <w:spacing w:before="0" w:after="0"/>
        <w:ind w:left="0" w:right="0" w:hanging="0"/>
        <w:jc w:val="left"/>
        <w:rPr/>
      </w:pPr>
      <w:r>
        <w:rPr/>
        <w:t> </w:t>
      </w:r>
    </w:p>
    <w:p>
      <w:pPr>
        <w:pStyle w:val="TextBody"/>
        <w:bidi w:val="0"/>
        <w:spacing w:before="80" w:after="80"/>
        <w:ind w:left="979" w:right="978" w:hanging="0"/>
        <w:jc w:val="center"/>
        <w:rPr>
          <w:caps w:val="false"/>
          <w:smallCaps w:val="false"/>
        </w:rPr>
      </w:pPr>
      <w:r>
        <w:rPr>
          <w:caps w:val="false"/>
          <w:smallCaps w:val="false"/>
        </w:rPr>
        <w:t> </w:t>
      </w:r>
    </w:p>
    <w:p>
      <w:pPr>
        <w:pStyle w:val="TextBody"/>
        <w:bidi w:val="0"/>
        <w:spacing w:before="80" w:after="80"/>
        <w:ind w:left="979" w:right="978"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jc w:val="left"/>
        <w:rPr>
          <w:caps w:val="false"/>
          <w:smallCaps w:val="false"/>
        </w:rPr>
      </w:pPr>
      <w:r>
        <w:rPr>
          <w:caps w:val="false"/>
          <w:smallCaps w:val="false"/>
        </w:rPr>
        <w:t> </w:t>
      </w:r>
    </w:p>
    <w:p>
      <w:pPr>
        <w:pStyle w:val="TextBody"/>
        <w:bidi w:val="0"/>
        <w:spacing w:before="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ind w:left="160" w:right="0" w:hanging="0"/>
        <w:jc w:val="left"/>
        <w:rPr>
          <w:caps w:val="false"/>
          <w:smallCaps w:val="false"/>
        </w:rPr>
      </w:pPr>
      <w:r>
        <w:rPr>
          <w:caps w:val="false"/>
          <w:smallCaps w:val="false"/>
        </w:rPr>
        <w:t> </w:t>
      </w:r>
    </w:p>
    <w:tbl>
      <w:tblPr>
        <w:tblW w:w="4785" w:type="dxa"/>
        <w:jc w:val="left"/>
        <w:tblInd w:w="0" w:type="dxa"/>
        <w:tblLayout w:type="fixed"/>
        <w:tblCellMar>
          <w:top w:w="0" w:type="dxa"/>
          <w:left w:w="0" w:type="dxa"/>
          <w:bottom w:w="0" w:type="dxa"/>
          <w:right w:w="0" w:type="dxa"/>
        </w:tblCellMar>
      </w:tblPr>
      <w:tblGrid>
        <w:gridCol w:w="75"/>
        <w:gridCol w:w="365"/>
        <w:gridCol w:w="650"/>
        <w:gridCol w:w="3695"/>
      </w:tblGrid>
      <w:tr>
        <w:trPr/>
        <w:tc>
          <w:tcPr>
            <w:tcW w:w="75" w:type="dxa"/>
            <w:tcBorders/>
            <w:vAlign w:val="center"/>
          </w:tcPr>
          <w:p>
            <w:pPr>
              <w:pStyle w:val="TableContents"/>
              <w:bidi w:val="0"/>
              <w:spacing w:before="0" w:after="283"/>
              <w:jc w:val="left"/>
              <w:rPr/>
            </w:pPr>
            <w:r>
              <w:rPr/>
              <w:t> </w:t>
            </w:r>
          </w:p>
        </w:tc>
        <w:tc>
          <w:tcPr>
            <w:tcW w:w="4710" w:type="dxa"/>
            <w:gridSpan w:val="3"/>
            <w:tcBorders/>
            <w:vAlign w:val="center"/>
          </w:tcPr>
          <w:p>
            <w:pPr>
              <w:pStyle w:val="TableContents"/>
              <w:bidi w:val="0"/>
              <w:spacing w:before="0" w:after="283"/>
              <w:jc w:val="left"/>
              <w:rPr>
                <w:b/>
              </w:rPr>
            </w:pPr>
            <w:r>
              <w:rPr>
                <w:b/>
              </w:rPr>
              <w:t>BITFARMS LTD.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345" w:type="dxa"/>
            <w:gridSpan w:val="2"/>
            <w:tcBorders>
              <w:bottom w:val="single" w:sz="12" w:space="0" w:color="000000"/>
            </w:tcBorders>
            <w:tcMar>
              <w:bottom w:w="28" w:type="dxa"/>
            </w:tcMar>
            <w:vAlign w:val="center"/>
          </w:tcPr>
          <w:p>
            <w:pPr>
              <w:pStyle w:val="TableContents"/>
              <w:bidi w:val="0"/>
              <w:spacing w:before="0" w:after="283"/>
              <w:jc w:val="left"/>
              <w:rPr/>
            </w:pPr>
            <w:r>
              <w:rPr/>
              <w:t>/s/ L. Geoffrey Morphy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695" w:type="dxa"/>
            <w:tcBorders/>
            <w:vAlign w:val="center"/>
          </w:tcPr>
          <w:p>
            <w:pPr>
              <w:pStyle w:val="TableContents"/>
              <w:bidi w:val="0"/>
              <w:spacing w:before="0" w:after="283"/>
              <w:jc w:val="left"/>
              <w:rPr/>
            </w:pPr>
            <w:r>
              <w:rPr/>
              <w:t> </w:t>
            </w:r>
            <w:r>
              <w:rPr/>
              <w:t>L. Geoffrey Morphy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695" w:type="dxa"/>
            <w:tcBorders/>
            <w:vAlign w:val="center"/>
          </w:tcPr>
          <w:p>
            <w:pPr>
              <w:pStyle w:val="TableContents"/>
              <w:bidi w:val="0"/>
              <w:spacing w:before="0" w:after="283"/>
              <w:jc w:val="left"/>
              <w:rPr/>
            </w:pPr>
            <w:r>
              <w:rPr/>
              <w:t> </w:t>
            </w:r>
            <w:r>
              <w:rPr/>
              <w:t>President and Chief Executive Officer</w:t>
            </w:r>
          </w:p>
        </w:tc>
      </w:tr>
    </w:tbl>
    <w:p>
      <w:pPr>
        <w:pStyle w:val="TextBody"/>
        <w:bidi w:val="0"/>
        <w:spacing w:before="6" w:after="6"/>
        <w:ind w:left="6" w:right="6" w:hanging="0"/>
        <w:jc w:val="left"/>
        <w:rPr>
          <w:caps w:val="false"/>
          <w:smallCaps w:val="false"/>
        </w:rPr>
      </w:pPr>
      <w:r>
        <w:rPr>
          <w:caps w:val="false"/>
          <w:smallCaps w:val="false"/>
        </w:rPr>
        <w:t> </w:t>
      </w:r>
    </w:p>
    <w:p>
      <w:pPr>
        <w:pStyle w:val="TextBody"/>
        <w:bidi w:val="0"/>
        <w:spacing w:before="6" w:after="6"/>
        <w:ind w:left="6" w:right="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28, 2024</w:t>
      </w:r>
    </w:p>
    <w:p>
      <w:pPr>
        <w:pStyle w:val="TextBody"/>
        <w:bidi w:val="0"/>
        <w:ind w:left="160" w:right="0" w:hanging="0"/>
        <w:jc w:val="left"/>
        <w:rPr>
          <w:caps w:val="false"/>
          <w:smallCaps w:val="false"/>
        </w:rPr>
      </w:pPr>
      <w:r>
        <w:rPr>
          <w:caps w:val="false"/>
          <w:smallCaps w:val="false"/>
        </w:rPr>
        <w:t> </w:t>
      </w:r>
    </w:p>
    <w:p>
      <w:pPr>
        <w:pStyle w:val="TextBody"/>
        <w:bidi w:val="0"/>
        <w:ind w:left="160" w:right="0" w:hanging="0"/>
        <w:jc w:val="left"/>
        <w:rPr>
          <w:caps w:val="false"/>
          <w:smallCaps w:val="false"/>
        </w:rPr>
      </w:pPr>
      <w:r>
        <w:rPr>
          <w:caps w:val="false"/>
          <w:smallCaps w:val="false"/>
        </w:rPr>
        <w:t> </w:t>
      </w:r>
    </w:p>
    <w:p>
      <w:pPr>
        <w:pStyle w:val="TextBody"/>
        <w:bidi w:val="0"/>
        <w:jc w:val="right"/>
        <w:rPr>
          <w:b/>
          <w:color w:val="000000"/>
        </w:rPr>
      </w:pPr>
      <w:bookmarkStart w:id="2" w:name="ea0200873ex99-1_bitfarms.htm"/>
      <w:bookmarkStart w:id="3" w:name="ksea0200873ex991_bitfarms"/>
      <w:bookmarkEnd w:id="2"/>
      <w:bookmarkEnd w:id="3"/>
      <w:r>
        <w:rPr>
          <w:b/>
          <w:color w:val="000000"/>
        </w:rPr>
        <w:t>Exhibit 99.1</w:t>
      </w:r>
      <w:r>
        <w:br w:type="page"/>
      </w:r>
    </w:p>
    <w:p>
      <w:pPr>
        <w:pStyle w:val="TextBody"/>
        <w:bidi w:val="0"/>
        <w:jc w:val="left"/>
        <w:rPr>
          <w:color w:val="000000"/>
        </w:rPr>
      </w:pPr>
      <w:r>
        <w:rPr>
          <w:color w:val="000000"/>
        </w:rPr>
        <w:t> </w:t>
      </w:r>
    </w:p>
    <w:p>
      <w:pPr>
        <w:pStyle w:val="TextBody"/>
        <w:bidi w:val="0"/>
        <w:jc w:val="center"/>
        <w:rPr>
          <w:caps w:val="false"/>
          <w:smallCaps w:val="false"/>
          <w:color w:val="000000"/>
        </w:rPr>
      </w:pPr>
      <w:r>
        <w:rPr>
          <w:caps w:val="false"/>
          <w:smallCaps w:val="false"/>
          <w:color w:val="000000"/>
        </w:rPr>
        <w:drawing>
          <wp:inline distT="0" distB="0" distL="0" distR="0">
            <wp:extent cx="2257425"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7425" cy="590550"/>
                    </a:xfrm>
                    <a:prstGeom prst="rect">
                      <a:avLst/>
                    </a:prstGeom>
                  </pic:spPr>
                </pic:pic>
              </a:graphicData>
            </a:graphic>
          </wp:inline>
        </w:drawing>
      </w:r>
    </w:p>
    <w:p>
      <w:pPr>
        <w:pStyle w:val="TextBody"/>
        <w:bidi w:val="0"/>
        <w:jc w:val="center"/>
        <w:rPr>
          <w:caps w:val="false"/>
          <w:smallCaps w:val="false"/>
          <w:color w:val="000000"/>
        </w:rPr>
      </w:pPr>
      <w:r>
        <w:rPr>
          <w:caps w:val="false"/>
          <w:smallCaps w:val="false"/>
          <w:color w:val="000000"/>
        </w:rPr>
        <w:t> </w:t>
      </w:r>
    </w:p>
    <w:p>
      <w:pPr>
        <w:pStyle w:val="TextBody"/>
        <w:bidi w:val="0"/>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z w:val="28"/>
        </w:rPr>
        <w:t>Bitfarms Schedules Fourth Quarter and Full Year 2023 Conference Call on March 7</w:t>
      </w:r>
      <w:r>
        <w:rPr>
          <w:rFonts w:ascii="Times New Roman;Times;Serif" w:hAnsi="Times New Roman;Times;Serif"/>
          <w:b/>
          <w:i w:val="false"/>
          <w:caps w:val="false"/>
          <w:smallCaps w:val="false"/>
          <w:color w:val="000000"/>
          <w:position w:val="9"/>
          <w:sz w:val="22"/>
          <w:sz w:val="28"/>
        </w:rPr>
        <w:t>th</w:t>
      </w:r>
      <w:r>
        <w:rPr>
          <w:rFonts w:ascii="Times New Roman;Times;Serif" w:hAnsi="Times New Roman;Times;Serif"/>
          <w:b/>
          <w:i w:val="false"/>
          <w:caps w:val="false"/>
          <w:smallCaps w:val="false"/>
          <w:color w:val="000000"/>
          <w:sz w:val="28"/>
        </w:rPr>
        <w:t>, 2024</w:t>
      </w:r>
    </w:p>
    <w:p>
      <w:pPr>
        <w:pStyle w:val="TextBody"/>
        <w:shd w:fill="FFFFFF" w:val="clear"/>
        <w:bidi w:val="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z w:val="20"/>
        </w:rPr>
        <w:t>TORONTO and BROSSARD, Québec, February 28, 2024</w:t>
      </w:r>
      <w:r>
        <w:rPr>
          <w:rFonts w:ascii="Times New Roman;Times;Serif" w:hAnsi="Times New Roman;Times;Serif"/>
          <w:b w:val="false"/>
          <w:i w:val="false"/>
          <w:caps w:val="false"/>
          <w:smallCaps w:val="false"/>
          <w:color w:val="000000"/>
          <w:sz w:val="20"/>
        </w:rPr>
        <w:t xml:space="preserve"> -- Bitfarms Ltd. (NASDAQ/TSX: BITF), a global vertically integrated Bitcoin mining company, will report its fourth quarter and full year 2023 financial results on Thursday, March 7, 2024 before the market opens. Management will host a conference call on the same day at 8:00am EST. A presentation of the Q4 2023 results will be accessible before the call on the Investor website and can be accessed here.</w:t>
      </w:r>
    </w:p>
    <w:p>
      <w:pPr>
        <w:pStyle w:val="TextBody"/>
        <w:shd w:fill="FFFFFF" w:val="clear"/>
        <w:bidi w:val="0"/>
        <w:jc w:val="left"/>
        <w:rPr>
          <w:caps w:val="false"/>
          <w:smallCaps w:val="false"/>
          <w:color w:val="000000"/>
        </w:rPr>
      </w:pPr>
      <w:r>
        <w:rPr>
          <w:caps w:val="false"/>
          <w:smallCaps w:val="false"/>
          <w:color w:val="000000"/>
        </w:rPr>
        <w:t> </w:t>
      </w:r>
    </w:p>
    <w:p>
      <w:pPr>
        <w:pStyle w:val="TextBody"/>
        <w:shd w:fill="FFFFFF" w:val="clear"/>
        <w:bidi w:val="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Participants are asked to pre-register for the event through the following link:</w:t>
        <w:br/>
        <w:t>Q4 2023 Conference Call. Please note that registered participants will receive their dial-in number upon registration and will dial directly into the call without delay. Those unable to pre-register may dial in by calling: 1-866-777-2509 (domestic), or 1-412-317-5413 (international), and should do so 10 minutes prior to the start time.</w:t>
      </w:r>
    </w:p>
    <w:p>
      <w:pPr>
        <w:pStyle w:val="TextBody"/>
        <w:shd w:fill="FFFFFF" w:val="clear"/>
        <w:bidi w:val="0"/>
        <w:jc w:val="left"/>
        <w:rPr>
          <w:caps w:val="false"/>
          <w:smallCaps w:val="false"/>
          <w:color w:val="000000"/>
        </w:rPr>
      </w:pPr>
      <w:r>
        <w:rPr>
          <w:caps w:val="false"/>
          <w:smallCaps w:val="false"/>
          <w:color w:val="000000"/>
        </w:rPr>
        <w:t> </w:t>
      </w:r>
    </w:p>
    <w:p>
      <w:pPr>
        <w:pStyle w:val="TextBody"/>
        <w:shd w:fill="FFFFFF" w:val="clear"/>
        <w:bidi w:val="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conference call will also be available through a live webcast found here.</w:t>
      </w:r>
    </w:p>
    <w:p>
      <w:pPr>
        <w:pStyle w:val="TextBody"/>
        <w:shd w:fill="FFFFFF" w:val="clear"/>
        <w:bidi w:val="0"/>
        <w:jc w:val="left"/>
        <w:rPr>
          <w:caps w:val="false"/>
          <w:smallCaps w:val="false"/>
          <w:color w:val="000000"/>
        </w:rPr>
      </w:pPr>
      <w:r>
        <w:rPr>
          <w:caps w:val="false"/>
          <w:smallCaps w:val="false"/>
          <w:color w:val="000000"/>
        </w:rPr>
        <w:t> </w:t>
      </w:r>
    </w:p>
    <w:p>
      <w:pPr>
        <w:pStyle w:val="TextBody"/>
        <w:shd w:fill="FFFFFF" w:val="clear"/>
        <w:bidi w:val="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webcast replay will be available approximately one hour after the end of the call and can be accessed in the Events section of our Investor website. An audio replay will be available through March 14, 2024, and can be accessed at 1-877-344-7529 (domestic), 1-412-317-0088 (international), or Canada (toll free) 855-669-9658 using access code 4390159.</w:t>
      </w:r>
    </w:p>
    <w:p>
      <w:pPr>
        <w:pStyle w:val="TextBody"/>
        <w:bidi w:val="0"/>
        <w:spacing w:before="0" w:after="2"/>
        <w:ind w:left="11" w:right="0" w:hanging="11"/>
        <w:jc w:val="both"/>
        <w:rPr>
          <w:caps w:val="false"/>
          <w:smallCaps w:val="false"/>
          <w:color w:val="000000"/>
        </w:rPr>
      </w:pPr>
      <w:r>
        <w:rPr>
          <w:caps w:val="false"/>
          <w:smallCaps w:val="false"/>
          <w:color w:val="000000"/>
        </w:rPr>
        <w:t> </w:t>
      </w:r>
    </w:p>
    <w:p>
      <w:pPr>
        <w:pStyle w:val="TextBody"/>
        <w:bidi w:val="0"/>
        <w:spacing w:before="0" w:after="2"/>
        <w:ind w:left="11" w:right="0" w:hanging="11"/>
        <w:jc w:val="both"/>
        <w:rPr>
          <w:rFonts w:ascii="Times New Roman;Times;Serif" w:hAnsi="Times New Roman;Times;Serif"/>
          <w:b/>
          <w:i w:val="false"/>
          <w:caps w:val="false"/>
          <w:smallCaps w:val="false"/>
          <w:color w:val="000000"/>
          <w:sz w:val="20"/>
          <w:shd w:fill="FEFEFE" w:val="clear"/>
        </w:rPr>
      </w:pPr>
      <w:r>
        <w:rPr>
          <w:rFonts w:ascii="Times New Roman;Times;Serif" w:hAnsi="Times New Roman;Times;Serif"/>
          <w:b/>
          <w:i w:val="false"/>
          <w:caps w:val="false"/>
          <w:smallCaps w:val="false"/>
          <w:color w:val="000000"/>
          <w:sz w:val="20"/>
          <w:shd w:fill="FEFEFE" w:val="clear"/>
        </w:rPr>
        <w:t>About Bitfarms Ltd.</w:t>
      </w:r>
    </w:p>
    <w:p>
      <w:pPr>
        <w:pStyle w:val="TextBody"/>
        <w:shd w:fill="FEFEFE" w:val="clear"/>
        <w:bidi w:val="0"/>
        <w:ind w:left="11" w:right="0" w:hanging="11"/>
        <w:jc w:val="left"/>
        <w:rPr>
          <w:caps w:val="false"/>
          <w:smallCaps w:val="false"/>
          <w:color w:val="000000"/>
        </w:rPr>
      </w:pPr>
      <w:r>
        <w:rPr>
          <w:caps w:val="false"/>
          <w:smallCaps w:val="false"/>
          <w:color w:val="000000"/>
        </w:rPr>
        <w:t> </w:t>
      </w:r>
    </w:p>
    <w:p>
      <w:pPr>
        <w:pStyle w:val="TextBody"/>
        <w:shd w:fill="FEFEFE" w:val="clear"/>
        <w:bidi w:val="0"/>
        <w:ind w:left="11" w:right="0" w:hanging="11"/>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Founded in 2017, Bitfarms is a global,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pStyle w:val="TextBody"/>
        <w:shd w:fill="FEFEFE" w:val="clear"/>
        <w:bidi w:val="0"/>
        <w:ind w:left="11" w:right="0" w:hanging="11"/>
        <w:jc w:val="both"/>
        <w:rPr>
          <w:caps w:val="false"/>
          <w:smallCaps w:val="false"/>
          <w:color w:val="000000"/>
        </w:rPr>
      </w:pPr>
      <w:r>
        <w:rPr>
          <w:caps w:val="false"/>
          <w:smallCaps w:val="false"/>
          <w:color w:val="000000"/>
        </w:rPr>
        <w:t> </w:t>
      </w:r>
    </w:p>
    <w:p>
      <w:pPr>
        <w:pStyle w:val="TextBody"/>
        <w:shd w:fill="FEFEFE" w:val="clear"/>
        <w:bidi w:val="0"/>
        <w:ind w:left="11" w:right="0" w:hanging="11"/>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Bitfarms currently has 11 operating Bitcoin mining facilities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pStyle w:val="TextBody"/>
        <w:shd w:fill="FEFEFE" w:val="clear"/>
        <w:bidi w:val="0"/>
        <w:ind w:left="11" w:right="0" w:hanging="11"/>
        <w:jc w:val="both"/>
        <w:rPr>
          <w:caps w:val="false"/>
          <w:smallCaps w:val="false"/>
          <w:color w:val="000000"/>
        </w:rPr>
      </w:pPr>
      <w:r>
        <w:rPr>
          <w:caps w:val="false"/>
          <w:smallCaps w:val="false"/>
          <w:color w:val="000000"/>
        </w:rPr>
        <w:t> </w:t>
      </w:r>
    </w:p>
    <w:p>
      <w:pPr>
        <w:pStyle w:val="TextBody"/>
        <w:shd w:fill="FEFEFE" w:val="clear"/>
        <w:bidi w:val="0"/>
        <w:spacing w:before="0" w:after="36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To learn more about Bitfarms’ events, developments, and online communities:</w:t>
      </w:r>
    </w:p>
    <w:p>
      <w:pPr>
        <w:pStyle w:val="TextBody"/>
        <w:shd w:fill="FEFEFE" w:val="clear"/>
        <w:bidi w:val="0"/>
        <w:spacing w:before="0" w:after="36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Website: www.bitfarms.com</w:t>
      </w:r>
    </w:p>
    <w:p>
      <w:pPr>
        <w:pStyle w:val="TextBody"/>
        <w:shd w:fill="FEFEFE" w:val="clear"/>
        <w:bidi w:val="0"/>
        <w:spacing w:before="0" w:after="360"/>
        <w:jc w:val="left"/>
        <w:rPr>
          <w:rFonts w:ascii="Times New Roman;Times;Serif" w:hAnsi="Times New Roman;Times;Serif"/>
          <w:b w:val="false"/>
          <w:i w:val="false"/>
          <w:caps w:val="false"/>
          <w:smallCaps w:val="false"/>
          <w:color w:val="499ED6"/>
          <w:sz w:val="20"/>
        </w:rPr>
      </w:pPr>
      <w:r>
        <w:rPr>
          <w:rFonts w:ascii="Times New Roman;Times;Serif" w:hAnsi="Times New Roman;Times;Serif"/>
          <w:b w:val="false"/>
          <w:i w:val="false"/>
          <w:caps w:val="false"/>
          <w:smallCaps w:val="false"/>
          <w:color w:val="000000"/>
          <w:sz w:val="20"/>
        </w:rPr>
        <w:t>https://www.facebook.com/bitfarms/</w:t>
        <w:br/>
        <w:t>https://twitter.com/Bitfarms_io</w:t>
        <w:br/>
        <w:t>https://www.instagram.com/bitfarms/</w:t>
        <w:br/>
        <w:t>https://www.linkedin.com/company/bitfarms/</w:t>
      </w:r>
      <w:r>
        <w:rPr>
          <w:rFonts w:ascii="Times New Roman;Times;Serif" w:hAnsi="Times New Roman;Times;Serif"/>
          <w:b w:val="false"/>
          <w:i w:val="false"/>
          <w:caps w:val="false"/>
          <w:smallCaps w:val="false"/>
          <w:color w:val="499ED6"/>
          <w:sz w:val="20"/>
        </w:rPr>
        <w:t> </w:t>
      </w:r>
    </w:p>
    <w:p>
      <w:pPr>
        <w:pStyle w:val="TextBody"/>
        <w:shd w:fill="FFFFFF" w:val="clear"/>
        <w:bidi w:val="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Investor Relations Contacts:</w:t>
      </w:r>
    </w:p>
    <w:p>
      <w:pPr>
        <w:pStyle w:val="TextBody"/>
        <w:shd w:fill="FFFFFF" w:val="clear"/>
        <w:bidi w:val="0"/>
        <w:jc w:val="left"/>
        <w:rPr>
          <w:caps w:val="false"/>
          <w:smallCaps w:val="false"/>
          <w:color w:val="000000"/>
        </w:rPr>
      </w:pPr>
      <w:r>
        <w:rPr>
          <w:caps w:val="false"/>
          <w:smallCaps w:val="false"/>
          <w:color w:val="000000"/>
        </w:rPr>
        <w:t> </w:t>
      </w:r>
    </w:p>
    <w:p>
      <w:pPr>
        <w:pStyle w:val="TextBody"/>
        <w:shd w:fill="FFFFFF" w:val="clear"/>
        <w:bidi w:val="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Tracy Krumme (Bitfarms)</w:t>
      </w:r>
    </w:p>
    <w:p>
      <w:pPr>
        <w:pStyle w:val="TextBody"/>
        <w:shd w:fill="FFFFFF" w:val="clear"/>
        <w:bidi w:val="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+1 786-671-5638</w:t>
      </w:r>
    </w:p>
    <w:p>
      <w:pPr>
        <w:pStyle w:val="TextBody"/>
        <w:shd w:fill="FFFFFF" w:val="clear"/>
        <w:bidi w:val="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tkrumme@bitfarms.com</w:t>
      </w:r>
    </w:p>
    <w:p>
      <w:pPr>
        <w:pStyle w:val="TextBody"/>
        <w:shd w:fill="FFFFFF" w:val="clear"/>
        <w:bidi w:val="0"/>
        <w:jc w:val="left"/>
        <w:rPr>
          <w:caps w:val="false"/>
          <w:smallCaps w:val="false"/>
          <w:color w:val="000000"/>
        </w:rPr>
      </w:pPr>
      <w:r>
        <w:rPr>
          <w:caps w:val="false"/>
          <w:smallCaps w:val="false"/>
          <w:color w:val="000000"/>
        </w:rPr>
        <w:t> </w:t>
      </w:r>
    </w:p>
    <w:p>
      <w:pPr>
        <w:pStyle w:val="TextBody"/>
        <w:shd w:fill="FFFFFF" w:val="clear"/>
        <w:bidi w:val="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David Barnard (LHA)</w:t>
      </w:r>
    </w:p>
    <w:p>
      <w:pPr>
        <w:pStyle w:val="TextBody"/>
        <w:shd w:fill="FFFFFF" w:val="clear"/>
        <w:bidi w:val="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+1 415-433-3777</w:t>
      </w:r>
    </w:p>
    <w:p>
      <w:pPr>
        <w:pStyle w:val="TextBody"/>
        <w:shd w:fill="FFFFFF" w:val="clear"/>
        <w:bidi w:val="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Investors@bitfarms.com</w:t>
      </w:r>
    </w:p>
    <w:p>
      <w:pPr>
        <w:pStyle w:val="TextBody"/>
        <w:shd w:fill="FFFFFF" w:val="clear"/>
        <w:bidi w:val="0"/>
        <w:jc w:val="left"/>
        <w:rPr>
          <w:caps w:val="false"/>
          <w:smallCaps w:val="false"/>
          <w:color w:val="000000"/>
        </w:rPr>
      </w:pPr>
      <w:r>
        <w:rPr>
          <w:caps w:val="false"/>
          <w:smallCaps w:val="false"/>
          <w:color w:val="000000"/>
        </w:rPr>
        <w:t> </w:t>
      </w:r>
    </w:p>
    <w:p>
      <w:pPr>
        <w:pStyle w:val="TextBody"/>
        <w:bidi w:val="0"/>
        <w:spacing w:before="0" w:after="2"/>
        <w:ind w:left="11" w:right="0" w:hanging="11"/>
        <w:jc w:val="both"/>
        <w:rPr>
          <w:caps w:val="false"/>
          <w:smallCaps w:val="false"/>
          <w:color w:val="000000"/>
        </w:rPr>
      </w:pPr>
      <w:r>
        <w:rPr>
          <w:caps w:val="false"/>
          <w:smallCaps w:val="false"/>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573</Words>
  <Characters>3422</Characters>
  <CharactersWithSpaces>4010</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