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January 28, 2025,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Registration Statements of Bitfarms Ltd. on </w:t>
      </w:r>
      <w:hyperlink r:id="rId18">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333-278868) and </w:t>
      </w:r>
      <w:hyperlink r:id="rId20">
        <w:r>
          <w:rPr>
            <w:rFonts w:ascii="Times New Roman" w:cs="Times New Roman" w:eastAsia="Times New Roman" w:hAnsi="Times New Roman"/>
            <w:sz w:val="18"/>
            <w:szCs w:val="18"/>
            <w:u w:val="single" w:color="auto"/>
            <w:color w:val="0000EE"/>
          </w:rPr>
          <w:t>Form F-4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333-282657), each as amended or supplemented.</w:t>
      </w:r>
    </w:p>
    <w:p>
      <w:pPr>
        <w:spacing w:after="0" w:line="18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rFonts w:ascii="Times New Roman" w:cs="Times New Roman" w:eastAsia="Times New Roman" w:hAnsi="Times New Roman"/>
          <w:sz w:val="18"/>
          <w:szCs w:val="18"/>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rFonts w:ascii="Times New Roman" w:cs="Times New Roman" w:eastAsia="Times New Roman" w:hAnsi="Times New Roman"/>
          <w:sz w:val="18"/>
          <w:szCs w:val="18"/>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January 28, 2025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4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28,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31"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January 28, 2025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Bitfarms Enters into a Binding LOI with HIVE Digital Technologies for the Sale of its Yguazu, Paraguay Site</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-Bitfarms to reinvest capital in US growth opportunities-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-Accretive transaction values the completed site at ~$85 million and significantly reduces anticipated 2025 capital requirements-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-Rebalances YE 2025 proforma energy portfolio to ~80% North American &amp; 20% international-</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-Reduces expected average power costs by ~10%-</w:t>
      </w:r>
    </w:p>
    <w:p>
      <w:pPr>
        <w:spacing w:after="0" w:line="205"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Bitfarms’ second amended and restated prospectus supplement dated December 17, 2024, to its short form base shelf prospectus dated November 10, 2023.</w:t>
      </w:r>
    </w:p>
    <w:p>
      <w:pPr>
        <w:spacing w:after="0" w:line="156" w:lineRule="exact"/>
        <w:rPr>
          <w:sz w:val="20"/>
          <w:szCs w:val="20"/>
          <w:color w:val="auto"/>
        </w:rPr>
      </w:pPr>
    </w:p>
    <w:p>
      <w:pPr>
        <w:ind w:right="540" w:hanging="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Toronto, Ontario (January 28, 2025) </w:t>
      </w:r>
      <w:r>
        <w:rPr>
          <w:rFonts w:ascii="Times New Roman" w:cs="Times New Roman" w:eastAsia="Times New Roman" w:hAnsi="Times New Roman"/>
          <w:sz w:val="18"/>
          <w:szCs w:val="18"/>
          <w:color w:val="auto"/>
        </w:rPr>
        <w:t>- Bitfarms Ltd. (NASDAQ/TSX: BITF), a global vertically integrated Bitcoin data center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has entered into a binding Letter of Intent (“LOI”) to sell its 200 MW site in Yguazu, Paraguay to HIVE Digital Technologies, Ltd (“HIVE”). The transaction is expected to close in the first quarter of 2025.</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Bitfarms CEO Ben Gagnon stated, “We are pleased to announce the sale of our Yguazu site to HIVE as we continue to streamline our operations and rebalance towards North America. Bitfarms will be reinvesting the capital from this sale towards its 1 GW growth pipeline in the U.S. for BTC and HPC/AI infrastructure which marks a significant milestone in our transition from an international Bitcoin miner to a North American energy and compute infrastructure company.”</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remain fully committed to our current operations in Latin America, with three sites totaling 144 MW that all benefit from long-term power contracts, competitive pricing and geographical diversification. This shift towards U.S.-based assets is in-line with our strategy to diversify beyond Bitcoin mining and capitalize on the significant growth opportunities in HPC/AI.”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23430" cy="822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23430" cy="822960"/>
                    </a:xfrm>
                    <a:prstGeom prst="rect">
                      <a:avLst/>
                    </a:prstGeom>
                    <a:noFill/>
                  </pic:spPr>
                </pic:pic>
              </a:graphicData>
            </a:graphic>
          </wp:anchor>
        </w:drawing>
      </w:r>
    </w:p>
    <w:p>
      <w:pPr>
        <w:spacing w:after="0" w:line="209" w:lineRule="exact"/>
        <w:rPr>
          <w:sz w:val="20"/>
          <w:szCs w:val="20"/>
          <w:color w:val="auto"/>
        </w:rPr>
      </w:pPr>
    </w:p>
    <w:p>
      <w:pPr>
        <w:ind w:left="20" w:hanging="9"/>
        <w:spacing w:after="0" w:line="266" w:lineRule="auto"/>
        <w:rPr>
          <w:sz w:val="20"/>
          <w:szCs w:val="20"/>
          <w:color w:val="auto"/>
        </w:rPr>
      </w:pPr>
      <w:r>
        <w:rPr>
          <w:rFonts w:ascii="Times New Roman" w:cs="Times New Roman" w:eastAsia="Times New Roman" w:hAnsi="Times New Roman"/>
          <w:sz w:val="18"/>
          <w:szCs w:val="18"/>
          <w:color w:val="auto"/>
        </w:rPr>
        <w:t>Under the terms of the binding LOI, HIVE will purchase from Bitfarms its 100% ownership stake of its Yguazu, Paraguay Bitcoin mining site. The proposed transaction values the completed site at approximately $85 million, inclusive of approximately $19 million of power deposits with ANDE and the assumption of remaining capital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to receive:</w:t>
      </w:r>
    </w:p>
    <w:p>
      <w:pPr>
        <w:spacing w:after="0" w:line="25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upon closing of this transaction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over 6 months following closing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as reimbursement for power deposits made to ANDE by Bitfarms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 million in remaining capital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Transaction Benefits</w:t>
      </w:r>
    </w:p>
    <w:p>
      <w:pPr>
        <w:spacing w:after="0" w:line="25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reduces Bitfarms’ anticipated 2025 capital requirements.</w:t>
      </w:r>
    </w:p>
    <w:p>
      <w:pPr>
        <w:spacing w:after="0" w:line="252"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Rebalances portfolio to ~80% North American and 20% International by YE 2025, when coupled with our acquisition of Stronghold Digital Mining, which is expected to close in the next couple of months.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estimated average power costs by ~10%.</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impact miner deployment schedule. Reduces YE 2025 MW capacity from 955 MW to 755 MW.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ind w:left="20" w:right="16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-559435</wp:posOffset>
            </wp:positionV>
            <wp:extent cx="7123430" cy="1508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23430" cy="150876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Bitfarms currently has 12 operating Bitcoin data centers and two under development, as well as hosting agreements with two data centers, in four countries: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Canada, the United States, Paraguay, and Argentina. Powered predominantly by environmentally friendly hydro-electric and long-term power contracts,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Bitfarms is committed to using sustainable and often underutilized energy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548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or M/M= year over year or month over month</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-666750</wp:posOffset>
            </wp:positionV>
            <wp:extent cx="7132320" cy="2468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sale of the Yguazu, Paraguay Site, the merits of the rebalancing operations to North America, the reinvestment of the proceeds of the sale for growth, the North American energy and compute infrastructure strategy, and other statements regarding future growth,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spacing w:after="0" w:line="267" w:lineRule="auto"/>
        <w:rPr>
          <w:sz w:val="20"/>
          <w:szCs w:val="20"/>
          <w:color w:val="auto"/>
        </w:rPr>
      </w:pPr>
      <w:r>
        <w:rPr>
          <w:rFonts w:ascii="Times New Roman" w:cs="Times New Roman" w:eastAsia="Times New Roman" w:hAnsi="Times New Roman"/>
          <w:sz w:val="17"/>
          <w:szCs w:val="17"/>
          <w:i w:val="1"/>
          <w:iCs w:val="1"/>
          <w:color w:val="auto"/>
          <w:highlight w:val="white"/>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an inability to complete the sale of the Yguazu, Paraguay Site on the terms as announced or at all; the reinvestment of the proceeds of the sale may not occur on an economic basis; the anticipated benefits of the rebalancing of operations to North America and the North American energy and compute infrastructure strategy may not be realized; expansion may not materialize as currently anticipated, or at all; the digital currency market; the ability to successfully mine </w:t>
      </w:r>
      <w:r>
        <w:rPr>
          <w:rFonts w:ascii="Times New Roman" w:cs="Times New Roman" w:eastAsia="Times New Roman" w:hAnsi="Times New Roman"/>
          <w:sz w:val="17"/>
          <w:szCs w:val="17"/>
          <w:i w:val="1"/>
          <w:iCs w:val="1"/>
          <w:color w:val="auto"/>
        </w:rPr>
        <w:t>Bitcoin;</w:t>
      </w:r>
      <w:r>
        <w:rPr>
          <w:rFonts w:ascii="Times New Roman" w:cs="Times New Roman" w:eastAsia="Times New Roman" w:hAnsi="Times New Roman"/>
          <w:sz w:val="17"/>
          <w:szCs w:val="17"/>
          <w:i w:val="1"/>
          <w:iCs w:val="1"/>
          <w:color w:val="auto"/>
          <w:highlight w:val="white"/>
        </w:rPr>
        <w:t xml:space="preserve"> revenue may not increase as currently anticipated, or at all; it may not be possible to profitably liquidate the current </w:t>
      </w:r>
      <w:r>
        <w:rPr>
          <w:rFonts w:ascii="Times New Roman" w:cs="Times New Roman" w:eastAsia="Times New Roman" w:hAnsi="Times New Roman"/>
          <w:sz w:val="17"/>
          <w:szCs w:val="17"/>
          <w:i w:val="1"/>
          <w:iCs w:val="1"/>
          <w:color w:val="auto"/>
        </w:rPr>
        <w:t>Bitcoin</w:t>
      </w:r>
      <w:r>
        <w:rPr>
          <w:rFonts w:ascii="Times New Roman" w:cs="Times New Roman" w:eastAsia="Times New Roman" w:hAnsi="Times New Roman"/>
          <w:sz w:val="17"/>
          <w:szCs w:val="17"/>
          <w:i w:val="1"/>
          <w:iCs w:val="1"/>
          <w:color w:val="auto"/>
          <w:highlight w:val="white"/>
        </w:rPr>
        <w:t xml:space="preserve"> inventory, or at all; a decline in </w:t>
      </w:r>
      <w:r>
        <w:rPr>
          <w:rFonts w:ascii="Times New Roman" w:cs="Times New Roman" w:eastAsia="Times New Roman" w:hAnsi="Times New Roman"/>
          <w:sz w:val="17"/>
          <w:szCs w:val="17"/>
          <w:i w:val="1"/>
          <w:iCs w:val="1"/>
          <w:color w:val="auto"/>
        </w:rPr>
        <w:t>Bitcoin</w:t>
      </w:r>
      <w:r>
        <w:rPr>
          <w:rFonts w:ascii="Times New Roman" w:cs="Times New Roman" w:eastAsia="Times New Roman" w:hAnsi="Times New Roman"/>
          <w:sz w:val="17"/>
          <w:szCs w:val="17"/>
          <w:i w:val="1"/>
          <w:iCs w:val="1"/>
          <w:color w:val="auto"/>
          <w:highlight w:val="white"/>
        </w:rPr>
        <w:t xml:space="preserve"> prices may have a significant negative impact on operations; an increase in network difficulty may have a significant negative impact on operations; the volatility of </w:t>
      </w:r>
      <w:r>
        <w:rPr>
          <w:rFonts w:ascii="Times New Roman" w:cs="Times New Roman" w:eastAsia="Times New Roman" w:hAnsi="Times New Roman"/>
          <w:sz w:val="17"/>
          <w:szCs w:val="17"/>
          <w:i w:val="1"/>
          <w:iCs w:val="1"/>
          <w:color w:val="auto"/>
        </w:rPr>
        <w:t>Bitcoin</w:t>
      </w:r>
      <w:r>
        <w:rPr>
          <w:rFonts w:ascii="Times New Roman" w:cs="Times New Roman" w:eastAsia="Times New Roman" w:hAnsi="Times New Roman"/>
          <w:sz w:val="17"/>
          <w:szCs w:val="17"/>
          <w:i w:val="1"/>
          <w:iCs w:val="1"/>
          <w:color w:val="auto"/>
          <w:highlight w:val="white"/>
        </w:rPr>
        <w:t xml:space="preserve"> prices; the anticipated growth and sustainability of hydroelectricity for the purposes of </w:t>
      </w:r>
      <w:r>
        <w:rPr>
          <w:rFonts w:ascii="Times New Roman" w:cs="Times New Roman" w:eastAsia="Times New Roman" w:hAnsi="Times New Roman"/>
          <w:sz w:val="17"/>
          <w:szCs w:val="17"/>
          <w:i w:val="1"/>
          <w:iCs w:val="1"/>
          <w:color w:val="auto"/>
        </w:rPr>
        <w:t>Bitcoin</w:t>
      </w:r>
      <w:r>
        <w:rPr>
          <w:rFonts w:ascii="Times New Roman" w:cs="Times New Roman" w:eastAsia="Times New Roman" w:hAnsi="Times New Roman"/>
          <w:sz w:val="17"/>
          <w:szCs w:val="17"/>
          <w:i w:val="1"/>
          <w:iCs w:val="1"/>
          <w:color w:val="auto"/>
          <w:highlight w:val="white"/>
        </w:rPr>
        <w:t xml:space="preserve"> mining in the applicable jurisdictions; the inability to maintain reliable and economical sources of power for the Company to operate </w:t>
      </w:r>
      <w:r>
        <w:rPr>
          <w:rFonts w:ascii="Times New Roman" w:cs="Times New Roman" w:eastAsia="Times New Roman" w:hAnsi="Times New Roman"/>
          <w:sz w:val="17"/>
          <w:szCs w:val="17"/>
          <w:i w:val="1"/>
          <w:iCs w:val="1"/>
          <w:color w:val="auto"/>
        </w:rPr>
        <w:t>Bitcoin</w:t>
      </w:r>
      <w:r>
        <w:rPr>
          <w:rFonts w:ascii="Times New Roman" w:cs="Times New Roman" w:eastAsia="Times New Roman" w:hAnsi="Times New Roman"/>
          <w:sz w:val="17"/>
          <w:szCs w:val="17"/>
          <w:i w:val="1"/>
          <w:iCs w:val="1"/>
          <w:color w:val="auto"/>
          <w:highlight w:val="white"/>
        </w:rPr>
        <w:t xml:space="preserve">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w:t>
      </w:r>
      <w:r>
        <w:rPr>
          <w:rFonts w:ascii="Times New Roman" w:cs="Times New Roman" w:eastAsia="Times New Roman" w:hAnsi="Times New Roman"/>
          <w:sz w:val="17"/>
          <w:szCs w:val="17"/>
          <w:i w:val="1"/>
          <w:iCs w:val="1"/>
          <w:color w:val="auto"/>
        </w:rPr>
        <w:t>the risk that a material weakness in internal control over financial reporting could result</w:t>
      </w:r>
      <w:r>
        <w:rPr>
          <w:rFonts w:ascii="Times New Roman" w:cs="Times New Roman" w:eastAsia="Times New Roman" w:hAnsi="Times New Roman"/>
          <w:sz w:val="17"/>
          <w:szCs w:val="17"/>
          <w:i w:val="1"/>
          <w:iCs w:val="1"/>
          <w:color w:val="auto"/>
          <w:highlight w:val="white"/>
        </w:rPr>
        <w:t xml:space="preserve"> </w:t>
      </w:r>
      <w:r>
        <w:rPr>
          <w:rFonts w:ascii="Times New Roman" w:cs="Times New Roman" w:eastAsia="Times New Roman" w:hAnsi="Times New Roman"/>
          <w:sz w:val="17"/>
          <w:szCs w:val="17"/>
          <w:i w:val="1"/>
          <w:iCs w:val="1"/>
          <w:color w:val="auto"/>
        </w:rPr>
        <w:t xml:space="preserve">in a misstatement of the Company’s financial position that may lead to a material misstatement of the annual or interim consolidated financial statements if not prevented or detected on a timely basis; </w:t>
      </w:r>
      <w:r>
        <w:rPr>
          <w:rFonts w:ascii="Times New Roman" w:cs="Times New Roman" w:eastAsia="Times New Roman" w:hAnsi="Times New Roman"/>
          <w:sz w:val="17"/>
          <w:szCs w:val="17"/>
          <w:i w:val="1"/>
          <w:iCs w:val="1"/>
          <w:color w:val="auto"/>
          <w:highlight w:val="white"/>
        </w:rPr>
        <w:t>any regulations or laws that will prevent Bitfarms from operating its business; historical prices of Bitcoin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color w:val="auto"/>
          <w:highlight w:val="white"/>
        </w:rPr>
        <w:t xml:space="preserve">the ability to mine </w:t>
      </w:r>
      <w:r>
        <w:rPr>
          <w:rFonts w:ascii="Times New Roman" w:cs="Times New Roman" w:eastAsia="Times New Roman" w:hAnsi="Times New Roman"/>
          <w:sz w:val="17"/>
          <w:szCs w:val="17"/>
          <w:i w:val="1"/>
          <w:iCs w:val="1"/>
          <w:color w:val="auto"/>
        </w:rPr>
        <w:t>Bitcoin</w:t>
      </w:r>
      <w:r>
        <w:rPr>
          <w:rFonts w:ascii="Times New Roman" w:cs="Times New Roman" w:eastAsia="Times New Roman" w:hAnsi="Times New Roman"/>
          <w:sz w:val="17"/>
          <w:szCs w:val="17"/>
          <w:i w:val="1"/>
          <w:iCs w:val="1"/>
          <w:color w:val="auto"/>
          <w:highlight w:val="white"/>
        </w:rPr>
        <w:t xml:space="preserve">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restated MD&amp;A for the year-ended December 31, 2023, filed on December 9,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 </w:t>
      </w:r>
      <w:r>
        <w:rPr>
          <w:rFonts w:ascii="Times New Roman" w:cs="Times New Roman" w:eastAsia="Times New Roman" w:hAnsi="Times New Roman"/>
          <w:sz w:val="17"/>
          <w:szCs w:val="17"/>
          <w:i w:val="1"/>
          <w:iCs w:val="1"/>
          <w:color w:val="auto"/>
        </w:rPr>
        <w:t>Trading in the securities of the Company should be considered highly speculative.</w:t>
      </w:r>
      <w:r>
        <w:rPr>
          <w:rFonts w:ascii="Times New Roman" w:cs="Times New Roman" w:eastAsia="Times New Roman" w:hAnsi="Times New Roman"/>
          <w:sz w:val="17"/>
          <w:szCs w:val="17"/>
          <w:i w:val="1"/>
          <w:iCs w:val="1"/>
          <w:color w:val="auto"/>
          <w:highlight w:val="white"/>
        </w:rPr>
        <w:t xml:space="preserve"> </w:t>
      </w:r>
      <w:r>
        <w:rPr>
          <w:rFonts w:ascii="Times New Roman" w:cs="Times New Roman" w:eastAsia="Times New Roman" w:hAnsi="Times New Roman"/>
          <w:sz w:val="17"/>
          <w:szCs w:val="17"/>
          <w:i w:val="1"/>
          <w:iCs w:val="1"/>
          <w:color w:val="auto"/>
        </w:rPr>
        <w:t>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920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jpe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18" Type="http://schemas.openxmlformats.org/officeDocument/2006/relationships/hyperlink" Target="https://www.sec.gov/Archives/edgar/data/1812477/000121390023052498/ea180981-f10_bitfarmsltd.htm" TargetMode="External"/><Relationship Id="rId19" Type="http://schemas.openxmlformats.org/officeDocument/2006/relationships/hyperlink" Target="https://www.sec.gov/Archives/edgar/data/1812477/000121390024035021/ea0204332-s8_bitfarms.htm" TargetMode="External"/><Relationship Id="rId20" Type="http://schemas.openxmlformats.org/officeDocument/2006/relationships/hyperlink" Target="https://www.sec.gov/Archives/edgar/data/1812477/000121390024087834/ea0216025-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2025-01-29T05:06:34Z</dcterms:created>
  <dcterms:modified xsi:type="dcterms:W3CDTF">2025-01-29T05:06:34Z</dcterms:modified>
</cp:coreProperties>
</file>