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223520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248920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403225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217805</wp:posOffset>
            </wp:positionH>
            <wp:positionV relativeFrom="page">
              <wp:posOffset>429260</wp:posOffset>
            </wp:positionV>
            <wp:extent cx="2095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55" cy="20955"/>
                    </a:xfrm>
                    <a:prstGeom prst="rect">
                      <a:avLst/>
                    </a:prstGeom>
                    <a:noFill/>
                  </pic:spPr>
                </pic:pic>
              </a:graphicData>
            </a:graphic>
          </wp:anchor>
        </w:drawing>
        <w:t>DOCUMENTS INCLUDED AS PART OF THIS FORM 6-K</w:t>
      </w:r>
    </w:p>
    <w:p>
      <w:pPr>
        <w:spacing w:after="0" w:line="229" w:lineRule="exact"/>
        <w:rPr>
          <w:sz w:val="20"/>
          <w:szCs w:val="20"/>
          <w:color w:val="auto"/>
        </w:rPr>
      </w:pPr>
    </w:p>
    <w:p>
      <w:pPr>
        <w:ind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17,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20">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333-278868) and </w:t>
      </w:r>
      <w:hyperlink r:id="rId22">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333-282657), each as amended or supplemented.</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360" w:type="dxa"/>
            <w:vAlign w:val="bottom"/>
          </w:tcPr>
          <w:p>
            <w:pPr>
              <w:spacing w:after="0"/>
              <w:rPr>
                <w:sz w:val="20"/>
                <w:szCs w:val="20"/>
                <w:color w:val="auto"/>
              </w:rPr>
            </w:pPr>
          </w:p>
        </w:tc>
        <w:tc>
          <w:tcPr>
            <w:tcW w:w="6520" w:type="dxa"/>
            <w:vAlign w:val="bottom"/>
          </w:tcPr>
          <w:p>
            <w:pPr>
              <w:spacing w:after="0"/>
              <w:rPr>
                <w:sz w:val="20"/>
                <w:szCs w:val="20"/>
                <w:color w:val="auto"/>
              </w:rPr>
            </w:pPr>
          </w:p>
        </w:tc>
      </w:tr>
      <w:tr>
        <w:trPr>
          <w:trHeight w:val="43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6520" w:type="dxa"/>
            <w:vAlign w:val="bottom"/>
            <w:tcBorders>
              <w:top w:val="single" w:sz="8" w:color="auto"/>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7"/>
                <w:szCs w:val="17"/>
                <w:color w:val="auto"/>
              </w:rPr>
            </w:pP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March 17, 2025</w:t>
            </w:r>
          </w:p>
        </w:tc>
      </w:tr>
      <w:tr>
        <w:trPr>
          <w:trHeight w:val="412"/>
        </w:trPr>
        <w:tc>
          <w:tcPr>
            <w:tcW w:w="1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360" w:type="dxa"/>
            <w:vAlign w:val="bottom"/>
            <w:tcBorders>
              <w:top w:val="single" w:sz="8" w:color="0000EE"/>
              <w:bottom w:val="single" w:sz="8" w:color="auto"/>
            </w:tcBorders>
          </w:tcPr>
          <w:p>
            <w:pPr>
              <w:spacing w:after="0"/>
              <w:rPr>
                <w:sz w:val="24"/>
                <w:szCs w:val="24"/>
                <w:color w:val="auto"/>
              </w:rPr>
            </w:pPr>
          </w:p>
        </w:tc>
        <w:tc>
          <w:tcPr>
            <w:tcW w:w="65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580" w:right="11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March 17, 2025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154305</wp:posOffset>
            </wp:positionV>
            <wp:extent cx="235712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3571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Bitfarms Advances U.S. Strategy with Completion of</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Stronghold Digital Mining Acquisition</w:t>
      </w:r>
    </w:p>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i w:val="1"/>
          <w:iCs w:val="1"/>
          <w:color w:val="auto"/>
        </w:rPr>
        <w:t>-1.1 GW PA Growth Pipeline Strategically Located for HPC/AI and BTC Mining-</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Positions Bitfarms as the leading Bitcoin miner in PJM market-</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ind w:left="20" w:hanging="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(March 17, 2025) </w:t>
      </w:r>
      <w:r>
        <w:rPr>
          <w:rFonts w:ascii="Times New Roman" w:cs="Times New Roman" w:eastAsia="Times New Roman" w:hAnsi="Times New Roman"/>
          <w:sz w:val="18"/>
          <w:szCs w:val="18"/>
          <w:color w:val="auto"/>
        </w:rPr>
        <w:t>- Bitfarms Ltd. (NASDAQ/TSX: BITF), a global Bitcoin and vertically integrated data center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successful completion of its previously announced acquisition of Stronghold Digital Mining, Inc. (“Stronghold” or “SDIG”).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Stronghold yields the following benefits: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Strategic MW Growth</w:t>
      </w:r>
    </w:p>
    <w:p>
      <w:pPr>
        <w:spacing w:after="0" w:line="229" w:lineRule="exact"/>
        <w:rPr>
          <w:sz w:val="20"/>
          <w:szCs w:val="20"/>
          <w:color w:val="auto"/>
        </w:rPr>
      </w:pPr>
    </w:p>
    <w:p>
      <w:pPr>
        <w:ind w:left="980" w:hanging="8"/>
        <w:spacing w:after="0" w:line="282" w:lineRule="auto"/>
        <w:rPr>
          <w:sz w:val="20"/>
          <w:szCs w:val="20"/>
          <w:color w:val="auto"/>
        </w:rPr>
      </w:pPr>
      <w:r>
        <w:rPr>
          <w:rFonts w:ascii="Times New Roman" w:cs="Times New Roman" w:eastAsia="Times New Roman" w:hAnsi="Times New Roman"/>
          <w:sz w:val="18"/>
          <w:szCs w:val="18"/>
          <w:color w:val="auto"/>
        </w:rPr>
        <w:t>-Increases energy portfolio to 623 Megawatts Under Management (“MWuM”) with incremental 165 MW of active generating capacity and 142 MW of immediately available import capacity</w:t>
      </w:r>
    </w:p>
    <w:p>
      <w:pPr>
        <w:spacing w:after="0" w:line="162" w:lineRule="exact"/>
        <w:rPr>
          <w:sz w:val="20"/>
          <w:szCs w:val="20"/>
          <w:color w:val="auto"/>
        </w:rPr>
      </w:pPr>
    </w:p>
    <w:p>
      <w:pPr>
        <w:ind w:left="980" w:hanging="8"/>
        <w:spacing w:after="0" w:line="282" w:lineRule="auto"/>
        <w:rPr>
          <w:sz w:val="20"/>
          <w:szCs w:val="20"/>
          <w:color w:val="auto"/>
        </w:rPr>
      </w:pPr>
      <w:r>
        <w:rPr>
          <w:rFonts w:ascii="Times New Roman" w:cs="Times New Roman" w:eastAsia="Times New Roman" w:hAnsi="Times New Roman"/>
          <w:sz w:val="18"/>
          <w:szCs w:val="18"/>
          <w:color w:val="auto"/>
        </w:rPr>
        <w:t>-Secures 1.1 GW growth pipeline in Pennsylvania, including current power generation capacity, current grid import capacity and future import capacity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-PJM demand response programs anticipated to reduce overall electricity costs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Portfolio Expansion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-Rebalances year-end 2025 energy portfolio to 80% North American and 20% international</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Advancement of HPC/AI Strategy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-Potential to develop two power campuses totaling nearly one gigawatt for HPC/AI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-Strategic partners WWT and ASG prioritizing Stronghold sites for potential HPC/AI conversion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EH Growth</w:t>
      </w:r>
    </w:p>
    <w:p>
      <w:pPr>
        <w:spacing w:after="0" w:line="229" w:lineRule="exact"/>
        <w:rPr>
          <w:sz w:val="20"/>
          <w:szCs w:val="20"/>
          <w:color w:val="auto"/>
        </w:rPr>
      </w:pPr>
    </w:p>
    <w:p>
      <w:pPr>
        <w:ind w:left="980" w:hanging="9"/>
        <w:spacing w:after="0" w:line="282" w:lineRule="auto"/>
        <w:tabs>
          <w:tab w:leader="none" w:pos="10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nearly 1 Exahash Under Management (“EHuM”) through existing Canaan hosting agreements with 50% profit split, bringing Bitfarms total to 18 EHuM</w:t>
      </w:r>
    </w:p>
    <w:p>
      <w:pPr>
        <w:spacing w:after="0" w:line="161" w:lineRule="exact"/>
        <w:rPr>
          <w:rFonts w:ascii="Times New Roman" w:cs="Times New Roman" w:eastAsia="Times New Roman" w:hAnsi="Times New Roman"/>
          <w:sz w:val="18"/>
          <w:szCs w:val="18"/>
          <w:color w:val="auto"/>
        </w:rPr>
      </w:pPr>
    </w:p>
    <w:p>
      <w:pPr>
        <w:ind w:left="1080" w:hanging="109"/>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announced Stronghold hosting agreements are now Bitfarms self-mining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Ben Gagnon, Chief Executive Officer of Bitfarms, stated, “The completion of this strategic acquisition further expands our U.S. footprint and makes us the industry leader in the PJM market. With Stronghold’s portfolio of power assets, combined with our operational expertise and balance sheet strength, we are well positioned to create long-term value for our shareholders by executing on our US strategy and developing an HPC/AI business geared for scale. Our combined PJM pipeline, spanning three sites in Pennsylvania, totals over 1 GW with strategically located land, power and fiber that is well-suited for both HPC/AI and Bitcoin mining. This marks the start of an exciting new chapter for Bitfarms, and we’re thrilled to welcome the talented Stronghold team to write that chapter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acquired Stronghold in a stock-for-stock merger pursuant to which Stronghold shareholders received 2.52 shares of Bitfarms for each share of Stronghold they own and Stronghold became a wholly-owned subsidiary of Bitfarms. Approximately 59,678,164 Bitfarms common shares and 10,574,848 Bitfarms warrants are being issued in connection with the consummation of the merger. In addition, approximately $44.5 million was paid at closing to retire outstanding Stronghold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completion of the transaction, SDIG’s common stock ceased trading on Nasdaq prior to the opening of trading today.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Bitcoin and vertically integrated data center company that sells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1371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r>
    </w:p>
    <w:p>
      <w:pPr>
        <w:spacing w:after="0" w:line="156"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15 operating Bitcoin data centers in four countries: the United States, Canada,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85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685800"/>
                    </a:xfrm>
                    <a:prstGeom prst="rect">
                      <a:avLst/>
                    </a:prstGeom>
                    <a:noFill/>
                  </pic:spPr>
                </pic:pic>
              </a:graphicData>
            </a:graphic>
          </wp:anchor>
        </w:drawing>
        <w:t>Glossary of Terms</w:t>
      </w:r>
    </w:p>
    <w:p>
      <w:pPr>
        <w:spacing w:after="0" w:line="227" w:lineRule="exact"/>
        <w:rPr>
          <w:sz w:val="20"/>
          <w:szCs w:val="20"/>
          <w:color w:val="auto"/>
        </w:rPr>
      </w:pPr>
    </w:p>
    <w:p>
      <w:pPr>
        <w:ind w:left="6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MWuM = Megawatts Under Management, the electrical capacity currently being utilized or available to utilize in Bitfarms data centers which includes immediately available grid import capacity and active generation capacity</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EHuM = Exahash Under Management, which includes Bitfarms’ proprietary hashrate and hashrate being hosted by Bitfarms for third-party hosting clients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PJM = Pennsylvania-New Jersey-Maryland Interconnection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-1489710</wp:posOffset>
            </wp:positionV>
            <wp:extent cx="7132320" cy="1097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194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positive impact of the Stronghold acquisition and the ability to gain access to additional electrical power and grow hashrate of the Stronghold business, target hashrate, opportunities relating to the Company’s geographical diversification and expansion, the merits of the rebalancing operations to North America and projected growth, the North American energy and compute infrastructure strategy, opportunities relating to the potential of the Company’s data centers for HPC/AI, performance of the plants and equipment upgrades and the impact on operating capacity including the target hashrate and multi-year expansion capacity, the opportunities to leverage Bitfarms’ proven expertise to successfully enhance energy efficiency and hashrate,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an inability to apply the Company’s data centers to HPC/AI opportunities on a profitable basis; a failure to secure long-term contracts associated with HPC/AI customers on terms which are economic or at all; the construction and operation of the Company’s facilities may not occur as currently planned, or at all; an inability to successfully integrate the business of Stronghold Digital Mining, Inc. as contemplated, or at all; expansion may not materialize as currently anticipated, or at all; the anticipated merits of the HPC/AI strategy, the benefits and programs of the PJM deregulated market and the objectives of diversification in general may not be realized as planned; efforts to improve and optimize the performance of equipment may not be successful;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920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20" Type="http://schemas.openxmlformats.org/officeDocument/2006/relationships/hyperlink" Target="https://www.sec.gov/Archives/edgar/data/1812477/000121390023052498/ea180981-f10_bitfarmsltd.htm" TargetMode="External"/><Relationship Id="rId21" Type="http://schemas.openxmlformats.org/officeDocument/2006/relationships/hyperlink" Target="https://www.sec.gov/Archives/edgar/data/1812477/000121390024035021/ea0204332-s8_bitfarms.htm" TargetMode="External"/><Relationship Id="rId22" Type="http://schemas.openxmlformats.org/officeDocument/2006/relationships/hyperlink" Target="https://www.sec.gov/Archives/edgar/data/1812477/000121390025004774/ea0216025-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2025-03-17T16:12:14Z</dcterms:created>
  <dcterms:modified xsi:type="dcterms:W3CDTF">2025-03-17T16:12:14Z</dcterms:modified>
</cp:coreProperties>
</file>