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For the month of June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8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June 21,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w:t>
      </w:r>
      <w:hyperlink r:id="rId19">
        <w:r>
          <w:rPr>
            <w:rFonts w:ascii="Arial" w:cs="Arial" w:eastAsia="Arial" w:hAnsi="Arial"/>
            <w:sz w:val="18"/>
            <w:szCs w:val="18"/>
            <w:u w:val="single" w:color="auto"/>
            <w:color w:val="0000EE"/>
          </w:rPr>
          <w:t>333-258788</w:t>
        </w:r>
      </w:hyperlink>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Material Change Report dated June 21,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21, 2022</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8"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21,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June 21, 2022 by a newswire company in Canada.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151765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Adjusts HODL Strategy</w:t>
      </w: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 Pays down BTC-back credit facility to US$38 million -</w:t>
      </w:r>
    </w:p>
    <w:p>
      <w:pPr>
        <w:spacing w:after="0" w:line="23" w:lineRule="exact"/>
        <w:rPr>
          <w:sz w:val="20"/>
          <w:szCs w:val="20"/>
          <w:color w:val="auto"/>
        </w:rPr>
      </w:pPr>
    </w:p>
    <w:p>
      <w:pPr>
        <w:ind w:left="4500" w:hanging="98"/>
        <w:spacing w:after="0"/>
        <w:tabs>
          <w:tab w:leader="none" w:pos="4500" w:val="left"/>
        </w:tabs>
        <w:numPr>
          <w:ilvl w:val="1"/>
          <w:numId w:val="1"/>
        </w:numPr>
        <w:rPr>
          <w:rFonts w:ascii="Arial" w:cs="Arial" w:eastAsia="Arial" w:hAnsi="Arial"/>
          <w:sz w:val="18"/>
          <w:szCs w:val="18"/>
          <w:color w:val="auto"/>
        </w:rPr>
      </w:pPr>
      <w:r>
        <w:rPr>
          <w:rFonts w:ascii="Arial" w:cs="Arial" w:eastAsia="Arial" w:hAnsi="Arial"/>
          <w:sz w:val="18"/>
          <w:szCs w:val="18"/>
          <w:color w:val="auto"/>
        </w:rPr>
        <w:t>Currently holds total of 3,349 BTC –</w:t>
      </w:r>
    </w:p>
    <w:p>
      <w:pPr>
        <w:spacing w:after="0" w:line="9" w:lineRule="exact"/>
        <w:rPr>
          <w:rFonts w:ascii="Arial" w:cs="Arial" w:eastAsia="Arial" w:hAnsi="Arial"/>
          <w:sz w:val="18"/>
          <w:szCs w:val="18"/>
          <w:color w:val="auto"/>
        </w:rPr>
      </w:pPr>
    </w:p>
    <w:p>
      <w:pPr>
        <w:ind w:left="3240" w:hanging="100"/>
        <w:spacing w:after="0"/>
        <w:tabs>
          <w:tab w:leader="none" w:pos="3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Daily BTC production of approximately 14 BTC adds further liquidity -</w:t>
      </w:r>
    </w:p>
    <w:p>
      <w:pPr>
        <w:spacing w:after="0" w:line="211" w:lineRule="exact"/>
        <w:rPr>
          <w:sz w:val="20"/>
          <w:szCs w:val="20"/>
          <w:color w:val="auto"/>
        </w:rPr>
      </w:pPr>
    </w:p>
    <w:p>
      <w:pPr>
        <w:ind w:left="660" w:right="76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ind w:right="20" w:hanging="8"/>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(June 21, 2022)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Bitfarms Ltd.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NASDAQ: BITF // TSX: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its HODL strategy to improve liquidity and strengthen its balance sheet.</w:t>
      </w:r>
    </w:p>
    <w:p>
      <w:pPr>
        <w:spacing w:after="0" w:line="166" w:lineRule="exact"/>
        <w:rPr>
          <w:sz w:val="20"/>
          <w:szCs w:val="20"/>
          <w:color w:val="auto"/>
        </w:rPr>
      </w:pPr>
    </w:p>
    <w:p>
      <w:pPr>
        <w:jc w:val="both"/>
        <w:ind w:hanging="8"/>
        <w:spacing w:after="0" w:line="257" w:lineRule="auto"/>
        <w:rPr>
          <w:sz w:val="20"/>
          <w:szCs w:val="20"/>
          <w:color w:val="auto"/>
        </w:rPr>
      </w:pPr>
      <w:r>
        <w:rPr>
          <w:rFonts w:ascii="Arial" w:cs="Arial" w:eastAsia="Arial" w:hAnsi="Arial"/>
          <w:sz w:val="18"/>
          <w:szCs w:val="18"/>
          <w:color w:val="auto"/>
        </w:rPr>
        <w:t>Over the past week, Bitfarms has sold a total of 3,000 Bitcoin (BTC) for approximately US$62 million and closed on its previously announced US$37 million in new equipment financing with NYDIG ABL LLC (NYDIG) improving corporate liquidity by approximately US$100 million. This brings total BTC holdings to 3,349, inclusive of month-to-date production, which is currently averaging about 14 BTC per day. Bitfarms has applied a portion of the proceeds to rebalance its indebtedness by reducing its BTC-backed credit facility with Galaxy Digital LLC (Galaxy) a further US$28 million from US$66 million to US$38 million.</w:t>
      </w:r>
    </w:p>
    <w:p>
      <w:pPr>
        <w:spacing w:after="0" w:line="188" w:lineRule="exact"/>
        <w:rPr>
          <w:sz w:val="20"/>
          <w:szCs w:val="20"/>
          <w:color w:val="auto"/>
        </w:rPr>
      </w:pPr>
    </w:p>
    <w:p>
      <w:pPr>
        <w:jc w:val="both"/>
        <w:ind w:hanging="8"/>
        <w:spacing w:after="0" w:line="259" w:lineRule="auto"/>
        <w:rPr>
          <w:sz w:val="20"/>
          <w:szCs w:val="20"/>
          <w:color w:val="auto"/>
        </w:rPr>
      </w:pPr>
      <w:r>
        <w:rPr>
          <w:rFonts w:ascii="Arial" w:cs="Arial" w:eastAsia="Arial" w:hAnsi="Arial"/>
          <w:sz w:val="18"/>
          <w:szCs w:val="18"/>
          <w:color w:val="auto"/>
        </w:rPr>
        <w:t>“In consideration of extreme volatility in the markets, we have continued to take action to enhance liquidity and to de-leverage and strengthen our balance sheet. Specifically, we sold 1,500 more Bitcoin and are no longer HODLing all our daily BTC production,” said Jeff Lucas, CFO of Bitfarms. “While we remain bullish on long-term BTC price appreciation, this strategic change enables us to focus on our top priorities of maintaining our world-class mining operations and continuing to grow our business in anticipation of improved mining economics.”</w:t>
      </w:r>
    </w:p>
    <w:p>
      <w:pPr>
        <w:spacing w:after="0" w:line="187" w:lineRule="exact"/>
        <w:rPr>
          <w:sz w:val="20"/>
          <w:szCs w:val="20"/>
          <w:color w:val="auto"/>
        </w:rPr>
      </w:pPr>
    </w:p>
    <w:p>
      <w:pPr>
        <w:jc w:val="both"/>
        <w:ind w:right="20" w:hanging="8"/>
        <w:spacing w:after="0" w:line="308" w:lineRule="auto"/>
        <w:rPr>
          <w:sz w:val="20"/>
          <w:szCs w:val="20"/>
          <w:color w:val="auto"/>
        </w:rPr>
      </w:pPr>
      <w:r>
        <w:rPr>
          <w:rFonts w:ascii="Arial" w:cs="Arial" w:eastAsia="Arial" w:hAnsi="Arial"/>
          <w:sz w:val="17"/>
          <w:szCs w:val="17"/>
          <w:color w:val="auto"/>
        </w:rPr>
        <w:t>“Since January 2021, we have been funding operations and growth through various financing measures. We believe that selling a portion of our BTC holdings and daily production as a source of liquidity is the best and least expensive method in the current market environment,” added Lucas.</w:t>
      </w:r>
    </w:p>
    <w:p>
      <w:pPr>
        <w:spacing w:after="0" w:line="146" w:lineRule="exact"/>
        <w:rPr>
          <w:sz w:val="20"/>
          <w:szCs w:val="20"/>
          <w:color w:val="auto"/>
        </w:rPr>
      </w:pPr>
    </w:p>
    <w:p>
      <w:pPr>
        <w:jc w:val="both"/>
        <w:ind w:hanging="8"/>
        <w:spacing w:after="0" w:line="277" w:lineRule="auto"/>
        <w:rPr>
          <w:sz w:val="20"/>
          <w:szCs w:val="20"/>
          <w:color w:val="auto"/>
        </w:rPr>
      </w:pPr>
      <w:r>
        <w:rPr>
          <w:rFonts w:ascii="Arial" w:cs="Arial" w:eastAsia="Arial" w:hAnsi="Arial"/>
          <w:sz w:val="18"/>
          <w:szCs w:val="18"/>
          <w:color w:val="auto"/>
        </w:rPr>
        <w:t>As of June 20, 2022, Bitfarms held cash of US$42 million and 3,349 BTC valued at approximately US$67 million at a BTC price of US$20,000. Bitfarms is in compliance with all its credit obligations.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highlight w:val="white"/>
        </w:rPr>
        <w:t>About Bitfarms Ltd.</w:t>
      </w:r>
    </w:p>
    <w:p>
      <w:pPr>
        <w:spacing w:after="0" w:line="229" w:lineRule="exact"/>
        <w:rPr>
          <w:sz w:val="20"/>
          <w:szCs w:val="20"/>
          <w:color w:val="auto"/>
        </w:rPr>
      </w:pPr>
    </w:p>
    <w:p>
      <w:pPr>
        <w:jc w:val="both"/>
        <w:ind w:left="20" w:hanging="8"/>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-308610</wp:posOffset>
            </wp:positionV>
            <wp:extent cx="7123430" cy="384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23430" cy="3840480"/>
                    </a:xfrm>
                    <a:prstGeom prst="rect">
                      <a:avLst/>
                    </a:prstGeom>
                    <a:noFill/>
                  </pic:spPr>
                </pic:pic>
              </a:graphicData>
            </a:graphic>
          </wp:anchor>
        </w:drawing>
      </w:r>
    </w:p>
    <w:p>
      <w:pPr>
        <w:spacing w:after="0" w:line="126" w:lineRule="exact"/>
        <w:rPr>
          <w:sz w:val="20"/>
          <w:szCs w:val="20"/>
          <w:color w:val="auto"/>
        </w:rPr>
      </w:pPr>
    </w:p>
    <w:p>
      <w:pPr>
        <w:jc w:val="both"/>
        <w:ind w:left="20" w:hanging="9"/>
        <w:spacing w:after="0" w:line="301" w:lineRule="auto"/>
        <w:rPr>
          <w:sz w:val="20"/>
          <w:szCs w:val="20"/>
          <w:color w:val="auto"/>
        </w:rPr>
      </w:pPr>
      <w:r>
        <w:rPr>
          <w:rFonts w:ascii="Arial" w:cs="Arial" w:eastAsia="Arial" w:hAnsi="Arial"/>
          <w:sz w:val="16"/>
          <w:szCs w:val="16"/>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up-listed from the TSX-V to the TSX.</w:t>
      </w:r>
    </w:p>
    <w:p>
      <w:pPr>
        <w:spacing w:after="0" w:line="157"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left="20" w:hanging="8"/>
        <w:spacing w:after="0" w:line="253" w:lineRule="auto"/>
        <w:rPr>
          <w:sz w:val="20"/>
          <w:szCs w:val="20"/>
          <w:color w:val="auto"/>
        </w:rPr>
      </w:pPr>
      <w:r>
        <w:rPr>
          <w:rFonts w:ascii="Arial" w:cs="Arial" w:eastAsia="Arial" w:hAnsi="Arial"/>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in respect to the benefits of completing a debt reduction program funded by the sale of BTC, entering into an equipment financing facility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20" w:hanging="8"/>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jc w:val="both"/>
        <w:ind w:left="20" w:hanging="8"/>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Arial" w:cs="Arial" w:eastAsia="Arial" w:hAnsi="Arial"/>
          <w:sz w:val="16"/>
          <w:szCs w:val="16"/>
          <w:i w:val="1"/>
          <w:iCs w:val="1"/>
          <w:color w:val="auto"/>
        </w:rPr>
        <w:t>;</w:t>
      </w:r>
      <w:r>
        <w:rPr>
          <w:rFonts w:ascii="Arial" w:cs="Arial" w:eastAsia="Arial" w:hAnsi="Arial"/>
          <w:sz w:val="16"/>
          <w:szCs w:val="16"/>
          <w:i w:val="1"/>
          <w:iCs w:val="1"/>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2022-06-21T15:13:20Z</dcterms:created>
  <dcterms:modified xsi:type="dcterms:W3CDTF">2022-06-21T15:13:20Z</dcterms:modified>
</cp:coreProperties>
</file>