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130" w:right="0" w:hanging="0"/>
        <w:jc w:val="left"/>
        <w:rPr>
          <w:bdr w:val="single" w:sz="16" w:space="1" w:color="000000"/>
        </w:rPr>
      </w:pPr>
      <w:bookmarkStart w:id="0" w:name="ea0229410-6k_bitfarms.htm"/>
      <w:bookmarkStart w:id="1" w:name="ksea02294106k_bitfarms"/>
      <w:bookmarkEnd w:id="0"/>
      <w:bookmarkEnd w:id="1"/>
      <w:r>
        <w:rPr>
          <w:bdr w:val="single" w:sz="16" w:space="1" w:color="000000"/>
        </w:rPr>
        <w:t> </w:t>
      </w:r>
    </w:p>
    <w:p>
      <w:pPr>
        <w:pStyle w:val="TextBody"/>
        <w:bidi w:val="0"/>
        <w:spacing w:before="0" w:after="0"/>
        <w:ind w:left="130" w:right="0" w:hanging="0"/>
        <w:jc w:val="left"/>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79" w:right="977"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February 3,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2">
        <w:r>
          <w:rPr>
            <w:rStyle w:val="InternetLink"/>
            <w:rFonts w:ascii="Times New Roman;Times;Serif" w:hAnsi="Times New Roman;Times;Serif"/>
            <w:b w:val="false"/>
            <w:i w:val="false"/>
            <w:caps w:val="false"/>
            <w:smallCaps w:val="false"/>
            <w:sz w:val="20"/>
          </w:rPr>
          <w:t>Form F-10</w:t>
        </w:r>
      </w:hyperlink>
      <w:r>
        <w:rPr>
          <w:rFonts w:ascii="Times New Roman;Times;Serif" w:hAnsi="Times New Roman;Times;Serif"/>
          <w:b w:val="false"/>
          <w:i w:val="false"/>
          <w:caps w:val="false"/>
          <w:smallCaps w:val="false"/>
          <w:sz w:val="20"/>
        </w:rPr>
        <w:t xml:space="preserve"> (File No. 333-272989),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333-278868) and </w:t>
      </w:r>
      <w:hyperlink r:id="rId4">
        <w:r>
          <w:rPr>
            <w:rStyle w:val="InternetLink"/>
            <w:rFonts w:ascii="Times New Roman;Times;Serif" w:hAnsi="Times New Roman;Times;Serif"/>
            <w:b w:val="false"/>
            <w:i w:val="false"/>
            <w:caps w:val="false"/>
            <w:smallCaps w:val="false"/>
            <w:sz w:val="20"/>
          </w:rPr>
          <w:t>Form F-4</w:t>
        </w:r>
      </w:hyperlink>
      <w:r>
        <w:rPr>
          <w:rFonts w:ascii="Times New Roman;Times;Serif" w:hAnsi="Times New Roman;Times;Serif"/>
          <w:b w:val="false"/>
          <w:i w:val="false"/>
          <w:caps w:val="false"/>
          <w:smallCaps w:val="false"/>
          <w:sz w:val="20"/>
        </w:rPr>
        <w:t xml:space="preserve"> (File No. 333-282657), each as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283"/>
        <w:jc w:val="left"/>
        <w:rPr/>
      </w:pPr>
      <w:r>
        <w:rPr/>
        <w:t> </w:t>
      </w:r>
    </w:p>
    <w:tbl>
      <w:tblPr>
        <w:tblW w:w="4960" w:type="dxa"/>
        <w:jc w:val="left"/>
        <w:tblInd w:w="0" w:type="dxa"/>
        <w:tblLayout w:type="fixed"/>
        <w:tblCellMar>
          <w:top w:w="0" w:type="dxa"/>
          <w:left w:w="0" w:type="dxa"/>
          <w:bottom w:w="30" w:type="dxa"/>
          <w:right w:w="0" w:type="dxa"/>
        </w:tblCellMar>
      </w:tblPr>
      <w:tblGrid>
        <w:gridCol w:w="980"/>
        <w:gridCol w:w="60"/>
        <w:gridCol w:w="3920"/>
      </w:tblGrid>
      <w:tr>
        <w:trPr/>
        <w:tc>
          <w:tcPr>
            <w:tcW w:w="98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92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9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0" w:type="dxa"/>
            <w:tcBorders/>
            <w:shd w:fill="CCEEFF" w:val="clear"/>
            <w:tcMar>
              <w:bottom w:w="0" w:type="dxa"/>
            </w:tcMar>
            <w:vAlign w:val="center"/>
          </w:tcPr>
          <w:p>
            <w:pPr>
              <w:pStyle w:val="TableContents"/>
              <w:bidi w:val="0"/>
              <w:spacing w:before="0" w:after="283"/>
              <w:jc w:val="both"/>
              <w:rPr/>
            </w:pPr>
            <w:hyperlink w:anchor="ea022941001ex99-1_bitfarms.htm">
              <w:r>
                <w:rPr>
                  <w:rStyle w:val="InternetLink"/>
                  <w:rFonts w:ascii="Times New Roman;Times;Serif" w:hAnsi="Times New Roman;Times;Serif"/>
                  <w:b w:val="false"/>
                  <w:i w:val="false"/>
                  <w:caps w:val="false"/>
                  <w:smallCaps w:val="false"/>
                  <w:sz w:val="20"/>
                </w:rPr>
                <w:t>Material Change Report dated February 3, 2025</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75"/>
        <w:gridCol w:w="320"/>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Ben Gagnon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22941001ex99-1_bitfarms.htm"/>
      <w:bookmarkStart w:id="3" w:name="ksea022941001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Name and Address of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Yonge Street, Suite 1601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Date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February 3 2025 by a newswire company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Summary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Full Description of Material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Reliance of subsection 7.1(2) of National Instrument 51-102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Omitted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Bgagnon@bitfarms.com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Date of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194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2819400" cy="74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Provides January 2025 Production and Operations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Operational hashrate of 15.2 EH/s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-Energized two North American sites, Sharon PA &amp; Baie-Comeau QC-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LOI with HIVE for sale of 200 MW Yguazu site; Expected Q1 2025 close-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Acquisition of Stronghold Digital Mining on track for Q1 2025 close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agreements with ASG and WWT to develop HPC/AI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second amended and restated prospectus supplement dated December 17, 2024, to its short form base shelf prospectus dated November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5"/>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Ontario (February 3, 2025) </w:t>
      </w:r>
      <w:r>
        <w:rPr>
          <w:rFonts w:ascii="Times New Roman;Times;Serif" w:hAnsi="Times New Roman;Times;Serif"/>
          <w:b w:val="false"/>
          <w:i w:val="false"/>
          <w:caps w:val="false"/>
          <w:smallCaps w:val="false"/>
          <w:sz w:val="20"/>
        </w:rPr>
        <w:t>- Bitfarms Ltd. (NASDAQ/TSX: BITF), a global Bitcoin and vertically integrated data center company, today issued its latest monthly production report. All financial references are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Ben Gagnon stated, “2025 is off to a great start. We are on track this quarter to close both our acquisition of Stronghold Digital Mining, Inc. (“Stronghold”) and the strategic sale of our 200 MW Yguazu, Paraguay data center to HIVE Digital Technologies, Ltd. These transactions transform our energy pipeline by immediately rebalancing our portfolio to North America with great assets for both HPC and Bitcoin mining. The accretive sale of Yguazu provides meaningful capital and cost savings associated with the redeployment of miners in the US that will be applied towards our American gigawatt growth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accelerate our HPC strategy, we recently engaged two expert consultants to launch a formal evaluation of our data centers and the development of our HPC/AI business. These strategic partners are already evaluating Bitfarms energy portfolio for potential partial or total conversion to HPC/AI sites, as well as developing an accelerated sales strategy to market the sites to potential customers. The long-term contracts associated with HPC/AI customers would better monetize many of our North American energy assets with long-term, steady cash flows and earnings streams, creating a powerful and resilient portfolio that will generate shareholder value for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Operationally we grew our hashrate by 19% in January to 15.2 EH/s with the energization of two additional sites and further miner deployments at the Stronghold sites. Miner deliveries are ongoing in February with installations scheduled through Q2. When all miners are successfully deployed, we will have 21 EH/s installed across 15 sites in 4 countries. However, due to the underperformance of some of our T21 miners, we are derating our guidance by 14% to 18 EH/s in H1 2025. We are focused on resolving the T21 underperformance to drive better performance across all our sites. Our energy efficiency target of 19 w/TH remains unchanged. Additionally, in order to accommodate potential HPC integration into our Sharon location, the construction timeline is being pushed back from 2025 to 2026 reducing our 2025 YE energized capacity by 80 MW. When combined with the Yguazu sale, our 2025 YE energized capacity is 675 MW,” Ben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of Global Mining Operations Alex Brammer added, “The 19% increase in monthly hashrate to 15.2 EH/s was achieved by optimizing performance across seven of our data centers and continued miner deployments in the PJM region. For the month overall, our average operational hashrate only increased 1% to 11.2 EH/s, largely due to frequent winter curtailment and increases in hashrate energized later in the month. We expect to continue driving further increases in hashrate and performance through ongoing miner deployments and continued data center optimization initiatives, while taking advantage of improving weather conditions as we move into the shoulder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With the energization of our Sharon site in PJM, we are now officially in the registration process for participation in Economic Demand Response and other grid support programs offered in this deregulated market. Participation in these programs is the first step in a broader energy arbitrage strategy that we will be developing in the coming months across our PJM portfolio. This strategy will be critical to maximizing the value of our PJM assets and will be greatly facilitated by the deployment of a powerful miner and energy strategy management platform, L&amp;omacr;D (formerly known as Lincoin). The L&amp;omacr;D platform is now deployed at every data center across our global fleet, and it is already driving significant improvements in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2025 Select Operating Highlights</w:t>
      </w:r>
    </w:p>
    <w:p>
      <w:pPr>
        <w:pStyle w:val="TextBody"/>
        <w:bidi w:val="0"/>
        <w:spacing w:before="0" w:after="0"/>
        <w:ind w:left="0" w:right="0" w:hanging="0"/>
        <w:jc w:val="both"/>
        <w:rPr>
          <w:caps w:val="false"/>
          <w:smallCaps w:val="false"/>
        </w:rPr>
      </w:pPr>
      <w:r>
        <w:rPr>
          <w:caps w:val="false"/>
          <w:smallCaps w:val="false"/>
        </w:rPr>
        <w:t> </w:t>
      </w:r>
    </w:p>
    <w:tbl>
      <w:tblPr>
        <w:tblW w:w="6365" w:type="dxa"/>
        <w:jc w:val="left"/>
        <w:tblInd w:w="0" w:type="dxa"/>
        <w:tblLayout w:type="fixed"/>
        <w:tblCellMar>
          <w:top w:w="0" w:type="dxa"/>
          <w:left w:w="0" w:type="dxa"/>
          <w:bottom w:w="28" w:type="dxa"/>
          <w:right w:w="0" w:type="dxa"/>
        </w:tblCellMar>
      </w:tblPr>
      <w:tblGrid>
        <w:gridCol w:w="3320"/>
        <w:gridCol w:w="60"/>
        <w:gridCol w:w="105"/>
        <w:gridCol w:w="770"/>
        <w:gridCol w:w="60"/>
        <w:gridCol w:w="60"/>
        <w:gridCol w:w="126"/>
        <w:gridCol w:w="929"/>
        <w:gridCol w:w="60"/>
        <w:gridCol w:w="60"/>
        <w:gridCol w:w="100"/>
        <w:gridCol w:w="640"/>
        <w:gridCol w:w="75"/>
      </w:tblGrid>
      <w:tr>
        <w:trPr/>
        <w:tc>
          <w:tcPr>
            <w:tcW w:w="332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w:t>
              <w:br/>
              <w:t>2024</w:t>
            </w:r>
          </w:p>
        </w:tc>
        <w:tc>
          <w:tcPr>
            <w:tcW w:w="75" w:type="dxa"/>
            <w:tcBorders/>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BTC earned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Month End Operating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BTC/Avg. EH/s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Operating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Capacity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Hydropower (MW)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Watts/Terahash Efficiency (w/TH)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15.2 EH/s operational at January 31, 2025, up 19% M/M and up 134% Y/Y.</w:t>
            </w:r>
          </w:p>
        </w:tc>
      </w:tr>
    </w:tbl>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11.2 EH/s average operational, up 90% Y/Y and up 1% M/M.</w:t>
            </w:r>
          </w:p>
        </w:tc>
      </w:tr>
    </w:tbl>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 BTC/average EH/s, 5% lower M/M and 70% lower Y/Y</w:t>
            </w:r>
          </w:p>
        </w:tc>
      </w:tr>
    </w:tbl>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201 BTC earned, 5% lower M/M and 44% lower Y/Y.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6.5 BTC earned daily on average, equal to ~$682,500 per day based on a BTC price of $105,000 at January 31, 2025.</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Adopted new L&amp;omacr;D miner management software driving better performance, enabling energy trading &amp; demand response and incorporates AI management tools.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Bitfarms’ BTC Monthly Production</w:t>
      </w:r>
    </w:p>
    <w:p>
      <w:pPr>
        <w:pStyle w:val="TextBody"/>
        <w:bidi w:val="0"/>
        <w:spacing w:before="0" w:after="0"/>
        <w:ind w:left="0" w:right="0" w:hanging="0"/>
        <w:jc w:val="left"/>
        <w:rPr>
          <w:caps w:val="false"/>
          <w:smallCaps w:val="false"/>
        </w:rPr>
      </w:pPr>
      <w:r>
        <w:rPr>
          <w:caps w:val="false"/>
          <w:smallCaps w:val="false"/>
        </w:rPr>
        <w:t> </w:t>
      </w:r>
    </w:p>
    <w:tbl>
      <w:tblPr>
        <w:tblW w:w="4813" w:type="dxa"/>
        <w:jc w:val="left"/>
        <w:tblInd w:w="0" w:type="dxa"/>
        <w:tblLayout w:type="fixed"/>
        <w:tblCellMar>
          <w:top w:w="0" w:type="dxa"/>
          <w:left w:w="0" w:type="dxa"/>
          <w:bottom w:w="28" w:type="dxa"/>
          <w:right w:w="0" w:type="dxa"/>
        </w:tblCellMar>
      </w:tblPr>
      <w:tblGrid>
        <w:gridCol w:w="770"/>
        <w:gridCol w:w="60"/>
        <w:gridCol w:w="258"/>
        <w:gridCol w:w="1636"/>
        <w:gridCol w:w="60"/>
        <w:gridCol w:w="60"/>
        <w:gridCol w:w="258"/>
        <w:gridCol w:w="1636"/>
        <w:gridCol w:w="75"/>
      </w:tblGrid>
      <w:tr>
        <w:trPr/>
        <w:tc>
          <w:tcPr>
            <w:tcW w:w="77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Month</w:t>
            </w:r>
          </w:p>
        </w:tc>
        <w:tc>
          <w:tcPr>
            <w:tcW w:w="60" w:type="dxa"/>
            <w:tcBorders/>
            <w:tcMar>
              <w:bottom w:w="0" w:type="dxa"/>
            </w:tcMar>
            <w:vAlign w:val="center"/>
          </w:tcPr>
          <w:p>
            <w:pPr>
              <w:pStyle w:val="TableContents"/>
              <w:bidi w:val="0"/>
              <w:spacing w:before="0" w:after="283"/>
              <w:jc w:val="left"/>
              <w:rPr/>
            </w:pPr>
            <w:r>
              <w:rPr/>
              <w:t> </w:t>
            </w:r>
          </w:p>
        </w:tc>
        <w:tc>
          <w:tcPr>
            <w:tcW w:w="189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BTC Earned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BTC Earned 2024</w:t>
            </w:r>
          </w:p>
        </w:tc>
        <w:tc>
          <w:tcPr>
            <w:tcW w:w="75" w:type="dxa"/>
            <w:tcBorders/>
            <w:tcMar>
              <w:bottom w:w="0" w:type="dxa"/>
            </w:tcMar>
            <w:vAlign w:val="center"/>
          </w:tcPr>
          <w:p>
            <w:pPr>
              <w:pStyle w:val="TableContents"/>
              <w:bidi w:val="0"/>
              <w:spacing w:before="0" w:after="283"/>
              <w:jc w:val="left"/>
              <w:rPr/>
            </w:pPr>
            <w:r>
              <w:rPr/>
              <w:t> </w:t>
            </w:r>
          </w:p>
        </w:tc>
      </w:tr>
      <w:tr>
        <w:trPr/>
        <w:tc>
          <w:tcPr>
            <w:tcW w:w="7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January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2025 Financial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Sold 42 of the 201 BTC earned as part of the Company’s regular treasury management practice for total proceeds of $4.1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Added 218 BTC, bringing Treasury to 1,152 BTC, up from 934 BTC last month and representing $121.0 million based on the Bitcoin price of $105,000 at January 31, 2025. This includes the repurchase of 88 BTC from Bitmain for $8.3 million, or $94,500 per BTC, in accordance with the miner upgrade agreement announced on November 12, 2024 and the transfer of 30 BTC to a third party as collateral for active derivatives contracts.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Upcoming Conferences and Events </w:t>
      </w:r>
    </w:p>
    <w:p>
      <w:pPr>
        <w:pStyle w:val="TextBody"/>
        <w:bidi w:val="0"/>
        <w:spacing w:before="0" w:after="0"/>
        <w:ind w:left="0"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Feb 12, 2025: AGP/ Alliance Global Partners Virtual Tech Conference</w:t>
            </w:r>
          </w:p>
        </w:tc>
      </w:tr>
    </w:tbl>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17-18, 2025: 37</w:t>
            </w:r>
            <w:r>
              <w:rPr>
                <w:rFonts w:ascii="Times New Roman;Times;Serif" w:hAnsi="Times New Roman;Times;Serif"/>
                <w:position w:val="8"/>
                <w:sz w:val="19"/>
              </w:rPr>
              <w:t>th</w:t>
            </w:r>
            <w:r>
              <w:rPr>
                <w:rFonts w:ascii="Times New Roman;Times;Serif" w:hAnsi="Times New Roman;Times;Serif"/>
              </w:rPr>
              <w:t xml:space="preserve"> Annual ROTH Conference (Dana Point, 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 house management and company-owned electrical engineering, installation service, and multiple onsite technical repair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13 operating Bitcoin data centers, as well as hosting agreements with two data centers,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 https://www.facebook.com/bitfarms/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https://twitter.com/Bitfarms_io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https://www.instagram.com/bitfarms/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Y/Y or M/M= year over year or month over month</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BTC or BTC/day = Bitcoin or Bitcoin per day</w:t>
            </w:r>
          </w:p>
        </w:tc>
      </w:tr>
    </w:tbl>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EH or EH/s = Exahash or exahash per second</w:t>
            </w:r>
          </w:p>
        </w:tc>
      </w:tr>
    </w:tbl>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MW or MWh = Megawatts or megawatt hour</w:t>
            </w:r>
          </w:p>
        </w:tc>
      </w:tr>
    </w:tbl>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GW or GWh= Gigawatts or gigawatt hour</w:t>
            </w:r>
          </w:p>
        </w:tc>
      </w:tr>
    </w:tbl>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w/TH = Watts/Terahash efficiency (includes cost of powering supplementary equipment)</w:t>
            </w:r>
          </w:p>
        </w:tc>
      </w:tr>
    </w:tbl>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Synthetic HODL</w:t>
            </w:r>
            <w:r>
              <w:rPr>
                <w:rFonts w:ascii="Times New Roman;Times;Serif" w:hAnsi="Times New Roman;Times;Serif"/>
              </w:rPr>
              <w:t xml:space="preserve">™ </w:t>
            </w:r>
            <w:r>
              <w:rPr>
                <w:rFonts w:ascii="Times New Roman;Times;Serif" w:hAnsi="Times New Roman;Times;Serif"/>
                <w:i/>
              </w:rPr>
              <w:t>= the use of instruments that create BTC equivalent exposure</w:t>
            </w:r>
          </w:p>
        </w:tc>
      </w:tr>
    </w:tbl>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HPC/AI = High Performance Computing / Artificial Intelligence</w:t>
            </w:r>
          </w:p>
        </w:tc>
      </w:tr>
    </w:tbl>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Energized capacity= Power available</w:t>
            </w:r>
          </w:p>
        </w:tc>
      </w:tr>
    </w:tbl>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Operational capacity= Power and infrastructure being used for current operations</w:t>
            </w:r>
          </w:p>
        </w:tc>
      </w:tr>
    </w:tbl>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PJM= Pennsylvania- New Jersey- Maryland Interconnection LLC</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deployment of miners as well as the timing therefor, closing of the Stronghold acquisition on a timely basis and on the terms as announced, the positive impact of the Stronghold acquisition and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the benefits of diversification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on the terms as announced, or at all; expansion may not materialize as currently anticipated, or at all; the anticipated merits of the HPC/AI strategy, the benefits and programs of the PJM deregulated market and the objectives of diversification in general may not be realized as planned; efforts to improve and optimize the performance of equipment may not be successful;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about the Stronghold Acquisition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Times;Serif" w:hAnsi="Times New Roman;Times;Serif"/>
          <w:b/>
          <w:i/>
          <w:caps w:val="false"/>
          <w:smallCaps w:val="false"/>
          <w:sz w:val="20"/>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IR &amp; Corp. Comms.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tkrumme@bitfarms.com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Caroline Brady Baker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cbaker@bitfarms.com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2477/000121390023052498/ea180981-f10_bitfarmsltd.htm" TargetMode="External"/><Relationship Id="rId3" Type="http://schemas.openxmlformats.org/officeDocument/2006/relationships/hyperlink" Target="http://www.sec.gov/Archives/edgar/data/1812477/000121390024035021/ea0204332-s8_bitfarms.htm" TargetMode="External"/><Relationship Id="rId4" Type="http://schemas.openxmlformats.org/officeDocument/2006/relationships/hyperlink" Target="http://www.sec.gov/Archives/edgar/data/1812477/000121390025004774/ea0216025-04.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2832</Words>
  <Characters>15839</Characters>
  <CharactersWithSpaces>18705</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