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34268-40f_bitfarms.htm"/>
      <w:bookmarkStart w:id="1" w:name="ksea023426840f_bitfarms"/>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13(a)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3815"/>
        <w:gridCol w:w="3200"/>
      </w:tblGrid>
      <w:tr>
        <w:trPr/>
        <w:tc>
          <w:tcPr>
            <w:tcW w:w="38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fiscal year ended </w:t>
            </w:r>
            <w:r>
              <w:rPr>
                <w:rFonts w:ascii="Times New Roman;Times;Serif" w:hAnsi="Times New Roman;Times;Serif"/>
                <w:b/>
                <w:sz w:val="20"/>
                <w:u w:val="single"/>
              </w:rPr>
              <w:t>December 31, 2024</w:t>
            </w:r>
          </w:p>
        </w:tc>
        <w:tc>
          <w:tcPr>
            <w:tcW w:w="32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Commission File Number </w:t>
            </w:r>
            <w:r>
              <w:rPr>
                <w:rFonts w:ascii="Times New Roman;Times;Serif" w:hAnsi="Times New Roman;Times;Serif"/>
                <w:b/>
                <w:sz w:val="20"/>
                <w:u w:val="single"/>
              </w:rPr>
              <w:t>001-40370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620" w:type="dxa"/>
        <w:jc w:val="left"/>
        <w:tblInd w:w="0" w:type="dxa"/>
        <w:tblLayout w:type="fixed"/>
        <w:tblCellMar>
          <w:top w:w="0" w:type="dxa"/>
          <w:left w:w="0" w:type="dxa"/>
          <w:bottom w:w="28" w:type="dxa"/>
          <w:right w:w="0" w:type="dxa"/>
        </w:tblCellMar>
      </w:tblPr>
      <w:tblGrid>
        <w:gridCol w:w="2855"/>
        <w:gridCol w:w="90"/>
        <w:gridCol w:w="2555"/>
        <w:gridCol w:w="90"/>
        <w:gridCol w:w="2030"/>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Canada</w:t>
            </w:r>
          </w:p>
        </w:tc>
        <w:tc>
          <w:tcPr>
            <w:tcW w:w="90" w:type="dxa"/>
            <w:tcBorders/>
            <w:tcMar>
              <w:bottom w:w="0" w:type="dxa"/>
            </w:tcMar>
            <w:vAlign w:val="center"/>
          </w:tcPr>
          <w:p>
            <w:pPr>
              <w:pStyle w:val="TableContents"/>
              <w:bidi w:val="0"/>
              <w:spacing w:before="0" w:after="283"/>
              <w:jc w:val="left"/>
              <w:rPr/>
            </w:pPr>
            <w:r>
              <w:rPr/>
              <w:t> </w:t>
            </w:r>
          </w:p>
        </w:tc>
        <w:tc>
          <w:tcPr>
            <w:tcW w:w="25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6199</w:t>
            </w:r>
          </w:p>
        </w:tc>
        <w:tc>
          <w:tcPr>
            <w:tcW w:w="90" w:type="dxa"/>
            <w:tcBorders/>
            <w:tcMar>
              <w:bottom w:w="0" w:type="dxa"/>
            </w:tcMar>
            <w:vAlign w:val="center"/>
          </w:tcPr>
          <w:p>
            <w:pPr>
              <w:pStyle w:val="TableContents"/>
              <w:bidi w:val="0"/>
              <w:spacing w:before="0" w:after="283"/>
              <w:jc w:val="left"/>
              <w:rPr/>
            </w:pPr>
            <w:r>
              <w:rPr/>
              <w:t> </w:t>
            </w:r>
          </w:p>
        </w:tc>
        <w:tc>
          <w:tcPr>
            <w:tcW w:w="20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w:t>
            </w:r>
          </w:p>
        </w:tc>
      </w:tr>
      <w:tr>
        <w:trPr/>
        <w:tc>
          <w:tcPr>
            <w:tcW w:w="285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(Province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(Primary Standard Industrial</w:t>
              <w:br/>
              <w:t>Classification Code Number)</w:t>
            </w:r>
          </w:p>
        </w:tc>
        <w:tc>
          <w:tcPr>
            <w:tcW w:w="9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1601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Toronto, Ontario, M5C 1T4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(647) 259-1790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221-0102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1565"/>
        <w:gridCol w:w="90"/>
        <w:gridCol w:w="1640"/>
        <w:gridCol w:w="90"/>
        <w:gridCol w:w="3770"/>
      </w:tblGrid>
      <w:tr>
        <w:trPr/>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BITF</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annual reports, indicate by check mark the information filed with this Form:</w:t>
      </w:r>
    </w:p>
    <w:p>
      <w:pPr>
        <w:pStyle w:val="TextBody"/>
        <w:bidi w:val="0"/>
        <w:spacing w:before="0" w:after="0"/>
        <w:ind w:left="0" w:right="0" w:hanging="0"/>
        <w:jc w:val="center"/>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2360"/>
        <w:gridCol w:w="3290"/>
      </w:tblGrid>
      <w:tr>
        <w:trPr/>
        <w:tc>
          <w:tcPr>
            <w:tcW w:w="2360" w:type="dxa"/>
            <w:tcBorders/>
            <w:vAlign w:val="center"/>
          </w:tcPr>
          <w:p>
            <w:pPr>
              <w:pStyle w:val="TableContents"/>
              <w:bidi w:val="0"/>
              <w:spacing w:before="0" w:after="283"/>
              <w:jc w:val="center"/>
              <w:rPr/>
            </w:pPr>
            <w:r>
              <w:rPr/>
              <w:t xml:space="preserve">☒ </w:t>
            </w:r>
            <w:r>
              <w:rPr>
                <w:rFonts w:ascii="Times New Roman;Times;Serif" w:hAnsi="Times New Roman;Times;Serif"/>
                <w:sz w:val="20"/>
              </w:rPr>
              <w:t>Annual information form</w:t>
            </w:r>
          </w:p>
        </w:tc>
        <w:tc>
          <w:tcPr>
            <w:tcW w:w="3290" w:type="dxa"/>
            <w:tcBorders/>
            <w:vAlign w:val="center"/>
          </w:tcPr>
          <w:p>
            <w:pPr>
              <w:pStyle w:val="TableContents"/>
              <w:bidi w:val="0"/>
              <w:spacing w:before="0" w:after="283"/>
              <w:jc w:val="center"/>
              <w:rPr/>
            </w:pPr>
            <w:r>
              <w:rPr/>
              <w:t xml:space="preserve">☒ </w:t>
            </w:r>
            <w:r>
              <w:rPr>
                <w:rFonts w:ascii="Times New Roman;Times;Serif" w:hAnsi="Times New Roman;Times;Serif"/>
                <w:sz w:val="20"/>
              </w:rPr>
              <w:t>Audited annual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 479,332,885 of the Registrant’s common shares were issued and outstanding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61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and the exhibits incorporated by reference herein contain forward-looking statements or information (collectively, “forward-looking statements”). All statements, other than statements of historical fact, incorporated by reference are forward-looking information. Any statements that express, or involve discussions as to, expectations, beliefs, plans, objectives, assumptions or future events or performance (often, but not always, through the use of words or phrases including, but not limited to, and including grammatical tense variations of such words as: “may”, “assume”, “anticipates”, “contemplate”, “is expected to”, “estimates”, “intends”, “plans”, “projection”, “could”, “vision”, “goals”, “objective” and “outlook”) are not historical facts and may be forward-looking and may involve estimates, assumptions and uncertainties which could cause actual results or outcomes to differ materially from those expressed in the forward-looking statements. In making these forward-looking statements, the Registrant has assumed that the current market will continue and grow and that the risks listed below will not adversely impact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numerous assumptions, inherent risks and uncertainties, both general and specific, which contribute to the possibility that the predicted outcomes may not occur or may be delayed. Forward-looking statements may relate to future financial conditions, results of operations, plans, objectives, performance or business developments. These statements speak only as of the date they are made and are based on information currently available and on the then current expectations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availability of financing opportunities, risks associated with economic conditions, dependence on management;</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05"/>
        <w:gridCol w:w="200"/>
        <w:gridCol w:w="59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dependence on regulated terms of service and electricity rates;</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105"/>
        <w:gridCol w:w="200"/>
        <w:gridCol w:w="45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speculative and competitive nature of the industry;</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105"/>
        <w:gridCol w:w="200"/>
        <w:gridCol w:w="61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dependency in continued growth in blockchain and cryptocurrency usage;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05"/>
        <w:gridCol w:w="200"/>
        <w:gridCol w:w="43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lawsuits and other legal proceedings and challenges;</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5"/>
        <w:gridCol w:w="200"/>
        <w:gridCol w:w="42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conflict of interests with directors and management;</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05"/>
        <w:gridCol w:w="200"/>
        <w:gridCol w:w="2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 regulations;</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105"/>
        <w:gridCol w:w="200"/>
        <w:gridCol w:w="79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described in this Annual Report and the exhibits incorporated by reference herein; and</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05"/>
        <w:gridCol w:w="200"/>
        <w:gridCol w:w="3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beyond the Registrant’s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which may cause the actual results, performance or achievements of the Registrant to be materially different from any future results, performance or achievements expressed or implied by such forward-looking information include, among others, risks relating to: a Bitcoin halving event; insolvency, bankruptcy or cessation of operations of mining pool operators; reliance on foreign mining pool operators; reliance on manufacturing in foreign countries and the importation of equipment into jurisdictions in which the Registrant operates; emerging market operating risks; valuation and price volatility of cryptocurrencies; share price fluctuations; future capital needs and the uncertainty of additional financing and dilution; indebtedness; hedges; global financial conditions; the ability to attract and retain customers for the Company’s hosting business; the possibility of Bitcoin mining algorithms transitioning to proof of stake validation; the Registrant’s limited operating history; employee retention and growth; cybersecurity threats and hacking; the limited history of the de-centralized financial system; limited experience of Company’s management in development of artificial intelligence and high-performance computing operations; technological obsolescence and difficulty in obtaining hardware; cryptocurrency network difficulty and the impact of increased global computing power; economic dependence on regulated terms of service and electricity rates; increases in commodity prices or reductions in the availability of such commodities; future profits/losses and production revenues/expenses; fraud and failure of cryptocurrency exchanges, custodians and other trading venues; the costs and demands upon management and the Company’s accounting and finance resources as a result of complying with the laws and regulations affecting public companies; the expense and impact of restatement of the Registrant’s historical financial statements; the lack of comprehensive accounting guidance for cryptocurrencies under IFRS Accounting Standards; a material weakness in internal control over financial reporting and the costs to remediate that material weakness or any future material weaknesses; political conditions and regulations; permits and licenses; server or internet failures; tax consequences; environmental regulations; environmental liability; the adoption of ESG practices and the impacts of climate change; emerging legislation and scrutiny regarding human rights issues; erroneous transactions and human error; facility developments; insurance risks; competition; uncertainty of the acceptance and/or widespread use of cryptocurrencies; hazards associated with high-voltage electricity transmission and industrial operations; corruption; the U.S. Foreign Corrupt Practices Act and similar legislation; political instability; third-party suppliers; the loss of the Company’s status as an “emerging growth company”; risks related to the success and profitability of the Company’s carbon capture program and related environmental tax credits; risks relating to unsolicited take-over bids; the inherent risks, costs and uncertainties associated with integrating the business successfully and risks of not achieving all or any of the anticipated benefits and synergies of the Stronghold Transaction, or the risk that the anticipated benefits and synergies of the Stronghold Transaction may not be fully realized or take longer to realize than expected; and the potential of the Registrant being classified as a passive foreign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assumptions used to develop such forward-looking information and a description of additional risk factors that may cause actual results to differ materially from forward-looking information can be found in the Registrant’s Annual Information Form for the year ended December 31, 2024, dated March 31, 2025, on the SEDAR+ website at www.sedarplus.ca, attached hereto as Exhibit 99.1, under the headings “Cautionary Note Regarding Forward-Looking Statements” and “Risk Factors” and in the Registrant’s Management’s Discussion and Analysis for the year ended December 31, 2024, attached hereto as Exhibit 99.3 under the headings “Cautionary Note Regarding Forward-Looking Statements” and “Risk Factors”. Although the Registrant has attempted to identify important factors that could cause actual results to differ materially from those contained in forward-looking information, there may be other factors that cause results not to be as anticipated, estimated or intended. Readers are cautioned that the foregoing list of factors is not exhaustive. Readers are further cautioned not to place undue reliance on forward-looking information as there can be no assurance that the plans, intentions or expectations upon which they are placed will occur. Forward-looking information contained this Annual Report and the exhibits incorporated by reference herein are expressly qualified by this cautionary statement. The forward-looking statements contained in this Annual Report and the exhibits incorporated by reference herein represents the expectations of the Registrant as of the date of this Annual Report or the applicable exhibit incorporated by reference herein and, accordingly, is subject to change after such date. However, the Registrant expressly disclaims any intention or obligation to update or revise any forward-looking statements, whether as a result of new information, future events or otherwise, except as expressly required by applicable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UNITED STATES AND CANADIAN REPORTING PRACTICES</w:t>
      </w:r>
    </w:p>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permitted, under a multijurisdictional disclosure system adopted by the United States, to prepare this report in accordance with Canadian disclosure requirements, which are different from those of the United States. The Registrant prepares its financial statements in accordance with International Financial Reporting Standards as issued by the International Accounting Standards Board (“IFRS Accounting Standards”), and the audit is subject to Public Company Accounting Oversight Board auditing standards. IFRS Accounting Standards differ in certain respects from United States generally accepted accounting principles (“U.S. GAAP”) and from practices prescribed by the Securities and Exchange Commission (the “SEC”). Therefore, the Registrant’s financial statements filed with this Annual Report may not be comparable to financial statements prepared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dollar amounts in this Annual Report are in United States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INFORMATION FORM</w:t>
      </w:r>
    </w:p>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Annual Information Form for the year ended December 31, 2024 is attached as Exhibit 99.1 to this Annual Report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ANNUAL FINANCIAL STATEMENTS</w:t>
      </w:r>
    </w:p>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audited annual consolidated financial statements as at and for the years ended December 31, 2024 and 2023, are attached as Exhibit 99.2 to this Annual Report and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w:t>
      </w:r>
    </w:p>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Management’s Discussion and Analysis for the year ended December 31, 2024 is attached as Exhibit 99.3 to this Annual Report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Annual Report, the Registrant carried out an evaluation, under the supervision of the Registrant’s Chief Executive Officer and Chief Financial Officer, of the effectiveness of the Registrant’s disclosure controls and procedures (as defined in Rules 13a-15(e) and 15d-15(e) of the Exchange Act). Based upon that evaluation and the material weakness in the Registrant’s internal control over financial reporting described below, the Registrant’s Chief Executive Officer and Chief Financial Officer have concluded that, as of December 31, 2024, the Company’s disclosure controls and procedures were not effective, and that the design and operating of the Company’s disclosure controls and procedures were not effective to provide reasonable assurance that all material information relating to the Company was reported as required because of a material weakness in the current operation of the Company’s internal control over financial reporting was identified, as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Registrant, under the supervision of the Registrant’s Chief Executive Officer and Chief Financial Officer, is responsible for establishing and maintaining an adequate system of “internal control over financial reporting” as defined in Rules 13a-15(f) and 15d-15(f) under the Exchange Act. Internal control over financial reporting is designed to provide reasonable assurance regarding the reliability of financial reporting and the preparation of financial statements for external purposes in accordance with International Financial reporting Standards as issued by the International Accounting Standards Board (“IFRS Accounting Standards”). Management, including the Chief Executive Officer and the Chief Financial Officer, has evaluated the effectiveness of the Registrant’s internal control over financial reporting in accordance with </w:t>
      </w:r>
      <w:r>
        <w:rPr>
          <w:rFonts w:ascii="Times New Roman;Times;Serif" w:hAnsi="Times New Roman;Times;Serif"/>
          <w:b w:val="false"/>
          <w:i/>
          <w:caps w:val="false"/>
          <w:smallCaps w:val="false"/>
          <w:sz w:val="20"/>
        </w:rPr>
        <w:t>Internal Control - Integrated Framework (2013)</w:t>
      </w:r>
      <w:r>
        <w:rPr>
          <w:rFonts w:ascii="Times New Roman;Times;Serif" w:hAnsi="Times New Roman;Times;Serif"/>
          <w:b w:val="false"/>
          <w:i w:val="false"/>
          <w:caps w:val="false"/>
          <w:smallCaps w:val="false"/>
          <w:sz w:val="20"/>
        </w:rPr>
        <w:t> issued by the Committee of Sponsoring Organizations of the Treadway Commission (“COSO”). Based on this assessment, management, including the Chief Executive Officer and the Chief Financial Officer, concluded that the Registrant’s internal control over financial reporting was not effective as of December 31, 2024, as a result of a material weakness identified in the Registrant’s internal control over financial reporting, which is further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the Registrant’s annual or interim financial statements will not be prevented or detected on a timely basis. In 2023, Management identified that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which was reflected in the comparative period for the consolidated financial statements of the Company for the year ended December 31, 2023 filed on December 9, 2024. In the fourth quarter of 2024, Management also identified a material error in the statements of cash flows, resulting in a reclassification of sales of digital assets from cash flows from operations to cash flows from investing activities. These errors, which impacted the consolidated financial statements for the year ended December 31, 2023 and 2022, were corrected with the filing of Amendment No. 1 to the Annual Report on Form 40-F for fiscal year ended December 31, 2023. Management concluded that the control over accounting for complex transactions did not operate effectively in these instances, which constitutes a material weakness in internal control over financial reporting as of December 31, 2024. Management concluded that the Registrant’s internal control over financial reporting as of December 31, 2024 was not effective because of the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Attestation Report of the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Company’s internal control over financial reporting as of December 31, 2024 has been audited by PricewaterhouseCoopers LLP, an independent registered public accounting firm, as stated in their report included in Exhibit 99.2 to this Annual Report on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Remediation of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established a remediation plan and has commenced remediation efforts. The Registrant’s remediation efforts to date comprise expanding the finance team to include more Chartered Professional Accountants with technical expertise and experience in evaluating more complex areas of IFRS Accounting Standards, involving the Company’s legal counsel on evaluating complex agreements, particularly those that involve the issuance of financial instruments and engaging with external third-party consultants to assist with assessing the accounting for complex financial instruments and review of financial statements. Management’s efforts of hiring more CPAs and involving the Company’s legal counsel and third-party consultants to assist with complex transactions were in place at the end of 2024, and its remediation plan is expected to be completed after review and testing of controls during 2025. If these remedial measures are insufficient to address the control deficiency as described above, or remediation plans are not implemented timely, or additional control deficiencies arise in the future, this could result in a material misstatement in the Registrant’s annual or interim consolidated financial statements that would not be prevented or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above, no change occurred in the Registrant’s internal control over financial reporting during the fiscal year ended December 31, 2024 that has materially affected, or is reasonably likely to materially affect,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 PURSUANT TO REGULATION BTR</w:t>
      </w:r>
    </w:p>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was not required by Rule 104 of Regulation BTR to send any notices to any of its directors or executive officers during the fiscal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 separately designated standing Audit Committee established for the purpose of overseeing the accounting and financial reporting processes of the Registrant and audits of the financial statements of the Registrant in accordance with Section 3(a)(58)(A) of the Exchange Act and Rule 5602(c) of the NASDAQ Stock Market Rules. As of the date of this Annual Report, the Registrant’s Audit Committee is comprised of Fanny Philip (who serves as the committee’s chair), Brian Howlett and Edith Hofmeister, all of whom are considered independent based on the criteria for independence prescribed by Rule 10A-3 of the Exchange Act and Rules 5605(a)(2) and (c)(2) of the listing rules of the Nasdaq Stock Market LLC (the “Nasdaq Stock Market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also determined that each member of the Audit Committee is financially literate, meaning each such member has the ability to read and understand a set of financial statements that present a breadth and level of complexity of the issues that can reasonably be expected to be raised by the Registrant’s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that each of Brian Howlett and Fanny Philip qualify as financial experts (as defined in Item 407(d)(5)(ii) of Regulation S-K under the Exchange Act) and Rule 5605(c)(2)(A) of the Nasdaq Stock Market Rules; and (ii) is independent (as determined under Exchange Act Rule 10A-3 and Rule 5605(a)(2) of the Nasdaq Stock Market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indicated that the designation or identification of a person as an audit committee financial expert does not make such person an “expert” for any purpose, impose any duties, obligations or liability on such person that are greater than those imposed on members of the audit committee and the board of directors who do not carry this designation or identification, or affect the duties, obligations or liability of any other member of the audit committee or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adopted a Code of Business, Conduct and Ethics that applies to directors, officers and employees of, and consultants to, the Registrant (the “Code”). The Code is posted on the Registrant’s website at https://investor.bitfarms.com/corporate-governance/governance-documents. The Code meets the requirements for a “code of ethics” within the meaning of that term in General Instruction 9(b) of Form 40-F. Unless and to the extent specifically referred to herein, the information on the Registrant’s website shall not be deemed to be incorporated by reference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waivers of the Code with respect to any of the employees, officers or directors covered by it will be promptly disclosed as required by applicable securities rules and regulations. Since adopted by the Registrant, and until December 31, 2024, the Registrant did not waive or implicitly waive any provision of the Code with respect to any of the Registrant’s principal executive officer, principal financial officer, principal accounting officer or controller, or persons performing similar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Tabular disclosure of the amounts billed to us by our independent registered public accounting firm, PricewaterhouseCoopers LLP (PCAOB ID 271) for the fiscal years ended December 31, 2024 and 2023 as Audit Fees, Audit-Related Fees, Tax Fees and All Other Fees appears on page 52 of the Annual Information Form, filed as Exhibit 99.1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OF SERVICES PROVIDED BY INDEPENDENT AUDITOR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pre-approves all audit and non-audit services to be provided to the Registrant by its independent registered public accounting firm, PricewaterhouseCoopers LLP. The audit committee sets forth its pre-approval and/or confirmation of services authorized by the audit committee in the minutes of its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RECOVERY OF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adopted a compensation recovery policy (the “Executive Compensation Clawback Policy”) as required by the Nasdaq listing rules and Rule 10D-1 of the Exchange Act. A copy of the Executive Compensation Clawback Policy is filed as Exhibit 97.1 to this Annual Report. As described above, the Registrant was required to prepare an accounting restatement of its consolidated financial statements as at and for the years ended December 31, 2023 and 2022 which has been reflected in the restated financial statements that were previously filed in Amendment No. 1 to the Annual Report on Form 40-F for the fiscal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concluded that it was not required under the Executive Compensation Clawback Policy to recover any previously awarded incentive-based compensation because the current and former executive officers who are subject to the Executive Compensation Clawback Policy have never received incentive-based compensation based on any financial reporting measure that was impacted by the referenced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private issuer that follows home country practices in lieu of certain provisions of the Nasdaq Stock Market Rules must disclose the ways in which its corporate governance practices differ from those followed by U.S. domestic companies. As required by Nasdaq Rule 5615(a)(3), the Registrant discloses on its website, www.bitfarms.com, each requirement of the Nasdaq Stock Market Rules that it does not follow and describes the home country practice it follows in lieu of such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UNDERTAKING AND CONSENT TO SERVICE OF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Undertaking</w:t>
      </w:r>
      <w:r>
        <w:rPr>
          <w:rFonts w:ascii="Times New Roman;Times;Serif" w:hAnsi="Times New Roman;Times;Serif"/>
          <w:b w:val="false"/>
          <w:i w:val="false"/>
          <w:caps w:val="false"/>
          <w:smallCaps w:val="false"/>
          <w:sz w:val="20"/>
        </w:rPr>
        <w:t>. The Registrant undertakes to make available, in person or by telephone, representatives to respond to inquiries made by the SEC staff, and to furnish promptly, when requested to do so by the SEC staff, information relating to the securities registered pursuant to Form 40-F, in relation to which the obligation to file an annual report on Form 40-F arises or transactions in said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Consent to Service of Process</w:t>
      </w:r>
      <w:r>
        <w:rPr>
          <w:rFonts w:ascii="Times New Roman;Times;Serif" w:hAnsi="Times New Roman;Times;Serif"/>
          <w:b w:val="false"/>
          <w:i w:val="false"/>
          <w:caps w:val="false"/>
          <w:smallCaps w:val="false"/>
          <w:sz w:val="20"/>
        </w:rPr>
        <w:t>. The Registrant has previously filed a Form F-X in connection with its common shares. Any change to the name or address of the Registrant’s agent for service shall be communicated promptly to the Commission by amendment to the Form F-X referencing the file number of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being filed with the Commission as Exhibits to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7"/>
        <w:gridCol w:w="90"/>
        <w:gridCol w:w="9198"/>
      </w:tblGrid>
      <w:tr>
        <w:trPr/>
        <w:tc>
          <w:tcPr>
            <w:tcW w:w="91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90" w:type="dxa"/>
            <w:tcBorders/>
            <w:tcMar>
              <w:bottom w:w="0" w:type="dxa"/>
            </w:tcMar>
            <w:vAlign w:val="center"/>
          </w:tcPr>
          <w:p>
            <w:pPr>
              <w:pStyle w:val="TableContents"/>
              <w:bidi w:val="0"/>
              <w:spacing w:before="0" w:after="283"/>
              <w:jc w:val="left"/>
              <w:rPr/>
            </w:pPr>
            <w:r>
              <w:rPr/>
              <w:t> </w:t>
            </w:r>
          </w:p>
        </w:tc>
        <w:tc>
          <w:tcPr>
            <w:tcW w:w="919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both"/>
              <w:rPr/>
            </w:pPr>
            <w:hyperlink w:anchor="ea023426801ex97-1_bitfarms.htm">
              <w:r>
                <w:rPr>
                  <w:rStyle w:val="InternetLink"/>
                  <w:rFonts w:ascii="Times New Roman;Times;Serif" w:hAnsi="Times New Roman;Times;Serif"/>
                  <w:sz w:val="20"/>
                </w:rPr>
                <w:t>Clawback Policy</w:t>
              </w:r>
            </w:hyperlink>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both"/>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both"/>
              <w:rPr/>
            </w:pPr>
            <w:hyperlink w:anchor="ea023426801ex99-1_bitfarms.htm">
              <w:r>
                <w:rPr>
                  <w:rStyle w:val="InternetLink"/>
                  <w:rFonts w:ascii="Times New Roman;Times;Serif" w:hAnsi="Times New Roman;Times;Serif"/>
                  <w:sz w:val="20"/>
                </w:rPr>
                <w:t>Annual Information Form for the year ended December 31, 2024</w:t>
              </w:r>
            </w:hyperlink>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both"/>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both"/>
              <w:rPr/>
            </w:pPr>
            <w:hyperlink w:anchor="ea023426801ex99-2_bitfarms.htm">
              <w:r>
                <w:rPr>
                  <w:rStyle w:val="InternetLink"/>
                  <w:rFonts w:ascii="Times New Roman;Times;Serif" w:hAnsi="Times New Roman;Times;Serif"/>
                  <w:sz w:val="20"/>
                </w:rPr>
                <w:t>Audited Consolidated Financial Statements as at and for the years ended December 31, 2024 and 2023</w:t>
              </w:r>
            </w:hyperlink>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both"/>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both"/>
              <w:rPr/>
            </w:pPr>
            <w:hyperlink w:anchor="ea023426801ex99-3_bitfarms.htm">
              <w:r>
                <w:rPr>
                  <w:rStyle w:val="InternetLink"/>
                  <w:rFonts w:ascii="Times New Roman;Times;Serif" w:hAnsi="Times New Roman;Times;Serif"/>
                  <w:sz w:val="20"/>
                </w:rPr>
                <w:t>Management’s Discussion and Analysis for the year ended December 31, 2024</w:t>
              </w:r>
            </w:hyperlink>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both"/>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both"/>
              <w:rPr/>
            </w:pPr>
            <w:hyperlink w:anchor="ea023426801ex99-4_bitfarms.htm">
              <w:r>
                <w:rPr>
                  <w:rStyle w:val="InternetLink"/>
                  <w:rFonts w:ascii="Times New Roman;Times;Serif" w:hAnsi="Times New Roman;Times;Serif"/>
                  <w:sz w:val="20"/>
                </w:rPr>
                <w:t>Certification of Chief Executive Officer pursuant to Rule 13a-14(a) or 15d-14(a) of the U.S. Securities Exchange Act of 1934, as amended</w:t>
              </w:r>
            </w:hyperlink>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both"/>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both"/>
              <w:rPr/>
            </w:pPr>
            <w:hyperlink w:anchor="ea023426801ex99-5_bitfarms.htm">
              <w:r>
                <w:rPr>
                  <w:rStyle w:val="InternetLink"/>
                  <w:rFonts w:ascii="Times New Roman;Times;Serif" w:hAnsi="Times New Roman;Times;Serif"/>
                  <w:sz w:val="20"/>
                </w:rPr>
                <w:t>Certification of Chief Financial Officer pursuant to Rule 13a-14(a) or 15d-14(a) of the U.S. Securities Exchange Act of 1934, as amended</w:t>
              </w:r>
            </w:hyperlink>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both"/>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both"/>
              <w:rPr/>
            </w:pPr>
            <w:hyperlink w:anchor="ea023426801ex99-6_bitfarms.htm">
              <w:r>
                <w:rPr>
                  <w:rStyle w:val="InternetLink"/>
                  <w:rFonts w:ascii="Times New Roman;Times;Serif" w:hAnsi="Times New Roman;Times;Serif"/>
                  <w:sz w:val="20"/>
                </w:rPr>
                <w:t>Certification of Chief Executive Officer pursuant to Section 906 of the Sarbanes-Oxley Act of 2002</w:t>
              </w:r>
            </w:hyperlink>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both"/>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both"/>
              <w:rPr/>
            </w:pPr>
            <w:hyperlink w:anchor="ea023426801ex99-7_bitfarms.htm">
              <w:r>
                <w:rPr>
                  <w:rStyle w:val="InternetLink"/>
                  <w:rFonts w:ascii="Times New Roman;Times;Serif" w:hAnsi="Times New Roman;Times;Serif"/>
                  <w:sz w:val="20"/>
                </w:rPr>
                <w:t>Certification of Chief Financial Officer pursuant to Section 906 of the Sarbanes-Oxley Act of 2002</w:t>
              </w:r>
            </w:hyperlink>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both"/>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both"/>
              <w:rPr/>
            </w:pPr>
            <w:hyperlink w:anchor="ea023426801ex99-8_bitfarms.htm">
              <w:r>
                <w:rPr>
                  <w:rStyle w:val="InternetLink"/>
                  <w:rFonts w:ascii="Times New Roman;Times;Serif" w:hAnsi="Times New Roman;Times;Serif"/>
                  <w:sz w:val="20"/>
                </w:rPr>
                <w:t>Consent of PricewaterhouseCoopers LLP</w:t>
              </w:r>
            </w:hyperlink>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both"/>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101.INS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Inline XBRL Instance Document</w:t>
            </w:r>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left"/>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101.SCH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Inline XBRL Taxonomy Extension Schema Document</w:t>
            </w:r>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left"/>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101.CAL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Inline XBRL Taxonomy Extension Calculation Linkbase Document</w:t>
            </w:r>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left"/>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101.DEF</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Inline XBRL Taxonomy Extension Definition Linkbase Document</w:t>
            </w:r>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left"/>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101.LAB</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Inline XBRL Taxonomy Extension Label Linkbase Document</w:t>
            </w:r>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left"/>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101.PRE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Inline XBRL Taxonomy Extension Presentation Linkbase Document</w:t>
            </w:r>
          </w:p>
        </w:tc>
      </w:tr>
      <w:tr>
        <w:trPr/>
        <w:tc>
          <w:tcPr>
            <w:tcW w:w="91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8" w:type="dxa"/>
            <w:tcBorders/>
            <w:tcMar>
              <w:bottom w:w="0" w:type="dxa"/>
            </w:tcMar>
            <w:vAlign w:val="center"/>
          </w:tcPr>
          <w:p>
            <w:pPr>
              <w:pStyle w:val="TableContents"/>
              <w:bidi w:val="0"/>
              <w:spacing w:before="0" w:after="283"/>
              <w:jc w:val="left"/>
              <w:rPr/>
            </w:pPr>
            <w:r>
              <w:rPr/>
              <w:t> </w:t>
            </w:r>
          </w:p>
        </w:tc>
      </w:tr>
      <w:tr>
        <w:trPr/>
        <w:tc>
          <w:tcPr>
            <w:tcW w:w="91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the Registrant certifies that it meets all of the requirements for filing on Form 40-F and has duly caused this Annual Report to be signed on its behalf by the undersigned, thereto duly authorized.</w:t>
      </w:r>
    </w:p>
    <w:p>
      <w:pPr>
        <w:pStyle w:val="TextBody"/>
        <w:bidi w:val="0"/>
        <w:spacing w:before="0" w:after="0"/>
        <w:ind w:left="0" w:right="0" w:hanging="0"/>
        <w:jc w:val="both"/>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365"/>
        <w:gridCol w:w="620"/>
        <w:gridCol w:w="3020"/>
        <w:gridCol w:w="135"/>
      </w:tblGrid>
      <w:tr>
        <w:trPr/>
        <w:tc>
          <w:tcPr>
            <w:tcW w:w="4005"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BITFARMS LTD.</w:t>
            </w:r>
          </w:p>
        </w:tc>
        <w:tc>
          <w:tcPr>
            <w:tcW w:w="135" w:type="dxa"/>
            <w:tcBorders/>
            <w:vAlign w:val="center"/>
          </w:tcPr>
          <w:p>
            <w:pPr>
              <w:pStyle w:val="TableContents"/>
              <w:bidi w:val="0"/>
              <w:spacing w:before="0" w:after="283"/>
              <w:jc w:val="left"/>
              <w:rPr/>
            </w:pPr>
            <w:r>
              <w:rPr/>
              <w:t> </w:t>
            </w:r>
          </w:p>
        </w:tc>
      </w:tr>
      <w:tr>
        <w:trPr/>
        <w:tc>
          <w:tcPr>
            <w:tcW w:w="4005" w:type="dxa"/>
            <w:gridSpan w:val="3"/>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Ben Gagnon</w:t>
            </w:r>
          </w:p>
        </w:tc>
        <w:tc>
          <w:tcPr>
            <w:tcW w:w="13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 Gagnon</w:t>
            </w:r>
          </w:p>
        </w:tc>
        <w:tc>
          <w:tcPr>
            <w:tcW w:w="13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Director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3426801ex97-1_bitfarms.htm"/>
      <w:bookmarkStart w:id="3" w:name="ksea023426801ex971_bitfarms"/>
      <w:bookmarkEnd w:id="2"/>
      <w:bookmarkEnd w:id="3"/>
      <w:r>
        <w:rPr>
          <w:rFonts w:ascii="Times New Roman;Times;Serif" w:hAnsi="Times New Roman;Times;Serif"/>
          <w:b/>
          <w:i w:val="false"/>
          <w:caps w:val="false"/>
          <w:smallCaps w:val="false"/>
          <w:sz w:val="20"/>
        </w:rPr>
        <w:t>Exhibit 97.1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mallCaps/>
        </w:rPr>
      </w:pPr>
      <w:r>
        <w:rPr>
          <w:smallCaps/>
        </w:rPr>
        <w:drawing>
          <wp:inline distT="0" distB="0" distL="0" distR="0">
            <wp:extent cx="3895725"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95725" cy="819150"/>
                    </a:xfrm>
                    <a:prstGeom prst="rect">
                      <a:avLst/>
                    </a:prstGeom>
                  </pic:spPr>
                </pic:pic>
              </a:graphicData>
            </a:graphic>
          </wp:inline>
        </w:drawing>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Clawback Policy</w:t>
      </w:r>
    </w:p>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335"/>
        <w:gridCol w:w="800"/>
      </w:tblGrid>
      <w:tr>
        <w:trPr/>
        <w:tc>
          <w:tcPr>
            <w:tcW w:w="335" w:type="dxa"/>
            <w:tcBorders/>
            <w:vAlign w:val="center"/>
          </w:tcPr>
          <w:p>
            <w:pPr>
              <w:pStyle w:val="TableContents"/>
              <w:bidi w:val="0"/>
              <w:spacing w:before="0" w:after="283"/>
              <w:jc w:val="left"/>
              <w:rPr/>
            </w:pPr>
            <w:r>
              <w:rPr/>
              <w:t>1.0</w:t>
            </w:r>
          </w:p>
        </w:tc>
        <w:tc>
          <w:tcPr>
            <w:tcW w:w="800" w:type="dxa"/>
            <w:tcBorders/>
            <w:vAlign w:val="center"/>
          </w:tcPr>
          <w:p>
            <w:pPr>
              <w:pStyle w:val="TableContents"/>
              <w:bidi w:val="0"/>
              <w:spacing w:before="0" w:after="283"/>
              <w:jc w:val="left"/>
              <w:rPr/>
            </w:pPr>
            <w:r>
              <w:rPr/>
              <w:t>Purpose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Clawback Policy (this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is to enable Bitfarms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recover Erroneously Awarded Compensation from Covered Executive Officers in the event that the Company is required to prepare an Accounting Restatement. This Policy is designed to comply with, and shall be interpreted to be consistent with, Section 954 of the Dodd-Frank Wall Street Reform and Consumer Protection Act of 2010, as codified in Section 10D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Rule 10D-1 promulgated under the Exchange Act (“</w:t>
      </w:r>
      <w:r>
        <w:rPr>
          <w:rFonts w:ascii="Times New Roman;Times;Serif" w:hAnsi="Times New Roman;Times;Serif"/>
          <w:b/>
          <w:i w:val="false"/>
          <w:caps w:val="false"/>
          <w:smallCaps w:val="false"/>
          <w:sz w:val="20"/>
        </w:rPr>
        <w:t>Rule 10D-1</w:t>
      </w:r>
      <w:r>
        <w:rPr>
          <w:rFonts w:ascii="Times New Roman;Times;Serif" w:hAnsi="Times New Roman;Times;Serif"/>
          <w:b w:val="false"/>
          <w:i w:val="false"/>
          <w:caps w:val="false"/>
          <w:smallCaps w:val="false"/>
          <w:sz w:val="20"/>
        </w:rPr>
        <w:t>”) and Listing Rule 5608 of the corporate governance rules of The Nasdaq Stock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Listing Standards</w:t>
      </w:r>
      <w:r>
        <w:rPr>
          <w:rFonts w:ascii="Times New Roman;Times;Serif" w:hAnsi="Times New Roman;Times;Serif"/>
          <w:b w:val="false"/>
          <w:i w:val="false"/>
          <w:caps w:val="false"/>
          <w:smallCaps w:val="false"/>
          <w:sz w:val="20"/>
        </w:rPr>
        <w:t xml:space="preserve">”). Unless otherwise defined in this Policy, capitalized terms shall have the meaning ascribed to such terms in </w:t>
      </w:r>
      <w:r>
        <w:rPr>
          <w:rFonts w:ascii="Times New Roman;Times;Serif" w:hAnsi="Times New Roman;Times;Serif"/>
          <w:b/>
          <w:i w:val="false"/>
          <w:caps w:val="false"/>
          <w:smallCaps w:val="false"/>
          <w:sz w:val="20"/>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335"/>
        <w:gridCol w:w="1085"/>
      </w:tblGrid>
      <w:tr>
        <w:trPr/>
        <w:tc>
          <w:tcPr>
            <w:tcW w:w="335" w:type="dxa"/>
            <w:tcBorders/>
            <w:vAlign w:val="center"/>
          </w:tcPr>
          <w:p>
            <w:pPr>
              <w:pStyle w:val="TableContents"/>
              <w:bidi w:val="0"/>
              <w:spacing w:before="0" w:after="283"/>
              <w:jc w:val="left"/>
              <w:rPr/>
            </w:pPr>
            <w:r>
              <w:rPr/>
              <w:t>2.0</w:t>
            </w:r>
          </w:p>
        </w:tc>
        <w:tc>
          <w:tcPr>
            <w:tcW w:w="1085" w:type="dxa"/>
            <w:tcBorders/>
            <w:vAlign w:val="center"/>
          </w:tcPr>
          <w:p>
            <w:pPr>
              <w:pStyle w:val="TableContents"/>
              <w:bidi w:val="0"/>
              <w:spacing w:before="0" w:after="283"/>
              <w:jc w:val="left"/>
              <w:rPr/>
            </w:pPr>
            <w:r>
              <w:rPr/>
              <w:t>Definitions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Policy, the following capitalized terms shall have the meanings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w:t>
            </w:r>
            <w:r>
              <w:rPr>
                <w:u w:val="single"/>
              </w:rPr>
              <w:t>Accounting Restatement</w:t>
            </w:r>
            <w:r>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 is material to the previously issued financial statements (i.e., a “Big R” restatement) or (ii) is not material to the previously issued financial statements but would result in a material misstatement if the error were corrected in the current period or left uncorrected in the current period (i.e., a “little r” restatement).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w:t>
            </w:r>
            <w:r>
              <w:rPr>
                <w:u w:val="single"/>
              </w:rPr>
              <w:t>Accounting Restatement Date</w:t>
            </w:r>
            <w:r>
              <w:rPr/>
              <w:t>” means the earlier to occur of (i) the date the Board, a committee of the Board, or the officer or officers of the Company authorized to take such action if the Board’s action is not required, concludes, or reasonably should have concluded, that the Company is required to prepare an Accounting Restatement and (ii) the date a court, regulator, or other legally authorized body directs the Company to prepare an Accounting Restatement.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w:t>
            </w:r>
            <w:r>
              <w:rPr>
                <w:u w:val="single"/>
              </w:rPr>
              <w:t>Applicable Period</w:t>
            </w:r>
            <w:r>
              <w:rPr/>
              <w:t>” means, with respect to any Accounting Restatement, the three completed fiscal years immediately preceding the Accounting Restatement Date, as well as any transition period (that results from a change in the Company’s fiscal year) within or immediately following those three completed fiscal years (except that a transition period that comprises a period of at least nine months shall count as a completed fiscal year).</w:t>
            </w:r>
          </w:p>
        </w:tc>
      </w:tr>
    </w:tbl>
    <w:p>
      <w:pPr>
        <w:pStyle w:val="TextBody"/>
        <w:bidi w:val="0"/>
        <w:spacing w:before="0" w:after="0"/>
        <w:ind w:left="0" w:right="0" w:hanging="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20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5210" w:type="dxa"/>
            <w:tcBorders/>
            <w:vAlign w:val="center"/>
          </w:tcPr>
          <w:p>
            <w:pPr>
              <w:pStyle w:val="TableContents"/>
              <w:bidi w:val="0"/>
              <w:spacing w:before="0" w:after="283"/>
              <w:jc w:val="both"/>
              <w:rPr/>
            </w:pPr>
            <w:r>
              <w:rPr/>
              <w:t>“</w:t>
            </w:r>
            <w:r>
              <w:rPr>
                <w:u w:val="single"/>
              </w:rPr>
              <w:t>Board</w:t>
            </w:r>
            <w:r>
              <w:rPr/>
              <w:t>” means the board of directors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both"/>
              <w:rPr/>
            </w:pPr>
            <w:r>
              <w:rPr/>
              <w:t>“</w:t>
            </w:r>
            <w:r>
              <w:rPr>
                <w:u w:val="single"/>
              </w:rPr>
              <w:t>Code</w:t>
            </w:r>
            <w:r>
              <w:rPr/>
              <w:t>” 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2" w:type="dxa"/>
            <w:tcBorders/>
            <w:vAlign w:val="center"/>
          </w:tcPr>
          <w:p>
            <w:pPr>
              <w:pStyle w:val="TableContents"/>
              <w:bidi w:val="0"/>
              <w:spacing w:before="0" w:after="283"/>
              <w:jc w:val="both"/>
              <w:rPr/>
            </w:pPr>
            <w:r>
              <w:rPr/>
              <w:t>“</w:t>
            </w:r>
            <w:r>
              <w:rPr>
                <w:u w:val="single"/>
              </w:rPr>
              <w:t>Covered Executive Officer</w:t>
            </w:r>
            <w:r>
              <w:rPr/>
              <w:t>” means an individual who is currently or previously served as the Company’s Chief Executing Officer, Chief Financial Officer, Vice president of the Company in charge of a principal or, if there is no such accounting officer, the controller, vice president of the Company in charge of a principal business unit, division, or function (such as sales, administration, or finance), an officer who performs (or performed) a policy-making function, or any other person who performs (or performed) similar policy-making functions for the Company or is otherwise determined to be an executive that for Incentive-Based Compensation based on stock price or total stockholder return, officer of the Company pursuant to Item 401(b) of Regulation S-K. An executive officer of the Company’s parent (if any) or subsidiary is deemed a “Covered Executive Officer” if the executive officer performs (or performed) such policy-making functions for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33650"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33650" cy="666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7" w:type="dxa"/>
            <w:tcBorders/>
            <w:vAlign w:val="center"/>
          </w:tcPr>
          <w:p>
            <w:pPr>
              <w:pStyle w:val="TableContents"/>
              <w:bidi w:val="0"/>
              <w:spacing w:before="0" w:after="283"/>
              <w:jc w:val="both"/>
              <w:rPr/>
            </w:pPr>
            <w:r>
              <w:rPr/>
              <w:t>“</w:t>
            </w:r>
            <w:r>
              <w:rPr>
                <w:u w:val="single"/>
              </w:rPr>
              <w:t>Erroneously Awarded Compensation</w:t>
            </w:r>
            <w:r>
              <w:rPr/>
              <w:t xml:space="preserve">” 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paid by the relevant Covered Executive Officer; </w:t>
            </w:r>
            <w:r>
              <w:rPr>
                <w:u w:val="single"/>
              </w:rPr>
              <w:t>provided</w:t>
            </w:r>
            <w:r>
              <w:rPr/>
              <w:t xml:space="preserve">, </w:t>
            </w:r>
            <w:r>
              <w:rPr>
                <w:u w:val="single"/>
              </w:rPr>
              <w:t>however</w:t>
            </w:r>
            <w:r>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Nasdaq.</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h.</w:t>
            </w:r>
          </w:p>
        </w:tc>
        <w:tc>
          <w:tcPr>
            <w:tcW w:w="9967" w:type="dxa"/>
            <w:tcBorders/>
            <w:vAlign w:val="center"/>
          </w:tcPr>
          <w:p>
            <w:pPr>
              <w:pStyle w:val="TableContents"/>
              <w:bidi w:val="0"/>
              <w:spacing w:before="0" w:after="283"/>
              <w:jc w:val="both"/>
              <w:rPr/>
            </w:pPr>
            <w:r>
              <w:rPr/>
              <w:t>“</w:t>
            </w:r>
            <w:r>
              <w:rPr>
                <w:u w:val="single"/>
              </w:rPr>
              <w:t>Financial Reporting Measure</w:t>
            </w:r>
            <w:r>
              <w:rPr/>
              <w:t>” means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the Company’s stock price; total shareholder return; revenues; net income; operating income; profitability of one or more reportable segments; financial ratios; earnings before interest, taxes, depreciation and amortization; and earnings measures (e.g., earnings per share). A Financial Reporting Measure is not required to be presented within the Company’s financial statements or included in a filing with the U.S. Securities and Exchange Commission (the “</w:t>
            </w:r>
            <w:r>
              <w:rPr>
                <w:u w:val="single"/>
              </w:rPr>
              <w:t>SEC</w:t>
            </w:r>
            <w:r>
              <w:rPr/>
              <w:t>”) to qualify as a “Financial Reporting Measure.”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t>“</w:t>
            </w:r>
            <w:r>
              <w:rPr>
                <w:u w:val="single"/>
              </w:rPr>
              <w:t>Incentive-Based Compensation</w:t>
            </w:r>
            <w:r>
              <w:rPr/>
              <w:t>” means any compensation that is granted, earned, or vested based wholly or in part upon the attainment of a Financial Reporting Measure. Incentive-Based Compensation is deemed “received” for purposes of this Policy in the Company’s fiscal period during which the Financial Reporting Measure specified in the Incentive-Based Compensation award is attained, even if the payment or grant of such Incentive-Based Compensation occurs after the end of that fiscal period.</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335"/>
        <w:gridCol w:w="1445"/>
      </w:tblGrid>
      <w:tr>
        <w:trPr/>
        <w:tc>
          <w:tcPr>
            <w:tcW w:w="335" w:type="dxa"/>
            <w:tcBorders/>
            <w:vAlign w:val="center"/>
          </w:tcPr>
          <w:p>
            <w:pPr>
              <w:pStyle w:val="TableContents"/>
              <w:bidi w:val="0"/>
              <w:spacing w:before="0" w:after="283"/>
              <w:jc w:val="left"/>
              <w:rPr/>
            </w:pPr>
            <w:r>
              <w:rPr/>
              <w:t>3.0</w:t>
            </w:r>
          </w:p>
        </w:tc>
        <w:tc>
          <w:tcPr>
            <w:tcW w:w="1445" w:type="dxa"/>
            <w:tcBorders/>
            <w:vAlign w:val="center"/>
          </w:tcPr>
          <w:p>
            <w:pPr>
              <w:pStyle w:val="TableContents"/>
              <w:bidi w:val="0"/>
              <w:spacing w:before="0" w:after="283"/>
              <w:jc w:val="left"/>
              <w:rPr/>
            </w:pPr>
            <w:r>
              <w:rPr/>
              <w:t>Administration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Compensation Committee of the Board (the “</w:t>
      </w:r>
      <w:r>
        <w:rPr>
          <w:rFonts w:ascii="Times New Roman;Times;Serif" w:hAnsi="Times New Roman;Times;Serif"/>
          <w:b w:val="false"/>
          <w:i w:val="false"/>
          <w:caps w:val="false"/>
          <w:smallCaps w:val="false"/>
          <w:sz w:val="20"/>
          <w:u w:val="single"/>
        </w:rPr>
        <w:t>Compensation Committee</w:t>
      </w:r>
      <w:r>
        <w:rPr>
          <w:rFonts w:ascii="Times New Roman;Times;Serif" w:hAnsi="Times New Roman;Times;Serif"/>
          <w:b w:val="false"/>
          <w:i w:val="false"/>
          <w:caps w:val="false"/>
          <w:smallCaps w:val="false"/>
          <w:sz w:val="20"/>
        </w:rPr>
        <w:t>”). For purposes of this Policy, the Compensation Committee shall be referred to herein as the “Administrator.” The Administrator is authorized to interpret and construe this Policy and to make all determinations necessary, appropriate or advisable for the administration of this Policy, in each case, to the extent permitted under the Listing Standards and in compliance with (or pursuant to an exemption from the application of) Section 409A of the Code. All determinations and decisions made by the Administrator pursuant to the provisions of this Policy shall be final, conclusive and binding on all persons, including the Company, its affiliates, its stockholders and Covered Executive Officers, and need not be uniform with respect to each person covered by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895725" cy="819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95725" cy="819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administration of this Policy, the Administrator is authorized and directed to consult with the full Board, the Audit Committee of the Board and/or any such other committee of the Board as may be necessary or appropriate as to matters within the scope of such other committee’s responsibility and authority. Subject to any limitation at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 Any action or inaction by the Administrator with respect to a Covered Executive Officer under this Policy in no way limits the Administrator’s decision to act or not to act with respect to any other Covered Executive Officer under this Policy or under any similar policy, agreement or arrangement, nor shall any such action or inaction serve as a waiver of any rights the Company may have against any Covered Executive Officer other than as set forth in this Policy.</w:t>
      </w:r>
    </w:p>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335"/>
        <w:gridCol w:w="1145"/>
      </w:tblGrid>
      <w:tr>
        <w:trPr/>
        <w:tc>
          <w:tcPr>
            <w:tcW w:w="335" w:type="dxa"/>
            <w:tcBorders/>
            <w:vAlign w:val="center"/>
          </w:tcPr>
          <w:p>
            <w:pPr>
              <w:pStyle w:val="TableContents"/>
              <w:bidi w:val="0"/>
              <w:spacing w:before="0" w:after="283"/>
              <w:jc w:val="left"/>
              <w:rPr/>
            </w:pPr>
            <w:r>
              <w:rPr/>
              <w:t>4.0</w:t>
            </w:r>
          </w:p>
        </w:tc>
        <w:tc>
          <w:tcPr>
            <w:tcW w:w="1145" w:type="dxa"/>
            <w:tcBorders/>
            <w:vAlign w:val="center"/>
          </w:tcPr>
          <w:p>
            <w:pPr>
              <w:pStyle w:val="TableContents"/>
              <w:bidi w:val="0"/>
              <w:spacing w:before="0" w:after="283"/>
              <w:jc w:val="left"/>
              <w:rPr/>
            </w:pPr>
            <w:r>
              <w:rPr/>
              <w:t>Application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Incentive-Based Compensation received by a Covered Executive Officer on or after October 2, 2023: (i) after beginning service as a Covered Executive Officer; (ii) who served as a Covered Executive Officer at any time during the performance period for such Incentive-Based Compensation; (iii) while the Company had a listed class of securities on a US national securities exchange; and (iv) during the Applicable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 In the event of any inconsistency between this Policy and the terms of any employment agreement or other similar agreement to which a Covered Executive Officer is a party, or the terms of any compensation plan, program or agreement under which any compensation has been granted, awarded, earned or paid to a Covered Executive Officer, in each case, by or with the Company or any of its subsidiaries, the terms of this Policy shall govern.</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335"/>
        <w:gridCol w:w="2225"/>
      </w:tblGrid>
      <w:tr>
        <w:trPr/>
        <w:tc>
          <w:tcPr>
            <w:tcW w:w="335" w:type="dxa"/>
            <w:tcBorders/>
            <w:vAlign w:val="center"/>
          </w:tcPr>
          <w:p>
            <w:pPr>
              <w:pStyle w:val="TableContents"/>
              <w:bidi w:val="0"/>
              <w:spacing w:before="0" w:after="283"/>
              <w:jc w:val="left"/>
              <w:rPr/>
            </w:pPr>
            <w:r>
              <w:rPr/>
              <w:t>5.0</w:t>
            </w:r>
          </w:p>
        </w:tc>
        <w:tc>
          <w:tcPr>
            <w:tcW w:w="2225" w:type="dxa"/>
            <w:tcBorders/>
            <w:vAlign w:val="center"/>
          </w:tcPr>
          <w:p>
            <w:pPr>
              <w:pStyle w:val="TableContents"/>
              <w:bidi w:val="0"/>
              <w:spacing w:before="0" w:after="283"/>
              <w:jc w:val="left"/>
              <w:rPr/>
            </w:pPr>
            <w:r>
              <w:rPr/>
              <w:t>Recovery Requirement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Accounting Restatement, the Company must recover Erroneously Awarded Compensation reasonably promptly, in amounts determined pursuant to this Policy. The Company’s obligation to recover Erroneously Awarded Compensation is not dependent on the filing of restated financial statements. Recovery under this Policy with respect to a Covered Executive Officer shall not require the finding of any misconduct by such Covered Executive Officer or such Covered Executive Officer being found responsible for the accounting error leading to an Accounting Restatement. In the event of an Accounting Restatement, the method for recouping Erroneously Awarded Compensation shall be determined by the Administrator in its sole and absolute discretion, to the extent permitted under the Listing Standards and in compliance with (or pursuant to an exemption from the application of) Section 409A of the Code. Recovery may include, without limitation, (i) reimbursement of all or a portion of any incentive compensation award, (ii) cancellation of incentive compensation awards and (iii) any other method authorized by applicable law or contract. To the extent that a Covered Executive Officer fails to repay all Erroneously Awarded Compensation to the Company when due, the Company shall take all actions reasonable and appropriate to recover such Erroneously Awarded Compensation from the applicable Covered Executive Officer, subject to the provisions of the immediately following paragraph. The applicable Covered Executive Officer shall be required to reimburse the Company for any and all expenses reasonably incurred by the Company (including legal fees) in recovering such Erroneously Awarded Compensation in accordance with the immediately preceding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95725" cy="819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895725" cy="8191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and directed pursuant to this Policy to recover Erroneously Awarded Compensation in compliance with this Policy unless the Compensation Committee has determined that recovery would be impracticable solely for the following limited reasons, and subject to the following procedural and disclosure requirements: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The direct expenses paid to a third party to assist in enforcing this Policy would exceed the amount to be recovered. Before reaching such conclusion, the Administrator must make a reasonable attempt to recover such Erroneously Awarded Compensation, document such reasonable attempt(s) to recover, and provide that documentation to Nasdaq;</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Recovery would violate home country law where that law was adopted prior to November 28, 2022. Before reaching such conclusion, the Administrator must obtain an opinion of home country counsel, acceptable to Nasdaq, that recovery would result in such a violation, and must provide such opinion to Nasdaq;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Recovery would likely cause an otherwise tax-qualified retirement plan, under which benefits are broadly available to employees of the Company, to fail to meet the requirements of Section 401(a)(13) or Section 411(a) of the Code.</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35"/>
        <w:gridCol w:w="5855"/>
      </w:tblGrid>
      <w:tr>
        <w:trPr/>
        <w:tc>
          <w:tcPr>
            <w:tcW w:w="335" w:type="dxa"/>
            <w:tcBorders/>
            <w:vAlign w:val="center"/>
          </w:tcPr>
          <w:p>
            <w:pPr>
              <w:pStyle w:val="TableContents"/>
              <w:bidi w:val="0"/>
              <w:spacing w:before="0" w:after="283"/>
              <w:jc w:val="left"/>
              <w:rPr/>
            </w:pPr>
            <w:r>
              <w:rPr/>
              <w:t>6.0</w:t>
            </w:r>
          </w:p>
        </w:tc>
        <w:tc>
          <w:tcPr>
            <w:tcW w:w="5855" w:type="dxa"/>
            <w:tcBorders/>
            <w:vAlign w:val="center"/>
          </w:tcPr>
          <w:p>
            <w:pPr>
              <w:pStyle w:val="TableContents"/>
              <w:bidi w:val="0"/>
              <w:spacing w:before="0" w:after="283"/>
              <w:jc w:val="left"/>
              <w:rPr/>
            </w:pPr>
            <w:r>
              <w:rPr/>
              <w:t>Prohibition on Indemnification and Insurance Reimbursement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any Covered Executive Officer against or with respect to the loss of any Erroneously Awarded Compensation. Further, the Company shall not pay or reimburse a Covered Executive Officer for the cost of purchasing insurance to cover any such loss. The Company shall also not enter into any agreement or arrangement whereby this Policy would not apply or fail to be enforced against a Covered Executive Officer.</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35"/>
        <w:gridCol w:w="1610"/>
      </w:tblGrid>
      <w:tr>
        <w:trPr/>
        <w:tc>
          <w:tcPr>
            <w:tcW w:w="335" w:type="dxa"/>
            <w:tcBorders/>
            <w:vAlign w:val="center"/>
          </w:tcPr>
          <w:p>
            <w:pPr>
              <w:pStyle w:val="TableContents"/>
              <w:bidi w:val="0"/>
              <w:spacing w:before="0" w:after="283"/>
              <w:jc w:val="left"/>
              <w:rPr/>
            </w:pPr>
            <w:r>
              <w:rPr/>
              <w:t>7.0</w:t>
            </w:r>
          </w:p>
        </w:tc>
        <w:tc>
          <w:tcPr>
            <w:tcW w:w="1610" w:type="dxa"/>
            <w:tcBorders/>
            <w:vAlign w:val="center"/>
          </w:tcPr>
          <w:p>
            <w:pPr>
              <w:pStyle w:val="TableContents"/>
              <w:bidi w:val="0"/>
              <w:spacing w:before="0" w:after="283"/>
              <w:jc w:val="left"/>
              <w:rPr/>
            </w:pPr>
            <w:r>
              <w:rPr/>
              <w:t>Required Filings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all disclosures with respect to this Policy in accordance with the requirements of US federal securities laws, including disclosures required to be included in SEC filings. A copy of this Policy and any amendments hereto shall be posted on the Company’s website and filed as an exhibit to the Company’s annual report on Form 40-F.</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335"/>
        <w:gridCol w:w="1730"/>
      </w:tblGrid>
      <w:tr>
        <w:trPr/>
        <w:tc>
          <w:tcPr>
            <w:tcW w:w="335" w:type="dxa"/>
            <w:tcBorders/>
            <w:vAlign w:val="center"/>
          </w:tcPr>
          <w:p>
            <w:pPr>
              <w:pStyle w:val="TableContents"/>
              <w:bidi w:val="0"/>
              <w:spacing w:before="0" w:after="283"/>
              <w:jc w:val="left"/>
              <w:rPr/>
            </w:pPr>
            <w:r>
              <w:rPr/>
              <w:t>8.0</w:t>
            </w:r>
          </w:p>
        </w:tc>
        <w:tc>
          <w:tcPr>
            <w:tcW w:w="1730" w:type="dxa"/>
            <w:tcBorders/>
            <w:vAlign w:val="center"/>
          </w:tcPr>
          <w:p>
            <w:pPr>
              <w:pStyle w:val="TableContents"/>
              <w:bidi w:val="0"/>
              <w:spacing w:before="0" w:after="283"/>
              <w:jc w:val="left"/>
              <w:rPr/>
            </w:pPr>
            <w:r>
              <w:rPr/>
              <w:t>Acknowledgment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Covered Executive Officer shall sign and return to the Company within thirty (30) calendar days following the later of (i) the effective date of this Policy set forth below or (ii) the date such individual becomes a Covered Executive Officer, the Acknowledgement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pursuant to which the Covered Executive Officer agrees to be bound by, and to comply with, the terms and conditions of this Policy; provided, however, that this Policy shall be effective in respect of each Covered Executive Officer regardless of whether such Covered Executive Officer signs and returns the Acknowledgment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95725" cy="819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895725" cy="8191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335"/>
        <w:gridCol w:w="2480"/>
      </w:tblGrid>
      <w:tr>
        <w:trPr/>
        <w:tc>
          <w:tcPr>
            <w:tcW w:w="335" w:type="dxa"/>
            <w:tcBorders/>
            <w:vAlign w:val="center"/>
          </w:tcPr>
          <w:p>
            <w:pPr>
              <w:pStyle w:val="TableContents"/>
              <w:bidi w:val="0"/>
              <w:spacing w:before="0" w:after="283"/>
              <w:jc w:val="left"/>
              <w:rPr/>
            </w:pPr>
            <w:r>
              <w:rPr/>
              <w:t>9.0</w:t>
            </w:r>
          </w:p>
        </w:tc>
        <w:tc>
          <w:tcPr>
            <w:tcW w:w="2480" w:type="dxa"/>
            <w:tcBorders/>
            <w:vAlign w:val="center"/>
          </w:tcPr>
          <w:p>
            <w:pPr>
              <w:pStyle w:val="TableContents"/>
              <w:bidi w:val="0"/>
              <w:spacing w:before="0" w:after="283"/>
              <w:jc w:val="left"/>
              <w:rPr/>
            </w:pPr>
            <w:r>
              <w:rPr/>
              <w:t>Amendment; Termination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Compensation Committee may amend this Policy from time to time in its sole and absolute discretion and shall amend this Policy as it deems necessary to reflect the Listing Standards or to comply with (or maintain an exemption from the application of) Section 409A of the Code. The Compensation Committee may terminate this Policy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termination of this Policy would not cause the Company to violate any federal securities laws, rules promulgated by the SEC or the Listing Standards.</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455"/>
        <w:gridCol w:w="1400"/>
      </w:tblGrid>
      <w:tr>
        <w:trPr/>
        <w:tc>
          <w:tcPr>
            <w:tcW w:w="455" w:type="dxa"/>
            <w:tcBorders/>
            <w:vAlign w:val="center"/>
          </w:tcPr>
          <w:p>
            <w:pPr>
              <w:pStyle w:val="TableContents"/>
              <w:bidi w:val="0"/>
              <w:spacing w:before="0" w:after="283"/>
              <w:jc w:val="left"/>
              <w:rPr/>
            </w:pPr>
            <w:r>
              <w:rPr/>
              <w:t>10.0</w:t>
            </w:r>
          </w:p>
        </w:tc>
        <w:tc>
          <w:tcPr>
            <w:tcW w:w="1400" w:type="dxa"/>
            <w:tcBorders/>
            <w:vAlign w:val="center"/>
          </w:tcPr>
          <w:p>
            <w:pPr>
              <w:pStyle w:val="TableContents"/>
              <w:bidi w:val="0"/>
              <w:spacing w:before="0" w:after="283"/>
              <w:jc w:val="left"/>
              <w:rPr/>
            </w:pPr>
            <w:r>
              <w:rPr/>
              <w:t>Effective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effective as of November 29, 2023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The terms of this Policy shall apply to any Incentive-Based Compensation that is received by Covered Executive Officers on or after October 2, 2023, even if such Incentive-Based Compensation was approved, awarded or granted to Covered Executive Officers prior to the Effective Date and shall not limit any right of recovery with respect to compensation received prior to the Effective Date.</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455"/>
        <w:gridCol w:w="4310"/>
      </w:tblGrid>
      <w:tr>
        <w:trPr/>
        <w:tc>
          <w:tcPr>
            <w:tcW w:w="455" w:type="dxa"/>
            <w:tcBorders/>
            <w:vAlign w:val="center"/>
          </w:tcPr>
          <w:p>
            <w:pPr>
              <w:pStyle w:val="TableContents"/>
              <w:bidi w:val="0"/>
              <w:spacing w:before="0" w:after="283"/>
              <w:jc w:val="left"/>
              <w:rPr/>
            </w:pPr>
            <w:r>
              <w:rPr/>
              <w:t>11.0</w:t>
            </w:r>
          </w:p>
        </w:tc>
        <w:tc>
          <w:tcPr>
            <w:tcW w:w="4310" w:type="dxa"/>
            <w:tcBorders/>
            <w:vAlign w:val="center"/>
          </w:tcPr>
          <w:p>
            <w:pPr>
              <w:pStyle w:val="TableContents"/>
              <w:bidi w:val="0"/>
              <w:spacing w:before="0" w:after="283"/>
              <w:jc w:val="left"/>
              <w:rPr/>
            </w:pPr>
            <w:r>
              <w:rPr/>
              <w:t>Other Recovery Obligations; General Rights</w:t>
            </w:r>
            <w:r>
              <w:rPr>
                <w:b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intends that this Policy shall be applied to the fullest extent of the law. To the extent that the application of this Policy would provide for recovery of Incentive-Based Compensation that the Company already recovered pursuant to Section 304 of the Sarbanes-Oxley Act or other recovery obligation, any such amount recovered from a Covered Executive Officer will be credited to any recovery required under this Policy in respect of such Covered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not limit the rights of the Company to take any other actions or pursue other remedies that the Company may deem appropriate under the circumstances and under applicable law, in each case, to the extent permitted under the Listing Standards and in compliance with (or pursuant to an exemption from the application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binding and enforceable against all Covered Executive Officers and their beneficiaries, heirs, executors, administrators or other legal representatives.</w:t>
      </w:r>
    </w:p>
    <w:p>
      <w:pPr>
        <w:pStyle w:val="TextBody"/>
        <w:bidi w:val="0"/>
        <w:spacing w:before="0" w:after="0"/>
        <w:ind w:left="0" w:right="0" w:hanging="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315"/>
        <w:gridCol w:w="3545"/>
      </w:tblGrid>
      <w:tr>
        <w:trPr/>
        <w:tc>
          <w:tcPr>
            <w:tcW w:w="23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Dated:</w:t>
            </w:r>
          </w:p>
        </w:tc>
        <w:tc>
          <w:tcPr>
            <w:tcW w:w="354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29, 2023 (the “Effective Date”)</w:t>
            </w:r>
          </w:p>
        </w:tc>
      </w:tr>
      <w:tr>
        <w:trPr/>
        <w:tc>
          <w:tcPr>
            <w:tcW w:w="2315" w:type="dxa"/>
            <w:tcBorders/>
            <w:vAlign w:val="center"/>
          </w:tcPr>
          <w:p>
            <w:pPr>
              <w:pStyle w:val="TableContents"/>
              <w:bidi w:val="0"/>
              <w:spacing w:before="0" w:after="283"/>
              <w:jc w:val="left"/>
              <w:rPr>
                <w:b/>
                <w:sz w:val="20"/>
              </w:rPr>
            </w:pPr>
            <w:r>
              <w:rPr>
                <w:b/>
                <w:sz w:val="20"/>
              </w:rPr>
              <w:t>Latest Review (no changes)</w:t>
            </w:r>
          </w:p>
        </w:tc>
        <w:tc>
          <w:tcPr>
            <w:tcW w:w="3545" w:type="dxa"/>
            <w:tcBorders/>
            <w:vAlign w:val="center"/>
          </w:tcPr>
          <w:p>
            <w:pPr>
              <w:pStyle w:val="TableContents"/>
              <w:bidi w:val="0"/>
              <w:spacing w:before="0" w:after="283"/>
              <w:jc w:val="left"/>
              <w:rPr>
                <w:b/>
                <w:sz w:val="20"/>
              </w:rPr>
            </w:pPr>
            <w:r>
              <w:rPr>
                <w:b/>
                <w:sz w:val="20"/>
              </w:rPr>
              <w:t>March 7, 2025</w:t>
            </w:r>
          </w:p>
        </w:tc>
      </w:tr>
      <w:tr>
        <w:trPr/>
        <w:tc>
          <w:tcPr>
            <w:tcW w:w="23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Approved by:</w:t>
            </w:r>
          </w:p>
        </w:tc>
        <w:tc>
          <w:tcPr>
            <w:tcW w:w="3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895725" cy="819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895725" cy="819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CLAWBACK POLICY </w:t>
        <w:br/>
        <w:t>ACKNOWLEDGEMENT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acknowledges and confirms that the undersigned has received and reviewed a copy of the Bitfarms Ltd. Clawback Policy (the “</w:t>
      </w:r>
      <w:r>
        <w:rPr>
          <w:rFonts w:ascii="Times New Roman;Times;Serif" w:hAnsi="Times New Roman;Times;Serif"/>
          <w:b w:val="false"/>
          <w:i w:val="false"/>
          <w:caps w:val="false"/>
          <w:smallCaps w:val="false"/>
          <w:sz w:val="20"/>
          <w:u w:val="single"/>
        </w:rPr>
        <w:t>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this Acknowledgement Form, the undersigned acknowledges and agrees that the undersigned is and will continue to be subject to the Policy and that the Policy will apply both during and after the undersigned’s employment or service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 and notwithstanding anything to the contrary in any other policy, plan, program, agreement or other arrangement to which the undersigned is subject or a party or in which the undersigned participates.</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75"/>
        <w:gridCol w:w="2105"/>
      </w:tblGrid>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b/>
                <w:sz w:val="20"/>
              </w:rPr>
            </w:pPr>
            <w:r>
              <w:rPr>
                <w:b/>
                <w:sz w:val="20"/>
              </w:rPr>
              <w:t>EXECUTIVE OFFICER</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20"/>
              </w:rPr>
            </w:pPr>
            <w:r>
              <w:rPr>
                <w:sz w:val="20"/>
              </w:rPr>
              <w:t>Print Name</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20"/>
              </w:rPr>
            </w:pPr>
            <w:r>
              <w:rPr>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3426801ex99-1_bitfarms.htm"/>
      <w:bookmarkStart w:id="5" w:name="ksea023426801ex991_bitfarms"/>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200525" cy="800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200525" cy="8001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 w:right="0" w:firstLine="36"/>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BITFARMS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March 26,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9" w:right="0" w:hanging="0"/>
        <w:jc w:val="center"/>
        <w:rPr>
          <w:caps w:val="false"/>
          <w:smallCaps w:val="false"/>
        </w:rPr>
      </w:pPr>
      <w:r>
        <w:rPr>
          <w:caps w:val="false"/>
          <w:smallCaps w:val="false"/>
        </w:rPr>
        <w:t> </w:t>
      </w:r>
    </w:p>
    <w:p>
      <w:pPr>
        <w:pStyle w:val="TextBody"/>
        <w:bidi w:val="0"/>
        <w:spacing w:before="0" w:after="0"/>
        <w:ind w:left="39"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 2024</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Information Form</w:t>
      </w:r>
    </w:p>
    <w:p>
      <w:pPr>
        <w:pStyle w:val="TextBody"/>
        <w:bidi w:val="0"/>
        <w:spacing w:before="0" w:after="0"/>
        <w:ind w:left="160" w:right="0" w:firstLine="160"/>
        <w:jc w:val="center"/>
        <w:rPr>
          <w:caps w:val="false"/>
          <w:smallCaps w:val="false"/>
        </w:rPr>
      </w:pPr>
      <w:r>
        <w:rPr>
          <w:caps w:val="false"/>
          <w:smallCaps w:val="false"/>
        </w:rPr>
        <w:t> </w:t>
      </w:r>
    </w:p>
    <w:p>
      <w:pPr>
        <w:pStyle w:val="TextBody"/>
        <w:bidi w:val="0"/>
        <w:spacing w:before="0" w:after="0"/>
        <w:ind w:left="160" w:right="0" w:firstLine="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930" w:type="dxa"/>
        <w:jc w:val="left"/>
        <w:tblInd w:w="0" w:type="dxa"/>
        <w:tblLayout w:type="fixed"/>
        <w:tblCellMar>
          <w:top w:w="33" w:type="dxa"/>
          <w:left w:w="0" w:type="dxa"/>
          <w:bottom w:w="0" w:type="dxa"/>
          <w:right w:w="0" w:type="dxa"/>
        </w:tblCellMar>
      </w:tblPr>
      <w:tblGrid>
        <w:gridCol w:w="395"/>
        <w:gridCol w:w="60"/>
        <w:gridCol w:w="6230"/>
        <w:gridCol w:w="245"/>
      </w:tblGrid>
      <w:tr>
        <w:trPr/>
        <w:tc>
          <w:tcPr>
            <w:tcW w:w="395" w:type="dxa"/>
            <w:tcBorders>
              <w:top w:val="single" w:sz="12" w:space="0" w:color="000000"/>
            </w:tcBorders>
            <w:shd w:fill="CCEEFF" w:val="clear"/>
            <w:vAlign w:val="center"/>
          </w:tcPr>
          <w:p>
            <w:pPr>
              <w:pStyle w:val="TableContents"/>
              <w:bidi w:val="0"/>
              <w:spacing w:before="0" w:after="283"/>
              <w:jc w:val="right"/>
              <w:rPr/>
            </w:pPr>
            <w:r>
              <w:rPr/>
              <w:t> </w:t>
            </w:r>
          </w:p>
        </w:tc>
        <w:tc>
          <w:tcPr>
            <w:tcW w:w="60" w:type="dxa"/>
            <w:tcBorders>
              <w:top w:val="single" w:sz="12" w:space="0" w:color="000000"/>
            </w:tcBorders>
            <w:shd w:fill="CCEEFF" w:val="clear"/>
            <w:tcMar>
              <w:top w:w="28" w:type="dxa"/>
            </w:tcMar>
            <w:vAlign w:val="center"/>
          </w:tcPr>
          <w:p>
            <w:pPr>
              <w:pStyle w:val="TableContents"/>
              <w:bidi w:val="0"/>
              <w:spacing w:before="0" w:after="283"/>
              <w:jc w:val="left"/>
              <w:rPr/>
            </w:pPr>
            <w:r>
              <w:rPr/>
              <w:t> </w:t>
            </w:r>
          </w:p>
        </w:tc>
        <w:tc>
          <w:tcPr>
            <w:tcW w:w="6230" w:type="dxa"/>
            <w:tcBorders>
              <w:top w:val="single" w:sz="1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GLOSSARY OF DEFINED TERMS</w:t>
            </w:r>
          </w:p>
        </w:tc>
        <w:tc>
          <w:tcPr>
            <w:tcW w:w="245" w:type="dxa"/>
            <w:tcBorders>
              <w:top w:val="single" w:sz="12" w:space="0" w:color="000000"/>
            </w:tcBorders>
            <w:shd w:fill="CCEEFF" w:val="clear"/>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GENERAL INFORMATION</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REGARDING BITFARMS</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EXEMPTION</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CURRENCY</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CAUTIONARY NOTE REGARDING FORWARD-LOOKING STATEMENTS</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CORPORATE STRUCTURE</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INCORPORATION OF THE COMPANY</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BUSINESS</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MINING POOL PARTICIPATION</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OF OPERATIONS</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CRYPTOCURRENCY BACKGROUND</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MINING</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AND STRATEGY</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MINING PROFITABILITY</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ASSET MANAGEMENT PROGRAM</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CUSTODY OF CRYPTO ASSETS</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HEDGING PROGRAM OF DIGITAL ASSETS</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SYNTHETIC HODL PROGRAM OF DIGITAL ASSETS</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MINING OPERATIONS</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COMPETITIVE CONDITIONS</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HARDWARE AND SOFTWARE</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EMPLOYEES</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PROPERTIES</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BANKRUPTCY PROCEEDINGS</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SPECIALIZED SKILL KNOWLEDGE</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GENERAL DEVELOPMENT OF THE BUSINESS</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395" w:type="dxa"/>
            <w:tcBorders/>
            <w:shd w:fill="CCEEFF" w:val="clear"/>
            <w:tcMar>
              <w:top w:w="0" w:type="dxa"/>
            </w:tcMar>
            <w:vAlign w:val="center"/>
          </w:tcPr>
          <w:p>
            <w:pPr>
              <w:pStyle w:val="TableContents"/>
              <w:bidi w:val="0"/>
              <w:spacing w:before="0" w:after="283"/>
              <w:jc w:val="righ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2022</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395" w:type="dxa"/>
            <w:tcBorders/>
            <w:shd w:fill="FFFFFF" w:val="clear"/>
            <w:tcMar>
              <w:top w:w="0" w:type="dxa"/>
            </w:tcMar>
            <w:vAlign w:val="center"/>
          </w:tcPr>
          <w:p>
            <w:pPr>
              <w:pStyle w:val="TableContents"/>
              <w:bidi w:val="0"/>
              <w:spacing w:before="0" w:after="283"/>
              <w:jc w:val="righ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230"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2023</w:t>
            </w:r>
          </w:p>
        </w:tc>
        <w:tc>
          <w:tcPr>
            <w:tcW w:w="24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395" w:type="dxa"/>
            <w:tcBorders/>
            <w:shd w:fill="CCEEFF" w:val="clear"/>
            <w:tcMar>
              <w:top w:w="0" w:type="dxa"/>
            </w:tcMar>
            <w:vAlign w:val="center"/>
          </w:tcPr>
          <w:p>
            <w:pPr>
              <w:pStyle w:val="TableContents"/>
              <w:bidi w:val="0"/>
              <w:spacing w:before="0" w:after="283"/>
              <w:jc w:val="righ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230"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2024</w:t>
            </w:r>
          </w:p>
        </w:tc>
        <w:tc>
          <w:tcPr>
            <w:tcW w:w="24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395" w:type="dxa"/>
            <w:tcBorders>
              <w:bottom w:val="single" w:sz="12" w:space="0" w:color="000000"/>
            </w:tcBorders>
            <w:shd w:fill="FFFFFF" w:val="clear"/>
            <w:tcMar>
              <w:top w:w="0" w:type="dxa"/>
              <w:bottom w:w="28" w:type="dxa"/>
            </w:tcMar>
            <w:vAlign w:val="center"/>
          </w:tcPr>
          <w:p>
            <w:pPr>
              <w:pStyle w:val="TableContents"/>
              <w:bidi w:val="0"/>
              <w:spacing w:before="0" w:after="283"/>
              <w:jc w:val="right"/>
              <w:rPr/>
            </w:pPr>
            <w:r>
              <w:rPr/>
              <w:t> </w:t>
            </w:r>
          </w:p>
        </w:tc>
        <w:tc>
          <w:tcPr>
            <w:tcW w:w="60" w:type="dxa"/>
            <w:tcBorders>
              <w:bottom w:val="single" w:sz="12" w:space="0" w:color="000000"/>
            </w:tcBorders>
            <w:shd w:fill="FFFFFF" w:val="clear"/>
            <w:tcMar>
              <w:top w:w="0" w:type="dxa"/>
              <w:bottom w:w="28" w:type="dxa"/>
            </w:tcMar>
            <w:vAlign w:val="center"/>
          </w:tcPr>
          <w:p>
            <w:pPr>
              <w:pStyle w:val="TableContents"/>
              <w:bidi w:val="0"/>
              <w:spacing w:before="0" w:after="283"/>
              <w:jc w:val="left"/>
              <w:rPr/>
            </w:pPr>
            <w:r>
              <w:rPr/>
              <w:t> </w:t>
            </w:r>
          </w:p>
        </w:tc>
        <w:tc>
          <w:tcPr>
            <w:tcW w:w="6230" w:type="dxa"/>
            <w:tcBorders>
              <w:bottom w:val="single" w:sz="1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2025</w:t>
            </w:r>
          </w:p>
        </w:tc>
        <w:tc>
          <w:tcPr>
            <w:tcW w:w="245" w:type="dxa"/>
            <w:tcBorders>
              <w:bottom w:val="single" w:sz="12" w:space="0" w:color="000000"/>
            </w:tcBorders>
            <w:shd w:fill="FFFFFF" w:val="clear"/>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TABLE OF CONTENTS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855" w:type="dxa"/>
        <w:jc w:val="left"/>
        <w:tblInd w:w="0" w:type="dxa"/>
        <w:tblLayout w:type="fixed"/>
        <w:tblCellMar>
          <w:top w:w="33" w:type="dxa"/>
          <w:left w:w="0" w:type="dxa"/>
          <w:bottom w:w="0" w:type="dxa"/>
          <w:right w:w="0" w:type="dxa"/>
        </w:tblCellMar>
      </w:tblPr>
      <w:tblGrid>
        <w:gridCol w:w="395"/>
        <w:gridCol w:w="60"/>
        <w:gridCol w:w="9125"/>
        <w:gridCol w:w="275"/>
      </w:tblGrid>
      <w:tr>
        <w:trPr/>
        <w:tc>
          <w:tcPr>
            <w:tcW w:w="395" w:type="dxa"/>
            <w:tcBorders>
              <w:top w:val="single" w:sz="12"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w:t>
            </w:r>
          </w:p>
        </w:tc>
        <w:tc>
          <w:tcPr>
            <w:tcW w:w="60" w:type="dxa"/>
            <w:tcBorders>
              <w:top w:val="single" w:sz="12" w:space="0" w:color="000000"/>
            </w:tcBorders>
            <w:shd w:fill="CCEEFF" w:val="clear"/>
            <w:tcMar>
              <w:top w:w="28" w:type="dxa"/>
            </w:tcMar>
            <w:vAlign w:val="center"/>
          </w:tcPr>
          <w:p>
            <w:pPr>
              <w:pStyle w:val="TableContents"/>
              <w:bidi w:val="0"/>
              <w:spacing w:before="0" w:after="283"/>
              <w:jc w:val="left"/>
              <w:rPr/>
            </w:pPr>
            <w:r>
              <w:rPr/>
              <w:t> </w:t>
            </w:r>
          </w:p>
        </w:tc>
        <w:tc>
          <w:tcPr>
            <w:tcW w:w="9125" w:type="dxa"/>
            <w:tcBorders>
              <w:top w:val="single" w:sz="12" w:space="0" w:color="000000"/>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FUTURE GROWTH PLANS</w:t>
            </w:r>
          </w:p>
        </w:tc>
        <w:tc>
          <w:tcPr>
            <w:tcW w:w="275" w:type="dxa"/>
            <w:tcBorders>
              <w:top w:val="single" w:sz="12" w:space="0" w:color="000000"/>
            </w:tcBorders>
            <w:shd w:fill="CCEEFF" w:val="clear"/>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CAUTIONARY STATEMENTS</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TRANSFORMATIVE FLEET UPGRADE</w:t>
            </w:r>
          </w:p>
        </w:tc>
        <w:tc>
          <w:tcPr>
            <w:tcW w:w="275" w:type="dxa"/>
            <w:tcBorders/>
            <w:shd w:fill="CCEEFF" w:val="clear"/>
            <w:tcMar>
              <w:top w:w="0" w:type="dxa"/>
            </w:tcMar>
            <w:vAlign w:val="center"/>
          </w:tcPr>
          <w:p>
            <w:pPr>
              <w:pStyle w:val="TableContents"/>
              <w:bidi w:val="0"/>
              <w:spacing w:before="0" w:after="283"/>
              <w:jc w:val="center"/>
              <w:rPr/>
            </w:pPr>
            <w:r>
              <w:rPr/>
              <w:t>31</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EXPANSION</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PARAGUAY EXPANSION</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 EXPANSION</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ARGENTINA EXPANSION</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DIVIDENDS</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CAPITAL STRUCTURE</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MARKET FOR SECURITIES</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PRICE AND VOLUME</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ESCROWED SECURITIES AND SECURITIES SUBJECT TO CONTRACTUAL RESTRICTION ON TRANSFER</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SALES</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OFFICERS</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OCCUPATION AND SECURITY HOLDING</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BIOGRAPHY</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CEASE TRADE ORDERS, BANKRUPTCIES, PENALTIES OR SANCTIONS</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CODE OF CONDUCT AND CONFLICTS OF INTEREST</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LEGAL PROCEEDINGS</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OF MANAGEMENT AND OTHERS IN MATERIAL TRANSACTIONS</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AGENT AND REGISTRAR</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MATERIAL CONTRACTS</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INTERESTS OF EXPERTS</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COMMITTEES </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COMMITTEE</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GOVERNANCE AND NOMINATING COMMITTEE</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COMMITTEE</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AND SOCIAL RESPONSIBILITY COMMITTEE</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REGULATORY COMPLIANCE</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395" w:type="dxa"/>
            <w:tcBorders/>
            <w:shd w:fill="FFFF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w:t>
            </w:r>
          </w:p>
        </w:tc>
        <w:tc>
          <w:tcPr>
            <w:tcW w:w="60" w:type="dxa"/>
            <w:tcBorders/>
            <w:shd w:fill="FFFFFF" w:val="clear"/>
            <w:tcMar>
              <w:top w:w="0" w:type="dxa"/>
            </w:tcMar>
            <w:vAlign w:val="center"/>
          </w:tcPr>
          <w:p>
            <w:pPr>
              <w:pStyle w:val="TableContents"/>
              <w:bidi w:val="0"/>
              <w:spacing w:before="0" w:after="283"/>
              <w:jc w:val="left"/>
              <w:rPr/>
            </w:pPr>
            <w:r>
              <w:rPr/>
              <w:t> </w:t>
            </w:r>
          </w:p>
        </w:tc>
        <w:tc>
          <w:tcPr>
            <w:tcW w:w="9125" w:type="dxa"/>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ADDITIONAL INFORMATION</w:t>
            </w:r>
          </w:p>
        </w:tc>
        <w:tc>
          <w:tcPr>
            <w:tcW w:w="275" w:type="dxa"/>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395" w:type="dxa"/>
            <w:tcBorders/>
            <w:shd w:fill="CCEE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w:t>
            </w:r>
          </w:p>
        </w:tc>
        <w:tc>
          <w:tcPr>
            <w:tcW w:w="60" w:type="dxa"/>
            <w:tcBorders/>
            <w:shd w:fill="CCEEFF" w:val="clear"/>
            <w:tcMar>
              <w:top w:w="0" w:type="dxa"/>
            </w:tcMar>
            <w:vAlign w:val="center"/>
          </w:tcPr>
          <w:p>
            <w:pPr>
              <w:pStyle w:val="TableContents"/>
              <w:bidi w:val="0"/>
              <w:spacing w:before="0" w:after="283"/>
              <w:jc w:val="left"/>
              <w:rPr/>
            </w:pPr>
            <w:r>
              <w:rPr/>
              <w:t> </w:t>
            </w:r>
          </w:p>
        </w:tc>
        <w:tc>
          <w:tcPr>
            <w:tcW w:w="9125" w:type="dxa"/>
            <w:tcBorders/>
            <w:shd w:fill="CCEE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RISK FACTORS </w:t>
            </w:r>
          </w:p>
        </w:tc>
        <w:tc>
          <w:tcPr>
            <w:tcW w:w="275" w:type="dxa"/>
            <w:tcBorders/>
            <w:shd w:fill="CCEEFF" w:val="clear"/>
            <w:tcMar>
              <w:top w:w="0" w:type="dxa"/>
            </w:tcMar>
            <w:vAlign w:val="center"/>
          </w:tcPr>
          <w:p>
            <w:pPr>
              <w:pStyle w:val="TableContents"/>
              <w:bidi w:val="0"/>
              <w:spacing w:before="0" w:after="283"/>
              <w:jc w:val="center"/>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54</w:t>
            </w:r>
          </w:p>
        </w:tc>
      </w:tr>
      <w:tr>
        <w:trPr/>
        <w:tc>
          <w:tcPr>
            <w:tcW w:w="395" w:type="dxa"/>
            <w:tcBorders>
              <w:bottom w:val="single" w:sz="12" w:space="0" w:color="000000"/>
            </w:tcBorders>
            <w:shd w:fill="FFFFFF" w:val="clear"/>
            <w:tcMar>
              <w:top w:w="0" w:type="dxa"/>
              <w:bottom w:w="28" w:type="dxa"/>
            </w:tcMar>
            <w:vAlign w:val="center"/>
          </w:tcPr>
          <w:p>
            <w:pPr>
              <w:pStyle w:val="TableContents"/>
              <w:bidi w:val="0"/>
              <w:spacing w:before="0" w:after="283"/>
              <w:jc w:val="right"/>
              <w:rPr/>
            </w:pPr>
            <w:r>
              <w:rPr/>
              <w:t> </w:t>
            </w:r>
          </w:p>
        </w:tc>
        <w:tc>
          <w:tcPr>
            <w:tcW w:w="60" w:type="dxa"/>
            <w:tcBorders>
              <w:bottom w:val="single" w:sz="12" w:space="0" w:color="000000"/>
            </w:tcBorders>
            <w:shd w:fill="FFFFFF" w:val="clear"/>
            <w:tcMar>
              <w:top w:w="0" w:type="dxa"/>
              <w:bottom w:w="28" w:type="dxa"/>
            </w:tcMar>
            <w:vAlign w:val="center"/>
          </w:tcPr>
          <w:p>
            <w:pPr>
              <w:pStyle w:val="TableContents"/>
              <w:bidi w:val="0"/>
              <w:spacing w:before="0" w:after="283"/>
              <w:jc w:val="left"/>
              <w:rPr/>
            </w:pPr>
            <w:r>
              <w:rPr/>
              <w:t> </w:t>
            </w:r>
          </w:p>
        </w:tc>
        <w:tc>
          <w:tcPr>
            <w:tcW w:w="9125" w:type="dxa"/>
            <w:tcBorders>
              <w:bottom w:val="single" w:sz="1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SCHEDULE A</w:t>
            </w:r>
          </w:p>
        </w:tc>
        <w:tc>
          <w:tcPr>
            <w:tcW w:w="275" w:type="dxa"/>
            <w:tcBorders>
              <w:bottom w:val="single" w:sz="12" w:space="0" w:color="000000"/>
            </w:tcBorders>
            <w:shd w:fill="FFFFFF" w:val="clear"/>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DEFINED TERMS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Information Form, the following capitalized words and terms shall have the following meanings:</w:t>
      </w:r>
    </w:p>
    <w:p>
      <w:pPr>
        <w:pStyle w:val="TextBody"/>
        <w:bidi w:val="0"/>
        <w:spacing w:before="0" w:after="0"/>
        <w:ind w:left="270" w:right="0" w:hanging="0"/>
        <w:jc w:val="both"/>
        <w:rPr>
          <w:caps w:val="false"/>
          <w:smallCaps w:val="false"/>
        </w:rPr>
      </w:pPr>
      <w:r>
        <w:rPr>
          <w:caps w:val="false"/>
          <w:smallCaps w:val="false"/>
        </w:rPr>
        <w:t> </w:t>
      </w:r>
    </w:p>
    <w:tbl>
      <w:tblPr>
        <w:tblW w:w="10205" w:type="dxa"/>
        <w:jc w:val="left"/>
        <w:tblInd w:w="0" w:type="dxa"/>
        <w:tblLayout w:type="fixed"/>
        <w:tblCellMar>
          <w:top w:w="43" w:type="dxa"/>
          <w:left w:w="0" w:type="dxa"/>
          <w:bottom w:w="0" w:type="dxa"/>
          <w:right w:w="0" w:type="dxa"/>
        </w:tblCellMar>
      </w:tblPr>
      <w:tblGrid>
        <w:gridCol w:w="1543"/>
        <w:gridCol w:w="8662"/>
      </w:tblGrid>
      <w:tr>
        <w:trPr/>
        <w:tc>
          <w:tcPr>
            <w:tcW w:w="1543" w:type="dxa"/>
            <w:tcBorders>
              <w:top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w:t>
            </w:r>
          </w:p>
        </w:tc>
        <w:tc>
          <w:tcPr>
            <w:tcW w:w="8662" w:type="dxa"/>
            <w:tcBorders>
              <w:top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1543" w:type="dxa"/>
            <w:tcBorders>
              <w:top w:val="single" w:sz="8" w:space="0" w:color="000000"/>
              <w:bottom w:val="single" w:sz="8" w:space="0" w:color="000000"/>
            </w:tcBorders>
            <w:tcMar>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 attack</w:t>
            </w:r>
          </w:p>
        </w:tc>
        <w:tc>
          <w:tcPr>
            <w:tcW w:w="8662" w:type="dxa"/>
            <w:tcBorders>
              <w:top w:val="single" w:sz="8" w:space="0" w:color="000000"/>
              <w:bottom w:val="single" w:sz="8" w:space="0" w:color="000000"/>
            </w:tcBorders>
            <w:tcMar>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Altering the blockchain’s history would require control of more than 50% of the network’s computing power, known as a “51% attack”</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Act of 1940</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Investment Company Act of 1940, as amended</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A&amp;R Prospectus</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second amended and restated prospectus supplement dated December 17, 2024 (the “Second A&amp;R Prospectus Supplement”) filed by the Company, together with the Second A&amp;R Prospectus Supplement, the (“</w:t>
            </w:r>
            <w:r>
              <w:rPr>
                <w:rFonts w:ascii="Times New Roman;Times;Serif" w:hAnsi="Times New Roman;Times;Serif"/>
                <w:b/>
                <w:sz w:val="20"/>
              </w:rPr>
              <w:t>A&amp;R Prospectus</w:t>
            </w:r>
            <w:r>
              <w:rPr>
                <w:rFonts w:ascii="Times New Roman;Times;Serif" w:hAnsi="Times New Roman;Times;Serif"/>
                <w:sz w:val="20"/>
              </w:rPr>
              <w:t>”)</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Agent</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H.C. Wainwright &amp; Co., LLC</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2024 ATM program</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At-the-market equity program that commenced on March 11, 2024 by means of a prospectus supplement dated March 8, 2024 to the Company’s short form base shelf prospectus dated November 10, 2023, and U.S. registration statement on Form F-10, which included a prospectus supplement related to the ATM</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AIF</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This annual information form dated </w:t>
            </w:r>
            <w:r>
              <w:rPr>
                <w:rFonts w:ascii="Times New Roman;Times;Serif" w:hAnsi="Times New Roman;Times;Serif"/>
                <w:b/>
                <w:sz w:val="20"/>
              </w:rPr>
              <w:t>March 26, 2025</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Anchorage Digital</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Anchorage Digital Bank N.A. </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ANDE</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Administration Nacional de Electricidad, the National Electricity Administration, the operator of Paraguay’s national electricity grid</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Argentina Expansion</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existing and planned construction of one or more Data Centers in stages in Argentina</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ASG</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Appleby Strategy Group, one of the two strategic HPC/AI advisors engaged by Bitfarms</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ASIC</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Application specific integrated circuit</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 Committee Charter</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Charter of the Audit Committee as described in section </w:t>
            </w:r>
            <w:r>
              <w:rPr>
                <w:rFonts w:ascii="Times New Roman;Times;Serif" w:hAnsi="Times New Roman;Times;Serif"/>
                <w:i/>
                <w:sz w:val="20"/>
              </w:rPr>
              <w:t>15.1 - AUDIT COMMITTEE</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Backbone</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Backbone Hosting Solutions Inc.</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Backbone Argentina</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Backbone Hosting Solutions S.A.U. (Argentina)</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Backbone Paraguay</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Backbone Hosting Solutions Paraguay S.A.</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Backbone Sharon </w:t>
            </w:r>
          </w:p>
        </w:tc>
        <w:tc>
          <w:tcPr>
            <w:tcW w:w="8662" w:type="dxa"/>
            <w:tcBorders>
              <w:bottom w:val="single" w:sz="8" w:space="0" w:color="000000"/>
            </w:tcBorders>
            <w:shd w:fill="FFFFFF" w:val="clear"/>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Backbone Sharon LLC</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Baie-Comeau</w:t>
            </w:r>
          </w:p>
        </w:tc>
        <w:tc>
          <w:tcPr>
            <w:tcW w:w="8662" w:type="dxa"/>
            <w:tcBorders>
              <w:bottom w:val="single" w:sz="8" w:space="0" w:color="000000"/>
            </w:tcBorders>
            <w:shd w:fill="FFFFFF" w:val="clear"/>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leased Bitcoin Data Center in Baie-Comeau to operate the acquired capacity of 22 MW of hydro power in the City of Baie-Comeau, in July 2023</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Base Shelf</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short form base shelf prospectus dated November 10, 2023</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Bitcoin Halving</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Has the meaning ascribed thereto in </w:t>
            </w:r>
            <w:r>
              <w:rPr>
                <w:rFonts w:ascii="Times New Roman;Times;Serif" w:hAnsi="Times New Roman;Times;Serif"/>
                <w:i/>
                <w:sz w:val="20"/>
              </w:rPr>
              <w:t>RISK FACTORS of this AIF</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b/>
              </w:rPr>
            </w:pPr>
            <w:r>
              <w:rPr>
                <w:b/>
              </w:rPr>
              <w:t>Bitcoin One</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pPr>
            <w:r>
              <w:rPr/>
              <w:t>The successor to the Company’s Hedging program and Synthetic HODL program for digital assets management. Bitcoin One is a quantitative investment multi-strategy program that employs a disciplined approach to BTC accumulation through diversification, strategic leverage, and market timing.</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common shares are listed under the symbol “BITF” on the Toronto Stock Exchange and the Nasdaq Stock Market in the United States</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business name and trademarked name of Backbone</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or the Company</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Bitfarms Ltd., a corporation incorporated pursuant to the laws of Canada and continued under the </w:t>
            </w:r>
            <w:r>
              <w:rPr>
                <w:rFonts w:ascii="Times New Roman;Times;Serif" w:hAnsi="Times New Roman;Times;Serif"/>
                <w:i/>
                <w:sz w:val="20"/>
              </w:rPr>
              <w:t>Business Corporation Act</w:t>
            </w:r>
            <w:r>
              <w:rPr>
                <w:rFonts w:ascii="Times New Roman;Times;Serif" w:hAnsi="Times New Roman;Times;Serif"/>
                <w:sz w:val="20"/>
              </w:rPr>
              <w:t xml:space="preserve"> (Ontario), listed on the TSX and Nasdaq under the symbol BITF, including all subsidiaries thereof</w:t>
            </w:r>
          </w:p>
        </w:tc>
      </w:tr>
      <w:tr>
        <w:trPr/>
        <w:tc>
          <w:tcPr>
            <w:tcW w:w="1543" w:type="dxa"/>
            <w:tcBorders>
              <w:bottom w:val="single" w:sz="8" w:space="0" w:color="000000"/>
            </w:tcBorders>
            <w:tcMar>
              <w:top w:w="0" w:type="dxa"/>
              <w:bottom w:w="3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Board or the Board</w:t>
            </w:r>
          </w:p>
        </w:tc>
        <w:tc>
          <w:tcPr>
            <w:tcW w:w="8662"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of Bitfarms</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10205" w:type="dxa"/>
        <w:jc w:val="left"/>
        <w:tblInd w:w="0" w:type="dxa"/>
        <w:tblLayout w:type="fixed"/>
        <w:tblCellMar>
          <w:top w:w="43" w:type="dxa"/>
          <w:left w:w="0" w:type="dxa"/>
          <w:bottom w:w="30" w:type="dxa"/>
          <w:right w:w="0" w:type="dxa"/>
        </w:tblCellMar>
      </w:tblPr>
      <w:tblGrid>
        <w:gridCol w:w="1773"/>
        <w:gridCol w:w="8432"/>
      </w:tblGrid>
      <w:tr>
        <w:trPr/>
        <w:tc>
          <w:tcPr>
            <w:tcW w:w="1773"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w:t>
            </w:r>
          </w:p>
        </w:tc>
        <w:tc>
          <w:tcPr>
            <w:tcW w:w="8432"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1773" w:type="dxa"/>
            <w:tcBorders/>
            <w:tcMar>
              <w:top w:w="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Shares or Common Shares</w:t>
            </w:r>
          </w:p>
        </w:tc>
        <w:tc>
          <w:tcPr>
            <w:tcW w:w="8432" w:type="dxa"/>
            <w:tcBorders/>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common shares in the capital of Bitfarms</w:t>
            </w:r>
          </w:p>
        </w:tc>
      </w:tr>
      <w:tr>
        <w:trPr/>
        <w:tc>
          <w:tcPr>
            <w:tcW w:w="1773"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Blockchain</w:t>
            </w:r>
          </w:p>
        </w:tc>
        <w:tc>
          <w:tcPr>
            <w:tcW w:w="8432" w:type="dxa"/>
            <w:tcBorders>
              <w:top w:val="single" w:sz="8" w:space="0" w:color="000000"/>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Blockchain is often described as a distributed ledger, or database, with decentralized control, offering a wide range of potential applications beyond cryptocurrencies</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BMS</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Backbone Mining Solutions, Inc.</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BTC or Bitcoin</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Bitcoin, a decentralized digital currency that can be sent from user to user on the BTC network without the need for intermediaries to clear transactions</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BTC halving</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BTC reward for solving a block is subject to periodic incremental halving known as BTC halving</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Bunker</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leased property in Sherbrooke, Québec in 2021 to develop a mining facility of 48 MW. The project was completed in 2022</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BlockFi Loan Facility</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US$32 million credit facility between the Company and BlockFi Lending LLC., a private lender entered on February 24, 2022 and repaid and retired in February 2023</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CCTV</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Closed-circuit television</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CEO</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CFO</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CLYFSA</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Compañía Luz y Fuerza S.A., a private electricity distribution company located in the city of Villarrica, Paraguay</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Combined Company</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Bitfarms, following  Stronghold Transaction (thereafter, the “Combined Company”)</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Coinbase Custody</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Coinbase Trust Company, LLC</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Shares</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common shares of the Company or Bitfarms</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Compensation Committee</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Has the meaning as provided in Section 15.3 - </w:t>
            </w:r>
            <w:r>
              <w:rPr>
                <w:rFonts w:ascii="Times New Roman;Times;Serif" w:hAnsi="Times New Roman;Times;Serif"/>
                <w:i/>
                <w:sz w:val="20"/>
              </w:rPr>
              <w:t>COMMITTEES – COMPENSATION COMMITTEE</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Cryptocurrency</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form of encrypted and decentralized digital currency, transferred directly between peers across the Internet, with transactions being settled, confirmed and recorded in a distributed public ledger through Mining. Cryptocurrency is either newly “minted” through an initial coin/token offering or Mined, which results in a new coin generated as a reward to incentivize miners for verifying transactions on the blockchain</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Data Centers</w:t>
            </w:r>
          </w:p>
        </w:tc>
        <w:tc>
          <w:tcPr>
            <w:tcW w:w="8432"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fifteen (15) operational Data Centers operated by the Company in the Canadian Province of Québec, the United States of America, Paraguay and Argentina as of March 26, 2025, namely the Data Centers at: Farnham, Saint-Hyacinthe, Cowansville, Magog, Sherbrooke (Leger, Garlock, Bunker), Baie-Comeau, Washington State, Sharon, Scrubgrass, Panther Creek, Villarrica, Paso Pe,  and Rio Cuarto</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Data Centers or Bitcoin Data Centers</w:t>
            </w:r>
          </w:p>
        </w:tc>
        <w:tc>
          <w:tcPr>
            <w:tcW w:w="8432"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Sites where specialized computers, also known as Miners, are held, to validate and verify transactions on the Bitcoin public blockchain.</w:t>
            </w:r>
          </w:p>
        </w:tc>
      </w:tr>
      <w:tr>
        <w:trPr/>
        <w:tc>
          <w:tcPr>
            <w:tcW w:w="1773"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December 2021 Debt Facility</w:t>
            </w:r>
          </w:p>
        </w:tc>
        <w:tc>
          <w:tcPr>
            <w:tcW w:w="8432"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US$100 million credit facility between the Company and Galaxy Digital entered into on December 30, 2021 and repaid and retired on December 2022.  This is described in Section 3 - </w:t>
            </w:r>
            <w:r>
              <w:rPr>
                <w:rFonts w:ascii="Times New Roman;Times;Serif" w:hAnsi="Times New Roman;Times;Serif"/>
                <w:i/>
                <w:sz w:val="20"/>
              </w:rPr>
              <w:t xml:space="preserve">GENERAL DEVELOPMENT OF THE BUSINESS - FISCAL 2021 - </w:t>
            </w:r>
            <w:r>
              <w:rPr>
                <w:rFonts w:ascii="Times New Roman;Times;Serif" w:hAnsi="Times New Roman;Times;Serif"/>
                <w:sz w:val="20"/>
              </w:rPr>
              <w:t>C. Debt Financing</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10205" w:type="dxa"/>
        <w:jc w:val="left"/>
        <w:tblInd w:w="0" w:type="dxa"/>
        <w:tblLayout w:type="fixed"/>
        <w:tblCellMar>
          <w:top w:w="43" w:type="dxa"/>
          <w:left w:w="0" w:type="dxa"/>
          <w:bottom w:w="30" w:type="dxa"/>
          <w:right w:w="0" w:type="dxa"/>
        </w:tblCellMar>
      </w:tblPr>
      <w:tblGrid>
        <w:gridCol w:w="2460"/>
        <w:gridCol w:w="7745"/>
      </w:tblGrid>
      <w:tr>
        <w:trPr/>
        <w:tc>
          <w:tcPr>
            <w:tcW w:w="246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w:t>
            </w:r>
          </w:p>
        </w:tc>
        <w:tc>
          <w:tcPr>
            <w:tcW w:w="774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 la Pointe Property</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former 78,000 square foot facility located in Sherbrooke, Quebec, which ceased production and was sold on December 2022</w:t>
            </w:r>
          </w:p>
        </w:tc>
      </w:tr>
      <w:tr>
        <w:trPr/>
        <w:tc>
          <w:tcPr>
            <w:tcW w:w="246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Digital Asset Management Program</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Company’s BTC holding strategy implemented in January 2021 as described in Section 4.8 - </w:t>
            </w:r>
            <w:r>
              <w:rPr>
                <w:rFonts w:ascii="Times New Roman;Times;Serif" w:hAnsi="Times New Roman;Times;Serif"/>
                <w:i/>
                <w:sz w:val="20"/>
              </w:rPr>
              <w:t>DESCRIPTION OF BUSINESS - DIGITAL ASSET MANAGEMENT PROGRAM</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Difficulty</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prevailing level of complexity in the context of cryptocurrency mining is often referred to as the “difficulty”</w:t>
            </w:r>
          </w:p>
        </w:tc>
      </w:tr>
      <w:tr>
        <w:trPr/>
        <w:tc>
          <w:tcPr>
            <w:tcW w:w="246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Economic Demand Response </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PJM program that allows participating businesses to reduce their electric consumption when electricity prices are high and those businesses may receive compensation for agreeing to reduce consumption when demand is high and for helping keep prices stable in the market.</w:t>
            </w:r>
          </w:p>
        </w:tc>
      </w:tr>
      <w:tr>
        <w:trPr/>
        <w:tc>
          <w:tcPr>
            <w:tcW w:w="246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Environmental and Social Responsibility Committee</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 provided in Section 15.4 - COMMITTEES - ENVIRONMENTAL AND SOCIAL RESPONSIBILITY COMMITTEE</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ESG</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Environment, social and governance</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Statement of the Company</w:t>
            </w:r>
          </w:p>
        </w:tc>
      </w:tr>
      <w:tr>
        <w:trPr/>
        <w:tc>
          <w:tcPr>
            <w:tcW w:w="246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Risk Management</w:t>
            </w:r>
          </w:p>
        </w:tc>
        <w:tc>
          <w:tcPr>
            <w:tcW w:w="7745"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without being limited to, the strategy and processes for implementing hedges to mitigate the risk introduced by the volatility of bitcoin to the Company’s operating cashflows and its mining assets</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Fiscal 2022</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fiscal year ended December 31, 2022</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Fiscal 2023</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fiscal year ended December 31, 2023</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Fiscal 2024</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fiscal year ending December 31, 2024</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Fiscal 2025</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fiscal period between January 1, 2025, to date of this AIF, March 26, 2025</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FPPS</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Pay Per Share, the formula-driven rate at which the Company sells computational power to Mining Pools</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Foundry USA</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Foundry USA Pool owned by Foundry Digital LLC</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Galaxy Digital</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Galaxy Digital LLC</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Garlock</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building acquired by the Company on March 11, 2022, located in Sherbrooke, Québec (18 MW)</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Genesis</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Genesis Global Capital owned by Digital Currency Group</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GMSA</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Generación Mediterranea S.A., one of the subsidiaries of Grupo Albanesi, an Argentine private corporate group focused on the energy market which provides natural gas and electrical energy to its clients</w:t>
            </w:r>
          </w:p>
        </w:tc>
      </w:tr>
      <w:tr>
        <w:trPr/>
        <w:tc>
          <w:tcPr>
            <w:tcW w:w="246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Governance and Nominating Committee</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Has the meanings as provided in </w:t>
            </w:r>
            <w:r>
              <w:rPr>
                <w:rFonts w:ascii="Times New Roman;Times;Serif" w:hAnsi="Times New Roman;Times;Serif"/>
                <w:i/>
                <w:sz w:val="20"/>
              </w:rPr>
              <w:t>Section 15.2 - COMMITTEES - GOVERNANCE AND NOMINATING COMMITTEE</w:t>
            </w:r>
          </w:p>
        </w:tc>
      </w:tr>
      <w:tr>
        <w:trPr/>
        <w:tc>
          <w:tcPr>
            <w:tcW w:w="246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Grant PUD</w:t>
            </w:r>
          </w:p>
        </w:tc>
        <w:tc>
          <w:tcPr>
            <w:tcW w:w="7745"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Grant County Power Utility District in Washington State</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Hash</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output of a hash function, i.e., the output of the fundamental mathematical computation of a particular cryptocurrency’s computer code which Miners execute</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Halving</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Halving is a process designed to control the overall supply and reduce the risk of inflation in BTC using a proof of work consensus algorithm. At a predetermined block, the Mining reward is cut in half, hence the term ‘halving’</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HIVE</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HIVE Digital Technologies Ltd.</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HPC/AI</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High-performance computing and artificial intelligence</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Hydro-Magog</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regional public utility company that manages the generation and distribution of electricity in the region of Magog, Québec, Canada</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Hydro-Québec</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“Commission hydroélectrique du Québec”, the provincial public utility company that manages the generation and distribution of electricity in the Province of Québec, Canada</w:t>
            </w:r>
          </w:p>
        </w:tc>
      </w:tr>
      <w:tr>
        <w:trPr/>
        <w:tc>
          <w:tcPr>
            <w:tcW w:w="246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Hydro-Sherbrooke</w:t>
            </w:r>
          </w:p>
        </w:tc>
        <w:tc>
          <w:tcPr>
            <w:tcW w:w="774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regional public utility company that manages the generation and distribution of electricity in the region of Sherbrooke, Québec, Canada</w:t>
            </w:r>
          </w:p>
        </w:tc>
      </w:tr>
    </w:tbl>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10205" w:type="dxa"/>
        <w:jc w:val="left"/>
        <w:tblInd w:w="0" w:type="dxa"/>
        <w:tblLayout w:type="fixed"/>
        <w:tblCellMar>
          <w:top w:w="43" w:type="dxa"/>
          <w:left w:w="0" w:type="dxa"/>
          <w:bottom w:w="30" w:type="dxa"/>
          <w:right w:w="0" w:type="dxa"/>
        </w:tblCellMar>
      </w:tblPr>
      <w:tblGrid>
        <w:gridCol w:w="1781"/>
        <w:gridCol w:w="8424"/>
      </w:tblGrid>
      <w:tr>
        <w:trPr/>
        <w:tc>
          <w:tcPr>
            <w:tcW w:w="1781"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w:t>
            </w:r>
          </w:p>
        </w:tc>
        <w:tc>
          <w:tcPr>
            <w:tcW w:w="8424"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178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Ingenia</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Ingenia Grupo Consultor and Gieco S.A., as described in Section 5.6 - </w:t>
            </w:r>
            <w:r>
              <w:rPr>
                <w:rFonts w:ascii="Times New Roman;Times;Serif" w:hAnsi="Times New Roman;Times;Serif"/>
                <w:i/>
                <w:sz w:val="20"/>
              </w:rPr>
              <w:t>ARGENTINA EXPANSION</w:t>
            </w:r>
          </w:p>
        </w:tc>
      </w:tr>
      <w:tr>
        <w:trPr/>
        <w:tc>
          <w:tcPr>
            <w:tcW w:w="178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ICFR</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Internal Control over Financial Reporting</w:t>
            </w:r>
          </w:p>
        </w:tc>
      </w:tr>
      <w:tr>
        <w:trPr/>
        <w:tc>
          <w:tcPr>
            <w:tcW w:w="1781"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NYDIG Loan</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equipment financing agreement dated June 17, 2022, between the Company and NYDIG for initial funding of US$37,000,000</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Leger</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36,000 square foot facility in Sherbrooke, Québec (30 MW), Canada</w:t>
            </w:r>
          </w:p>
        </w:tc>
      </w:tr>
      <w:tr>
        <w:trPr/>
        <w:tc>
          <w:tcPr>
            <w:tcW w:w="178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LHA IR Agreement</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entered into an agreement with LHA Investor Relations on September 17, 2021, to retain their services to handle the Company’s public relations and shareholder communications </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L&amp;omacr;D</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miner and energy strategy management platform (formerly known as Lincoin)</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LPZ</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LPZ Hosting S.A.S, as described in Section 5.6 - </w:t>
            </w:r>
            <w:r>
              <w:rPr>
                <w:rFonts w:ascii="Times New Roman;Times;Serif" w:hAnsi="Times New Roman;Times;Serif"/>
                <w:i/>
                <w:sz w:val="20"/>
              </w:rPr>
              <w:t>FUTURE GROWTH PLANS - ARGENTINA EXPANSION</w:t>
            </w:r>
          </w:p>
        </w:tc>
      </w:tr>
      <w:tr>
        <w:trPr/>
        <w:tc>
          <w:tcPr>
            <w:tcW w:w="1781"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March 2024 Purchase Order</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additional 19,280 Bitmain T21, 3,888 Bitmain S21 and 740 Bitmain S21 hydro Miners purchased by the Company on March 11, 2024, through the exercise of a Purchase Option, for an aggregate purchase price of US$69.2 million. The March 2024 Purchase Order was later amended, as detailed in Sections 4 (Fiscal 2024(I) and 5.2 TRANSFORMATIVE FLEET UPGRADE.</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March Supplement</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prospectus supplement dated March 8, 2024, to the Company’s short form base shelf prospectus dated November 10, 2023</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MD&amp;A</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Management’s discussion and analysis of Bitfarms for the fiscal year ended December 31, 2024</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Merger Agreement</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definitive merger agreement entered into by the Company and Stronghold Digital Mining Inc. in August 2024</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MGMT-2</w:t>
            </w:r>
          </w:p>
        </w:tc>
        <w:tc>
          <w:tcPr>
            <w:tcW w:w="842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Company’s proprietary software suite, comprised of three operating programs, that control, manage, report, and secure mining operations. as described in Section 3.14 - HARDWARE AND SOFTWARE</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Miners</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computer configured for the purpose of performing blockchain computer operations. See Section 3.1- </w:t>
            </w:r>
            <w:r>
              <w:rPr>
                <w:rFonts w:ascii="Times New Roman;Times;Serif" w:hAnsi="Times New Roman;Times;Serif"/>
                <w:i/>
                <w:sz w:val="20"/>
              </w:rPr>
              <w:t>DESCRIPTION OF BUSINESS - GENERAL</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Mine or Mining</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process of using Miners to provide the service of verifying and validating cryptographic blockchain transactions and being rewarded with cryptocurrency in return for such service</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Mining Pool</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Refers to when cryptocurrency Miners aggregate their processing power over a network and Mine transactions together</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Nasdaq</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Nasdaq Stock Market</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NI 52-110</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National Instrument 52-110</w:t>
            </w:r>
          </w:p>
        </w:tc>
      </w:tr>
      <w:tr>
        <w:trPr/>
        <w:tc>
          <w:tcPr>
            <w:tcW w:w="1781"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NEO or Named Executive Officer</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Has the meaning ascribed to that term in Form 51-102F6 </w:t>
            </w:r>
            <w:r>
              <w:rPr>
                <w:rFonts w:ascii="Times New Roman;Times;Serif" w:hAnsi="Times New Roman;Times;Serif"/>
                <w:i/>
                <w:sz w:val="20"/>
              </w:rPr>
              <w:t xml:space="preserve">Statement of Executive Compensation. </w:t>
            </w:r>
            <w:r>
              <w:rPr>
                <w:rFonts w:ascii="Times New Roman;Times;Serif" w:hAnsi="Times New Roman;Times;Serif"/>
                <w:sz w:val="20"/>
              </w:rPr>
              <w:t xml:space="preserve">See section 15.3 - </w:t>
            </w:r>
            <w:r>
              <w:rPr>
                <w:rFonts w:ascii="Times New Roman;Times;Serif" w:hAnsi="Times New Roman;Times;Serif"/>
                <w:i/>
                <w:sz w:val="20"/>
              </w:rPr>
              <w:t>COMMITTEES - COMPENSATION COMMITTEE</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New Plan</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new shareholder rights plan adopted by the Company with a threshold of 20%</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Nodes</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Miners operate specialized hardware running mining software, which turns their equipment into “nodes” on the network that validate blocks</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NYDIG</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NYDIG ABL LLC</w:t>
            </w:r>
          </w:p>
        </w:tc>
      </w:tr>
      <w:tr>
        <w:trPr/>
        <w:tc>
          <w:tcPr>
            <w:tcW w:w="1781"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November 2023 Offering</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November 2023 private placement of 44,444,446 Common Shares and   22,222,223 Common Shares purchase warrants to purchase Common Shares at a price of CAD$1.35 for each share and associated one-half warrant</w:t>
            </w:r>
          </w:p>
        </w:tc>
      </w:tr>
      <w:tr>
        <w:trPr/>
        <w:tc>
          <w:tcPr>
            <w:tcW w:w="1781"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November 2023 SFBS Prospectus</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base shelf short form prospectus filed by the Company on November 10, 2023</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OBCA</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Business Corporations Act</w:t>
            </w:r>
            <w:r>
              <w:rPr>
                <w:rFonts w:ascii="Times New Roman;Times;Serif" w:hAnsi="Times New Roman;Times;Serif"/>
                <w:sz w:val="20"/>
              </w:rPr>
              <w:t xml:space="preserve"> (Ontario)</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October Supplement</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amended and restated prospectus supplement dated October 4, 2024, filed by the Company, providing disclosure regarding the Stronghold Transaction and amending and restating the March Supplement, to the Company’s existing US$375.0 million Base Shelf, with both the Base Shelf and amended and restated prospectus supplement forming a part of the Company’s registration statement on Form F-10</w:t>
            </w:r>
          </w:p>
        </w:tc>
      </w:tr>
      <w:tr>
        <w:trPr/>
        <w:tc>
          <w:tcPr>
            <w:tcW w:w="1781"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OTC</w:t>
            </w:r>
          </w:p>
        </w:tc>
        <w:tc>
          <w:tcPr>
            <w:tcW w:w="8424" w:type="dxa"/>
            <w:tcBorders>
              <w:bottom w:val="single" w:sz="8" w:space="0" w:color="000000"/>
            </w:tcBorders>
            <w:shd w:fill="FFFFFF" w:val="clear"/>
            <w:tcMar>
              <w:top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Over-the-counter market</w:t>
            </w:r>
          </w:p>
        </w:tc>
      </w:tr>
      <w:tr>
        <w:trPr/>
        <w:tc>
          <w:tcPr>
            <w:tcW w:w="1781"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Panther Creek Hosting Agreement</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hosting agreement dated September 12, 2024 entered into by the Company with Panther Creek Data Center located in Pennsylvania, USA, a subsidiary of Stronghold in September 2024</w:t>
            </w:r>
          </w:p>
        </w:tc>
      </w:tr>
      <w:tr>
        <w:trPr/>
        <w:tc>
          <w:tcPr>
            <w:tcW w:w="1781" w:type="dxa"/>
            <w:tcBorders>
              <w:bottom w:val="single" w:sz="8" w:space="0" w:color="000000"/>
            </w:tcBorders>
            <w:tcMar>
              <w:top w:w="0" w:type="dxa"/>
            </w:tcMar>
            <w:vAlign w:val="center"/>
          </w:tcPr>
          <w:p>
            <w:pPr>
              <w:pStyle w:val="TableContents"/>
              <w:bidi w:val="0"/>
              <w:spacing w:before="0" w:after="283"/>
              <w:jc w:val="left"/>
              <w:rPr>
                <w:b/>
              </w:rPr>
            </w:pPr>
            <w:r>
              <w:rPr>
                <w:b/>
              </w:rPr>
              <w:t>Paso Pe Data Center</w:t>
            </w:r>
          </w:p>
        </w:tc>
        <w:tc>
          <w:tcPr>
            <w:tcW w:w="8424" w:type="dxa"/>
            <w:tcBorders>
              <w:bottom w:val="single" w:sz="8" w:space="0" w:color="000000"/>
            </w:tcBorders>
            <w:tcMar>
              <w:top w:w="0" w:type="dxa"/>
            </w:tcMar>
            <w:vAlign w:val="center"/>
          </w:tcPr>
          <w:p>
            <w:pPr>
              <w:pStyle w:val="TableContents"/>
              <w:bidi w:val="0"/>
              <w:spacing w:before="0" w:after="283"/>
              <w:jc w:val="both"/>
              <w:rPr/>
            </w:pPr>
            <w:r>
              <w:rPr/>
              <w:t>The 50 MW data center located in Villarica, Paraguay, with planned expansion of 20 MW for an aggregate of 70 MW</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PDU</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Protocol Data Unit is the basic unit of exchange between entities that communicate using a specified networking protocol</w:t>
            </w:r>
          </w:p>
        </w:tc>
      </w:tr>
      <w:tr>
        <w:trPr/>
        <w:tc>
          <w:tcPr>
            <w:tcW w:w="1781"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Petahash/second or PH/s and Exahash/second or EH/s</w:t>
            </w:r>
          </w:p>
        </w:tc>
        <w:tc>
          <w:tcPr>
            <w:tcW w:w="842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 respectively, 1x10</w:t>
            </w:r>
            <w:r>
              <w:rPr>
                <w:rFonts w:ascii="Times New Roman;Times;Serif" w:hAnsi="Times New Roman;Times;Serif"/>
                <w:position w:val="7"/>
                <w:sz w:val="16"/>
                <w:sz w:val="20"/>
              </w:rPr>
              <w:t>15</w:t>
            </w:r>
            <w:r>
              <w:rPr>
                <w:rFonts w:ascii="Times New Roman;Times;Serif" w:hAnsi="Times New Roman;Times;Serif"/>
                <w:sz w:val="20"/>
              </w:rPr>
              <w:t xml:space="preserve"> and 1x10</w:t>
            </w:r>
            <w:r>
              <w:rPr>
                <w:rFonts w:ascii="Times New Roman;Times;Serif" w:hAnsi="Times New Roman;Times;Serif"/>
                <w:position w:val="7"/>
                <w:sz w:val="16"/>
                <w:sz w:val="20"/>
              </w:rPr>
              <w:t xml:space="preserve">18 </w:t>
            </w:r>
            <w:r>
              <w:rPr>
                <w:rFonts w:ascii="Times New Roman;Times;Serif" w:hAnsi="Times New Roman;Times;Serif"/>
                <w:sz w:val="20"/>
              </w:rPr>
              <w:t>Hashes per second</w:t>
            </w:r>
          </w:p>
        </w:tc>
      </w:tr>
      <w:tr>
        <w:trPr/>
        <w:tc>
          <w:tcPr>
            <w:tcW w:w="1781"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PFIC</w:t>
            </w:r>
          </w:p>
        </w:tc>
        <w:tc>
          <w:tcPr>
            <w:tcW w:w="8424" w:type="dxa"/>
            <w:tcBorders>
              <w:bottom w:val="single" w:sz="8" w:space="0" w:color="000000"/>
            </w:tcBorders>
            <w:shd w:fill="FFFFFF" w:val="clear"/>
            <w:tcMar>
              <w:top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Passive foreign investment company (for U.S. federal tax purposes)</w:t>
            </w:r>
          </w:p>
        </w:tc>
      </w:tr>
      <w:tr>
        <w:trPr/>
        <w:tc>
          <w:tcPr>
            <w:tcW w:w="178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Plan</w:t>
            </w:r>
          </w:p>
        </w:tc>
        <w:tc>
          <w:tcPr>
            <w:tcW w:w="842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shareholder rights plan adopted by the Company in June 2024 with a threshold of 15 % between June and September 2024, and 20% thereafter</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10205" w:type="dxa"/>
        <w:jc w:val="left"/>
        <w:tblInd w:w="0" w:type="dxa"/>
        <w:tblLayout w:type="fixed"/>
        <w:tblCellMar>
          <w:top w:w="43" w:type="dxa"/>
          <w:left w:w="0" w:type="dxa"/>
          <w:bottom w:w="30" w:type="dxa"/>
          <w:right w:w="0" w:type="dxa"/>
        </w:tblCellMar>
      </w:tblPr>
      <w:tblGrid>
        <w:gridCol w:w="1864"/>
        <w:gridCol w:w="8341"/>
      </w:tblGrid>
      <w:tr>
        <w:trPr/>
        <w:tc>
          <w:tcPr>
            <w:tcW w:w="1864"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w:t>
            </w:r>
          </w:p>
        </w:tc>
        <w:tc>
          <w:tcPr>
            <w:tcW w:w="8341"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Power Producer</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Has the meaning ascribed to that term in Section 5.6 - </w:t>
            </w:r>
            <w:r>
              <w:rPr>
                <w:rFonts w:ascii="Times New Roman;Times;Serif" w:hAnsi="Times New Roman;Times;Serif"/>
                <w:i/>
                <w:sz w:val="20"/>
              </w:rPr>
              <w:t>FUTURE GROWTH PLANS - ARGENTINA EXPANSION</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PPE</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Property plant and equipment</w:t>
            </w:r>
          </w:p>
        </w:tc>
      </w:tr>
      <w:tr>
        <w:trPr/>
        <w:tc>
          <w:tcPr>
            <w:tcW w:w="1864"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PROA</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Proyectos y Obras Americanas S.A. </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PSU</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Power supply unit. See Section 3.15 - </w:t>
            </w:r>
            <w:r>
              <w:rPr>
                <w:rFonts w:ascii="Times New Roman;Times;Serif" w:hAnsi="Times New Roman;Times;Serif"/>
                <w:i/>
                <w:sz w:val="20"/>
              </w:rPr>
              <w:t>DESCRIPTION OF BUSINESS - HARDWARE AND SOFTWARE</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Purchase Option</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purchase option secured by the Company on November 27, 2023, for an additional 28,000 Bitmain T21 Miners</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Purchase Order</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firm purchase order placed by the Company on November 27, 2023, for 35,888 Bitmain T21 Miners</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QEF</w:t>
            </w:r>
          </w:p>
        </w:tc>
        <w:tc>
          <w:tcPr>
            <w:tcW w:w="8341" w:type="dxa"/>
            <w:tcBorders>
              <w:bottom w:val="single" w:sz="8" w:space="0" w:color="000000"/>
            </w:tcBorders>
            <w:shd w:fill="FFFFFF" w:val="clear"/>
            <w:tcMar>
              <w:top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Qualified Electing Fund (for the U.S. federal income tax purposes)</w:t>
            </w:r>
          </w:p>
        </w:tc>
      </w:tr>
      <w:tr>
        <w:trPr/>
        <w:tc>
          <w:tcPr>
            <w:tcW w:w="1864"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Rio Cuarto Data Center</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Data Center located in the Province of Córdoba, Argentina, for which the Company entered into an eight-year lease agreement in July 2021</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Riot</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Riot Platforms, Inc.</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RSU</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shares units</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Sales Agreement</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at-the-market offering agreement dated March 8, 2024, between the Company and H.C. Wainwright &amp; Co., LLC</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Sarbanes-Oxley Act</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Sarbanes-Oxley Act of 2002</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SEC</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Securities and Exchange Commission</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Second A&amp;R Prospectus Supplement</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second amended and restated prospectus supplement dated December 17, 2024, filed by the Company</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 Agreement</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23, 2024, Bitfarms entered into a settlement agreement with Riot, pursuant to which, among other things, Riot agreed to withdraw its June 24, 2024, requisition and to accept customary standstill provisions through Bitfarms’ 2026 annual meeting, subject to certain exceptions, and Bitfarms agreed to make certain changes to its Board.</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left"/>
              <w:rPr>
                <w:b/>
              </w:rPr>
            </w:pPr>
            <w:r>
              <w:rPr>
                <w:b/>
              </w:rPr>
              <w:t>Sharon Data Center</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pPr>
            <w:r>
              <w:rPr/>
              <w:t>The 110 MW data center located in Sharon, Pennsylvania, with planned expansion of 10 MW for an aggregate of 120 MW, of which 12 MW is currently energized.</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Sharon Lease Agreement</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lease agreement entered by the Company in June 2024 to lease a site located in Sharon, Pennsylvania, USA</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Sherbrooke Expansion</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planned and completed construction of server farm facilities in stages in Sherbrooke, Québec, Canada </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Special Committee</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special committee of independent directors formed by the Company on April 22, 2024</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Strategic Alternatives Review Process</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Board led process to consider, among other things, continuing to execute on the Company’s business plan, a business combination or other strategic transaction</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Stronghold</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Stronghold Digital Mining Hosting, LLC, a Delaware limited liability company</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Stronghold Transaction</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closed on March 14, 2024, pursuant to which the Company and Stronghold combined, resulting in the Combined Company</w:t>
            </w:r>
          </w:p>
        </w:tc>
      </w:tr>
      <w:tr>
        <w:trPr/>
        <w:tc>
          <w:tcPr>
            <w:tcW w:w="1864"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Synthetic HODL</w:t>
            </w:r>
          </w:p>
        </w:tc>
        <w:tc>
          <w:tcPr>
            <w:tcW w:w="8341"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Synthetic HODL is the use of financial instruments to create BTC-equivalent exposure</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Tribunal</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Capital Markets Tribunal, an independent division of the Ontario Securities Commission</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TSX or the Exchange</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Toronto Stock Exchange</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TSXV</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TSX Venture Exchange</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Villarrica Data Center</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10 MW facility located in Villarrica, Paraguay</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Volta</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9159-9290 Québec Inc., a wholly owned subsidiary of the Company, which also operates under the name Volta Électrique Inc.</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Warrants</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are derivatives that give the right, but not the obligation, to buy or sell a security, most commonly an equity, at a certain price before expiration</w:t>
            </w:r>
          </w:p>
        </w:tc>
      </w:tr>
      <w:tr>
        <w:trPr/>
        <w:tc>
          <w:tcPr>
            <w:tcW w:w="1864"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WWT</w:t>
            </w:r>
          </w:p>
        </w:tc>
        <w:tc>
          <w:tcPr>
            <w:tcW w:w="8341"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World Wide Technology, one of two strategic HPC/AI advisors engaged by Bitfarms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INFORMATION REGARDING BITFARMS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information form (“</w:t>
      </w:r>
      <w:r>
        <w:rPr>
          <w:rFonts w:ascii="Times New Roman;Times;Serif" w:hAnsi="Times New Roman;Times;Serif"/>
          <w:b/>
          <w:i w:val="false"/>
          <w:caps w:val="false"/>
          <w:smallCaps w:val="false"/>
          <w:sz w:val="20"/>
        </w:rPr>
        <w:t>AIF</w:t>
      </w:r>
      <w:r>
        <w:rPr>
          <w:rFonts w:ascii="Times New Roman;Times;Serif" w:hAnsi="Times New Roman;Times;Serif"/>
          <w:b w:val="false"/>
          <w:i w:val="false"/>
          <w:caps w:val="false"/>
          <w:smallCaps w:val="false"/>
          <w:sz w:val="20"/>
        </w:rPr>
        <w:t>”), Bitfarms Ltd., together with its subsidiaries, as the context requires, is referred to as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Bitfarms</w:t>
      </w:r>
      <w:r>
        <w:rPr>
          <w:rFonts w:ascii="Times New Roman;Times;Serif" w:hAnsi="Times New Roman;Times;Serif"/>
          <w:b w:val="false"/>
          <w:i w:val="false"/>
          <w:caps w:val="false"/>
          <w:smallCaps w:val="false"/>
          <w:sz w:val="20"/>
        </w:rPr>
        <w:t>”. All information contained in this AIF is as of March 26, 2025,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in this AIF to consolidated financial statements as at and for the year ended December 31, 2024 and 2023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together with Management’s Report on Internal Control over Financial Reporting, the Report of Independent Registered Public Accounting Firm, and Management’s discussion and analysis (“</w:t>
      </w:r>
      <w:r>
        <w:rPr>
          <w:rFonts w:ascii="Times New Roman;Times;Serif" w:hAnsi="Times New Roman;Times;Serif"/>
          <w:b/>
          <w:i w:val="false"/>
          <w:caps w:val="false"/>
          <w:smallCaps w:val="false"/>
          <w:sz w:val="20"/>
        </w:rPr>
        <w:t>MD&amp;A</w:t>
      </w:r>
      <w:r>
        <w:rPr>
          <w:rFonts w:ascii="Times New Roman;Times;Serif" w:hAnsi="Times New Roman;Times;Serif"/>
          <w:b w:val="false"/>
          <w:i w:val="false"/>
          <w:caps w:val="false"/>
          <w:smallCaps w:val="false"/>
          <w:sz w:val="20"/>
        </w:rPr>
        <w:t>”) for Bitfarms for Fiscal 2024. The Financial Statements and MD&amp;A are available for review on the SEDAR+ website located at www.sedarplus.ca and on the U.S. Securities and Exchange Commission’s EDGAR website at www.sec.gov/EDGAR and on the Company’s website at www.bitfarms.com.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relying on any exemptions of the National Instrument 52-110 (“</w:t>
      </w:r>
      <w:r>
        <w:rPr>
          <w:rFonts w:ascii="Times New Roman;Times;Serif" w:hAnsi="Times New Roman;Times;Serif"/>
          <w:b/>
          <w:i w:val="false"/>
          <w:caps w:val="false"/>
          <w:smallCaps w:val="false"/>
          <w:sz w:val="20"/>
        </w:rPr>
        <w:t>NI 52-110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references to “$”, “US$” or “dollars” refer to United States dollars, and references to CAD$ refer to Canadian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 CAUTIONARY NOTE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AIF contains forward-looking statements about the Company’s objectives, plans, goals, aspirations, strategies, financial condition, results of operations, cash flows, performance, prospects, opportunities and legal and regulatory matters. Specific forward-looking statements in this AIF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Numerous risks and uncertainties could cause the Company’s actual results to differ materially from those expressed, implied or projected in the forward-looking statements. Such risks and uncertainties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577"/>
        <w:gridCol w:w="9499"/>
      </w:tblGrid>
      <w:tr>
        <w:trPr/>
        <w:tc>
          <w:tcPr>
            <w:tcW w:w="12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pPr>
            <w:r>
              <w:rPr/>
              <w:t>●</w:t>
            </w:r>
          </w:p>
        </w:tc>
        <w:tc>
          <w:tcPr>
            <w:tcW w:w="9499" w:type="dxa"/>
            <w:tcBorders/>
            <w:vAlign w:val="center"/>
          </w:tcPr>
          <w:p>
            <w:pPr>
              <w:pStyle w:val="TableContents"/>
              <w:bidi w:val="0"/>
              <w:spacing w:before="0" w:after="283"/>
              <w:jc w:val="left"/>
              <w:rPr/>
            </w:pPr>
            <w:r>
              <w:rPr/>
              <w:t>future Bitcoin Halving event;</w:t>
            </w:r>
          </w:p>
        </w:tc>
      </w:tr>
    </w:tbl>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left"/>
              <w:rPr/>
            </w:pPr>
            <w:r>
              <w:rPr/>
              <w:t>insolvency, bankruptcy, or cessation of operations of Mining Pool operator;</w:t>
            </w:r>
          </w:p>
        </w:tc>
      </w:tr>
    </w:tbl>
    <w:tbl>
      <w:tblPr>
        <w:tblW w:w="5000" w:type="pct"/>
        <w:jc w:val="left"/>
        <w:tblInd w:w="0" w:type="dxa"/>
        <w:tblLayout w:type="fixed"/>
        <w:tblCellMar>
          <w:top w:w="0" w:type="dxa"/>
          <w:left w:w="0" w:type="dxa"/>
          <w:bottom w:w="0" w:type="dxa"/>
          <w:right w:w="0" w:type="dxa"/>
        </w:tblCellMar>
      </w:tblPr>
      <w:tblGrid>
        <w:gridCol w:w="93"/>
        <w:gridCol w:w="417"/>
        <w:gridCol w:w="9695"/>
      </w:tblGrid>
      <w:tr>
        <w:trPr/>
        <w:tc>
          <w:tcPr>
            <w:tcW w:w="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left"/>
              <w:rPr/>
            </w:pPr>
            <w:r>
              <w:rPr/>
              <w:t>reliance on foreign Mining Pool operator;</w:t>
            </w:r>
          </w:p>
        </w:tc>
      </w:tr>
    </w:tbl>
    <w:tbl>
      <w:tblPr>
        <w:tblW w:w="5000" w:type="pct"/>
        <w:jc w:val="left"/>
        <w:tblInd w:w="0" w:type="dxa"/>
        <w:tblLayout w:type="fixed"/>
        <w:tblCellMar>
          <w:top w:w="0" w:type="dxa"/>
          <w:left w:w="0" w:type="dxa"/>
          <w:bottom w:w="0" w:type="dxa"/>
          <w:right w:w="0" w:type="dxa"/>
        </w:tblCellMar>
      </w:tblPr>
      <w:tblGrid>
        <w:gridCol w:w="204"/>
        <w:gridCol w:w="917"/>
        <w:gridCol w:w="9084"/>
      </w:tblGrid>
      <w:tr>
        <w:trPr/>
        <w:tc>
          <w:tcPr>
            <w:tcW w:w="20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pPr>
            <w:r>
              <w:rPr/>
              <w:t>●</w:t>
            </w:r>
          </w:p>
        </w:tc>
        <w:tc>
          <w:tcPr>
            <w:tcW w:w="9084" w:type="dxa"/>
            <w:tcBorders/>
            <w:vAlign w:val="center"/>
          </w:tcPr>
          <w:p>
            <w:pPr>
              <w:pStyle w:val="TableContents"/>
              <w:bidi w:val="0"/>
              <w:spacing w:before="0" w:after="283"/>
              <w:jc w:val="left"/>
              <w:rPr/>
            </w:pPr>
            <w:r>
              <w:rPr/>
              <w:t>counterparty risk;</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113"/>
        <w:gridCol w:w="506"/>
        <w:gridCol w:w="9586"/>
      </w:tblGrid>
      <w:tr>
        <w:trPr/>
        <w:tc>
          <w:tcPr>
            <w:tcW w:w="11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both"/>
              <w:rPr/>
            </w:pPr>
            <w:r>
              <w:rPr/>
              <w:t>●</w:t>
            </w:r>
          </w:p>
        </w:tc>
        <w:tc>
          <w:tcPr>
            <w:tcW w:w="9586" w:type="dxa"/>
            <w:tcBorders/>
            <w:vAlign w:val="center"/>
          </w:tcPr>
          <w:p>
            <w:pPr>
              <w:pStyle w:val="TableContents"/>
              <w:bidi w:val="0"/>
              <w:spacing w:before="0" w:after="283"/>
              <w:jc w:val="both"/>
              <w:rPr/>
            </w:pPr>
            <w:r>
              <w:rPr/>
              <w:t>emerging markets operating risks;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reliance on manufacturing in foreign countries and the importation of equipment to the jurisdictions in which the Company operates;</w:t>
            </w:r>
          </w:p>
        </w:tc>
      </w:tr>
    </w:tbl>
    <w:tbl>
      <w:tblPr>
        <w:tblW w:w="5000" w:type="pct"/>
        <w:jc w:val="left"/>
        <w:tblInd w:w="0" w:type="dxa"/>
        <w:tblLayout w:type="fixed"/>
        <w:tblCellMar>
          <w:top w:w="0" w:type="dxa"/>
          <w:left w:w="0" w:type="dxa"/>
          <w:bottom w:w="0" w:type="dxa"/>
          <w:right w:w="0" w:type="dxa"/>
        </w:tblCellMar>
      </w:tblPr>
      <w:tblGrid>
        <w:gridCol w:w="53"/>
        <w:gridCol w:w="237"/>
        <w:gridCol w:w="9915"/>
      </w:tblGrid>
      <w:tr>
        <w:trPr/>
        <w:tc>
          <w:tcPr>
            <w:tcW w:w="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w:t>
            </w:r>
          </w:p>
        </w:tc>
        <w:tc>
          <w:tcPr>
            <w:tcW w:w="9915" w:type="dxa"/>
            <w:tcBorders/>
            <w:vAlign w:val="center"/>
          </w:tcPr>
          <w:p>
            <w:pPr>
              <w:pStyle w:val="TableContents"/>
              <w:bidi w:val="0"/>
              <w:spacing w:before="0" w:after="283"/>
              <w:jc w:val="both"/>
              <w:rPr/>
            </w:pPr>
            <w:r>
              <w:rPr/>
              <w:t>dependency on continued growth in blockchain and cryptocurrency usage;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availability of financing opportunities and risks associated with economic conditions, including BTC price, Bitcoin Network Difficulty and share price fluctuations;</w:t>
            </w:r>
          </w:p>
        </w:tc>
      </w:tr>
    </w:tbl>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w:t>
            </w:r>
          </w:p>
        </w:tc>
        <w:tc>
          <w:tcPr>
            <w:tcW w:w="9924" w:type="dxa"/>
            <w:tcBorders/>
            <w:vAlign w:val="center"/>
          </w:tcPr>
          <w:p>
            <w:pPr>
              <w:pStyle w:val="TableContents"/>
              <w:bidi w:val="0"/>
              <w:spacing w:before="0" w:after="283"/>
              <w:jc w:val="both"/>
              <w:rPr/>
            </w:pPr>
            <w:r>
              <w:rPr/>
              <w:t>the ability to attract and retain customers for the Company’s hosting business;</w:t>
            </w:r>
          </w:p>
        </w:tc>
      </w:tr>
    </w:tbl>
    <w:tbl>
      <w:tblPr>
        <w:tblW w:w="5000" w:type="pct"/>
        <w:jc w:val="left"/>
        <w:tblInd w:w="0" w:type="dxa"/>
        <w:tblLayout w:type="fixed"/>
        <w:tblCellMar>
          <w:top w:w="0" w:type="dxa"/>
          <w:left w:w="0" w:type="dxa"/>
          <w:bottom w:w="0" w:type="dxa"/>
          <w:right w:w="0" w:type="dxa"/>
        </w:tblCellMar>
      </w:tblPr>
      <w:tblGrid>
        <w:gridCol w:w="138"/>
        <w:gridCol w:w="621"/>
        <w:gridCol w:w="9446"/>
      </w:tblGrid>
      <w:tr>
        <w:trPr/>
        <w:tc>
          <w:tcPr>
            <w:tcW w:w="13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both"/>
              <w:rPr/>
            </w:pPr>
            <w:r>
              <w:rPr/>
              <w:t>●</w:t>
            </w:r>
          </w:p>
        </w:tc>
        <w:tc>
          <w:tcPr>
            <w:tcW w:w="9446" w:type="dxa"/>
            <w:tcBorders/>
            <w:vAlign w:val="center"/>
          </w:tcPr>
          <w:p>
            <w:pPr>
              <w:pStyle w:val="TableContents"/>
              <w:bidi w:val="0"/>
              <w:spacing w:before="0" w:after="283"/>
              <w:jc w:val="both"/>
              <w:rPr/>
            </w:pPr>
            <w:r>
              <w:rPr/>
              <w:t>global financial conditions;</w:t>
            </w:r>
          </w:p>
        </w:tc>
      </w:tr>
    </w:tbl>
    <w:tbl>
      <w:tblPr>
        <w:tblW w:w="5000" w:type="pct"/>
        <w:jc w:val="left"/>
        <w:tblInd w:w="0" w:type="dxa"/>
        <w:tblLayout w:type="fixed"/>
        <w:tblCellMar>
          <w:top w:w="0" w:type="dxa"/>
          <w:left w:w="0" w:type="dxa"/>
          <w:bottom w:w="0" w:type="dxa"/>
          <w:right w:w="0" w:type="dxa"/>
        </w:tblCellMar>
      </w:tblPr>
      <w:tblGrid>
        <w:gridCol w:w="119"/>
        <w:gridCol w:w="535"/>
        <w:gridCol w:w="9551"/>
      </w:tblGrid>
      <w:tr>
        <w:trPr/>
        <w:tc>
          <w:tcPr>
            <w:tcW w:w="1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both"/>
              <w:rPr/>
            </w:pPr>
            <w:r>
              <w:rPr/>
              <w:t>●</w:t>
            </w:r>
          </w:p>
        </w:tc>
        <w:tc>
          <w:tcPr>
            <w:tcW w:w="9551" w:type="dxa"/>
            <w:tcBorders/>
            <w:vAlign w:val="center"/>
          </w:tcPr>
          <w:p>
            <w:pPr>
              <w:pStyle w:val="TableContents"/>
              <w:bidi w:val="0"/>
              <w:spacing w:before="0" w:after="283"/>
              <w:jc w:val="both"/>
              <w:rPr/>
            </w:pPr>
            <w:r>
              <w:rPr/>
              <w:t>employee retention and growth;</w:t>
            </w:r>
          </w:p>
        </w:tc>
      </w:tr>
    </w:tbl>
    <w:tbl>
      <w:tblPr>
        <w:tblW w:w="5000" w:type="pct"/>
        <w:jc w:val="left"/>
        <w:tblInd w:w="0" w:type="dxa"/>
        <w:tblLayout w:type="fixed"/>
        <w:tblCellMar>
          <w:top w:w="0" w:type="dxa"/>
          <w:left w:w="0" w:type="dxa"/>
          <w:bottom w:w="0" w:type="dxa"/>
          <w:right w:w="0" w:type="dxa"/>
        </w:tblCellMar>
      </w:tblPr>
      <w:tblGrid>
        <w:gridCol w:w="112"/>
        <w:gridCol w:w="502"/>
        <w:gridCol w:w="9591"/>
      </w:tblGrid>
      <w:tr>
        <w:trPr/>
        <w:tc>
          <w:tcPr>
            <w:tcW w:w="1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both"/>
              <w:rPr/>
            </w:pPr>
            <w:r>
              <w:rPr/>
              <w:t>●</w:t>
            </w:r>
          </w:p>
        </w:tc>
        <w:tc>
          <w:tcPr>
            <w:tcW w:w="9591" w:type="dxa"/>
            <w:tcBorders/>
            <w:vAlign w:val="center"/>
          </w:tcPr>
          <w:p>
            <w:pPr>
              <w:pStyle w:val="TableContents"/>
              <w:bidi w:val="0"/>
              <w:spacing w:before="0" w:after="283"/>
              <w:jc w:val="both"/>
              <w:rPr/>
            </w:pPr>
            <w:r>
              <w:rPr/>
              <w:t>cybersecurity threats and hacking;</w:t>
            </w:r>
          </w:p>
        </w:tc>
      </w:tr>
    </w:tbl>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415" w:type="dxa"/>
            <w:tcBorders/>
            <w:vAlign w:val="center"/>
          </w:tcPr>
          <w:p>
            <w:pPr>
              <w:pStyle w:val="TableContents"/>
              <w:bidi w:val="0"/>
              <w:spacing w:before="0" w:after="283"/>
              <w:jc w:val="both"/>
              <w:rPr/>
            </w:pPr>
            <w:r>
              <w:rPr/>
              <w:t>limited operating history and limited history of de-centralized financial system;</w:t>
            </w:r>
          </w:p>
        </w:tc>
      </w:tr>
    </w:tbl>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both"/>
              <w:rPr/>
            </w:pPr>
            <w:r>
              <w:rPr/>
              <w:t>●</w:t>
            </w:r>
          </w:p>
        </w:tc>
        <w:tc>
          <w:tcPr>
            <w:tcW w:w="9835" w:type="dxa"/>
            <w:tcBorders/>
            <w:vAlign w:val="center"/>
          </w:tcPr>
          <w:p>
            <w:pPr>
              <w:pStyle w:val="TableContents"/>
              <w:bidi w:val="0"/>
              <w:spacing w:before="0" w:after="283"/>
              <w:jc w:val="both"/>
              <w:rPr/>
            </w:pPr>
            <w:r>
              <w:rPr/>
              <w:t>limited experience of Company’s management in AI/HPC</w:t>
            </w:r>
          </w:p>
        </w:tc>
      </w:tr>
    </w:tbl>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pPr>
            <w:r>
              <w:rPr/>
              <w:t>●</w:t>
            </w:r>
          </w:p>
        </w:tc>
        <w:tc>
          <w:tcPr>
            <w:tcW w:w="9928" w:type="dxa"/>
            <w:tcBorders/>
            <w:vAlign w:val="center"/>
          </w:tcPr>
          <w:p>
            <w:pPr>
              <w:pStyle w:val="TableContents"/>
              <w:bidi w:val="0"/>
              <w:spacing w:before="0" w:after="283"/>
              <w:jc w:val="both"/>
              <w:rPr/>
            </w:pPr>
            <w:r>
              <w:rPr/>
              <w:t>risk related to technological obsolescence and difficulty in obtaining hardware;</w:t>
            </w:r>
          </w:p>
        </w:tc>
      </w:tr>
    </w:tbl>
    <w:tbl>
      <w:tblPr>
        <w:tblW w:w="5000" w:type="pct"/>
        <w:jc w:val="left"/>
        <w:tblInd w:w="0" w:type="dxa"/>
        <w:tblLayout w:type="fixed"/>
        <w:tblCellMar>
          <w:top w:w="0" w:type="dxa"/>
          <w:left w:w="0" w:type="dxa"/>
          <w:bottom w:w="0" w:type="dxa"/>
          <w:right w:w="0" w:type="dxa"/>
        </w:tblCellMar>
      </w:tblPr>
      <w:tblGrid>
        <w:gridCol w:w="54"/>
        <w:gridCol w:w="246"/>
        <w:gridCol w:w="9905"/>
      </w:tblGrid>
      <w:tr>
        <w:trPr/>
        <w:tc>
          <w:tcPr>
            <w:tcW w:w="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both"/>
              <w:rPr/>
            </w:pPr>
            <w:r>
              <w:rPr/>
              <w:t>●</w:t>
            </w:r>
          </w:p>
        </w:tc>
        <w:tc>
          <w:tcPr>
            <w:tcW w:w="9905" w:type="dxa"/>
            <w:tcBorders/>
            <w:vAlign w:val="center"/>
          </w:tcPr>
          <w:p>
            <w:pPr>
              <w:pStyle w:val="TableContents"/>
              <w:bidi w:val="0"/>
              <w:spacing w:before="0" w:after="283"/>
              <w:jc w:val="both"/>
              <w:rPr/>
            </w:pPr>
            <w:r>
              <w:rPr/>
              <w:t>economic dependence on regulated terms of service and electricity rates;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costs and demands upon management and accounting and finance resources as a result of complying with the laws and regulations affecting public companies;</w:t>
            </w:r>
          </w:p>
        </w:tc>
      </w:tr>
    </w:tbl>
    <w:tbl>
      <w:tblPr>
        <w:tblW w:w="5000" w:type="pct"/>
        <w:jc w:val="left"/>
        <w:tblInd w:w="0" w:type="dxa"/>
        <w:tblLayout w:type="fixed"/>
        <w:tblCellMar>
          <w:top w:w="0" w:type="dxa"/>
          <w:left w:w="0" w:type="dxa"/>
          <w:bottom w:w="0" w:type="dxa"/>
          <w:right w:w="0" w:type="dxa"/>
        </w:tblCellMar>
      </w:tblPr>
      <w:tblGrid>
        <w:gridCol w:w="47"/>
        <w:gridCol w:w="214"/>
        <w:gridCol w:w="9944"/>
      </w:tblGrid>
      <w:tr>
        <w:trPr/>
        <w:tc>
          <w:tcPr>
            <w:tcW w:w="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pPr>
            <w:r>
              <w:rPr/>
              <w:t>●</w:t>
            </w:r>
          </w:p>
        </w:tc>
        <w:tc>
          <w:tcPr>
            <w:tcW w:w="9944" w:type="dxa"/>
            <w:tcBorders/>
            <w:vAlign w:val="center"/>
          </w:tcPr>
          <w:p>
            <w:pPr>
              <w:pStyle w:val="TableContents"/>
              <w:bidi w:val="0"/>
              <w:spacing w:before="0" w:after="283"/>
              <w:jc w:val="both"/>
              <w:rPr/>
            </w:pPr>
            <w:r>
              <w:rPr/>
              <w:t>expense and impact of restatement of the Company’s historical financial statements;</w:t>
            </w:r>
          </w:p>
        </w:tc>
      </w:tr>
    </w:tbl>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both"/>
              <w:rPr/>
            </w:pPr>
            <w:r>
              <w:rPr/>
              <w:t>●</w:t>
            </w:r>
          </w:p>
        </w:tc>
        <w:tc>
          <w:tcPr>
            <w:tcW w:w="9987" w:type="dxa"/>
            <w:tcBorders/>
            <w:vAlign w:val="center"/>
          </w:tcPr>
          <w:p>
            <w:pPr>
              <w:pStyle w:val="TableContents"/>
              <w:bidi w:val="0"/>
              <w:spacing w:before="0" w:after="283"/>
              <w:jc w:val="both"/>
              <w:rPr/>
            </w:pPr>
            <w:r>
              <w:rPr/>
              <w:t>lack of comprehensive accounting guidance for cryptocurrencies under IFRS Accounting Standards;</w:t>
            </w:r>
          </w:p>
        </w:tc>
      </w:tr>
    </w:tbl>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both"/>
              <w:rPr/>
            </w:pPr>
            <w:r>
              <w:rPr/>
              <w:t>●</w:t>
            </w:r>
          </w:p>
        </w:tc>
        <w:tc>
          <w:tcPr>
            <w:tcW w:w="9601" w:type="dxa"/>
            <w:tcBorders/>
            <w:vAlign w:val="center"/>
          </w:tcPr>
          <w:p>
            <w:pPr>
              <w:pStyle w:val="TableContents"/>
              <w:bidi w:val="0"/>
              <w:spacing w:before="0" w:after="283"/>
              <w:jc w:val="both"/>
              <w:rPr/>
            </w:pPr>
            <w:r>
              <w:rPr/>
              <w:t>internal control material weakness;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increases in commodity prices or reductions in the availability of such commodities could adversely impact the Company’s results of operations;</w:t>
            </w:r>
          </w:p>
        </w:tc>
      </w:tr>
    </w:tbl>
    <w:tbl>
      <w:tblPr>
        <w:tblW w:w="5000" w:type="pct"/>
        <w:jc w:val="left"/>
        <w:tblInd w:w="0" w:type="dxa"/>
        <w:tblLayout w:type="fixed"/>
        <w:tblCellMar>
          <w:top w:w="0" w:type="dxa"/>
          <w:left w:w="0" w:type="dxa"/>
          <w:bottom w:w="0" w:type="dxa"/>
          <w:right w:w="0" w:type="dxa"/>
        </w:tblCellMar>
      </w:tblPr>
      <w:tblGrid>
        <w:gridCol w:w="176"/>
        <w:gridCol w:w="791"/>
        <w:gridCol w:w="9238"/>
      </w:tblGrid>
      <w:tr>
        <w:trPr/>
        <w:tc>
          <w:tcPr>
            <w:tcW w:w="1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both"/>
              <w:rPr/>
            </w:pPr>
            <w:r>
              <w:rPr/>
              <w:t>●</w:t>
            </w:r>
          </w:p>
        </w:tc>
        <w:tc>
          <w:tcPr>
            <w:tcW w:w="9238" w:type="dxa"/>
            <w:tcBorders/>
            <w:vAlign w:val="center"/>
          </w:tcPr>
          <w:p>
            <w:pPr>
              <w:pStyle w:val="TableContents"/>
              <w:bidi w:val="0"/>
              <w:spacing w:before="0" w:after="283"/>
              <w:jc w:val="both"/>
              <w:rPr/>
            </w:pPr>
            <w:r>
              <w:rPr/>
              <w:t>permits and licenses;</w:t>
            </w:r>
          </w:p>
        </w:tc>
      </w:tr>
    </w:tbl>
    <w:tbl>
      <w:tblPr>
        <w:tblW w:w="5000" w:type="pct"/>
        <w:jc w:val="left"/>
        <w:tblInd w:w="0" w:type="dxa"/>
        <w:tblLayout w:type="fixed"/>
        <w:tblCellMar>
          <w:top w:w="0" w:type="dxa"/>
          <w:left w:w="0" w:type="dxa"/>
          <w:bottom w:w="0" w:type="dxa"/>
          <w:right w:w="0" w:type="dxa"/>
        </w:tblCellMar>
      </w:tblPr>
      <w:tblGrid>
        <w:gridCol w:w="146"/>
        <w:gridCol w:w="657"/>
        <w:gridCol w:w="9402"/>
      </w:tblGrid>
      <w:tr>
        <w:trPr/>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both"/>
              <w:rPr/>
            </w:pPr>
            <w:r>
              <w:rPr/>
              <w:t>●</w:t>
            </w:r>
          </w:p>
        </w:tc>
        <w:tc>
          <w:tcPr>
            <w:tcW w:w="9402" w:type="dxa"/>
            <w:tcBorders/>
            <w:vAlign w:val="center"/>
          </w:tcPr>
          <w:p>
            <w:pPr>
              <w:pStyle w:val="TableContents"/>
              <w:bidi w:val="0"/>
              <w:spacing w:before="0" w:after="283"/>
              <w:jc w:val="both"/>
              <w:rPr/>
            </w:pPr>
            <w:r>
              <w:rPr/>
              <w:t>server or internet failures;</w:t>
            </w:r>
          </w:p>
        </w:tc>
      </w:tr>
    </w:tbl>
    <w:tbl>
      <w:tblPr>
        <w:tblW w:w="5000" w:type="pct"/>
        <w:jc w:val="left"/>
        <w:tblInd w:w="0" w:type="dxa"/>
        <w:tblLayout w:type="fixed"/>
        <w:tblCellMar>
          <w:top w:w="0" w:type="dxa"/>
          <w:left w:w="0" w:type="dxa"/>
          <w:bottom w:w="0" w:type="dxa"/>
          <w:right w:w="0" w:type="dxa"/>
        </w:tblCellMar>
      </w:tblPr>
      <w:tblGrid>
        <w:gridCol w:w="198"/>
        <w:gridCol w:w="888"/>
        <w:gridCol w:w="9119"/>
      </w:tblGrid>
      <w:tr>
        <w:trPr/>
        <w:tc>
          <w:tcPr>
            <w:tcW w:w="19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both"/>
              <w:rPr/>
            </w:pPr>
            <w:r>
              <w:rPr/>
              <w:t>●</w:t>
            </w:r>
          </w:p>
        </w:tc>
        <w:tc>
          <w:tcPr>
            <w:tcW w:w="9119" w:type="dxa"/>
            <w:tcBorders/>
            <w:vAlign w:val="center"/>
          </w:tcPr>
          <w:p>
            <w:pPr>
              <w:pStyle w:val="TableContents"/>
              <w:bidi w:val="0"/>
              <w:spacing w:before="0" w:after="283"/>
              <w:jc w:val="both"/>
              <w:rPr/>
            </w:pPr>
            <w:r>
              <w:rPr/>
              <w:t>tax consequences;</w:t>
            </w:r>
          </w:p>
        </w:tc>
      </w:tr>
    </w:tbl>
    <w:tbl>
      <w:tblPr>
        <w:tblW w:w="5000" w:type="pct"/>
        <w:jc w:val="left"/>
        <w:tblInd w:w="0" w:type="dxa"/>
        <w:tblLayout w:type="fixed"/>
        <w:tblCellMar>
          <w:top w:w="0" w:type="dxa"/>
          <w:left w:w="0" w:type="dxa"/>
          <w:bottom w:w="0" w:type="dxa"/>
          <w:right w:w="0" w:type="dxa"/>
        </w:tblCellMar>
      </w:tblPr>
      <w:tblGrid>
        <w:gridCol w:w="98"/>
        <w:gridCol w:w="443"/>
        <w:gridCol w:w="9664"/>
      </w:tblGrid>
      <w:tr>
        <w:trPr/>
        <w:tc>
          <w:tcPr>
            <w:tcW w:w="9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both"/>
              <w:rPr/>
            </w:pPr>
            <w:r>
              <w:rPr/>
              <w:t>●</w:t>
            </w:r>
          </w:p>
        </w:tc>
        <w:tc>
          <w:tcPr>
            <w:tcW w:w="9664" w:type="dxa"/>
            <w:tcBorders/>
            <w:vAlign w:val="center"/>
          </w:tcPr>
          <w:p>
            <w:pPr>
              <w:pStyle w:val="TableContents"/>
              <w:bidi w:val="0"/>
              <w:spacing w:before="0" w:after="283"/>
              <w:jc w:val="both"/>
              <w:rPr/>
            </w:pPr>
            <w:r>
              <w:rPr/>
              <w:t>environmental regulations and liability;</w:t>
            </w:r>
          </w:p>
        </w:tc>
      </w:tr>
    </w:tbl>
    <w:tbl>
      <w:tblPr>
        <w:tblW w:w="5000" w:type="pct"/>
        <w:jc w:val="left"/>
        <w:tblInd w:w="0" w:type="dxa"/>
        <w:tblLayout w:type="fixed"/>
        <w:tblCellMar>
          <w:top w:w="0" w:type="dxa"/>
          <w:left w:w="0" w:type="dxa"/>
          <w:bottom w:w="0" w:type="dxa"/>
          <w:right w:w="0" w:type="dxa"/>
        </w:tblCellMar>
      </w:tblPr>
      <w:tblGrid>
        <w:gridCol w:w="42"/>
        <w:gridCol w:w="188"/>
        <w:gridCol w:w="9975"/>
      </w:tblGrid>
      <w:tr>
        <w:trPr/>
        <w:tc>
          <w:tcPr>
            <w:tcW w:w="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adoption of environmental, social, and governance practices and the impacts of climate change;</w:t>
            </w:r>
          </w:p>
        </w:tc>
      </w:tr>
    </w:tbl>
    <w:tbl>
      <w:tblPr>
        <w:tblW w:w="5000" w:type="pct"/>
        <w:jc w:val="left"/>
        <w:tblInd w:w="0" w:type="dxa"/>
        <w:tblLayout w:type="fixed"/>
        <w:tblCellMar>
          <w:top w:w="0" w:type="dxa"/>
          <w:left w:w="0" w:type="dxa"/>
          <w:bottom w:w="0" w:type="dxa"/>
          <w:right w:w="0" w:type="dxa"/>
        </w:tblCellMar>
      </w:tblPr>
      <w:tblGrid>
        <w:gridCol w:w="96"/>
        <w:gridCol w:w="431"/>
        <w:gridCol w:w="9678"/>
      </w:tblGrid>
      <w:tr>
        <w:trPr/>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both"/>
              <w:rPr/>
            </w:pPr>
            <w:r>
              <w:rPr/>
              <w:t>●</w:t>
            </w:r>
          </w:p>
        </w:tc>
        <w:tc>
          <w:tcPr>
            <w:tcW w:w="9678" w:type="dxa"/>
            <w:tcBorders/>
            <w:vAlign w:val="center"/>
          </w:tcPr>
          <w:p>
            <w:pPr>
              <w:pStyle w:val="TableContents"/>
              <w:bidi w:val="0"/>
              <w:spacing w:before="0" w:after="283"/>
              <w:jc w:val="both"/>
              <w:rPr/>
            </w:pPr>
            <w:r>
              <w:rPr/>
              <w:t>erroneous transactions and human error;</w:t>
            </w:r>
          </w:p>
        </w:tc>
      </w:tr>
    </w:tbl>
    <w:tbl>
      <w:tblPr>
        <w:tblW w:w="5000" w:type="pct"/>
        <w:jc w:val="left"/>
        <w:tblInd w:w="0" w:type="dxa"/>
        <w:tblLayout w:type="fixed"/>
        <w:tblCellMar>
          <w:top w:w="0" w:type="dxa"/>
          <w:left w:w="0" w:type="dxa"/>
          <w:bottom w:w="0" w:type="dxa"/>
          <w:right w:w="0" w:type="dxa"/>
        </w:tblCellMar>
      </w:tblPr>
      <w:tblGrid>
        <w:gridCol w:w="137"/>
        <w:gridCol w:w="618"/>
        <w:gridCol w:w="9450"/>
      </w:tblGrid>
      <w:tr>
        <w:trPr/>
        <w:tc>
          <w:tcPr>
            <w:tcW w:w="13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both"/>
              <w:rPr/>
            </w:pPr>
            <w:r>
              <w:rPr/>
              <w:t>●</w:t>
            </w:r>
          </w:p>
        </w:tc>
        <w:tc>
          <w:tcPr>
            <w:tcW w:w="9450" w:type="dxa"/>
            <w:tcBorders/>
            <w:vAlign w:val="center"/>
          </w:tcPr>
          <w:p>
            <w:pPr>
              <w:pStyle w:val="TableContents"/>
              <w:bidi w:val="0"/>
              <w:spacing w:before="0" w:after="283"/>
              <w:jc w:val="both"/>
              <w:rPr/>
            </w:pPr>
            <w:r>
              <w:rPr/>
              <w:t>Data Center developments;</w:t>
            </w:r>
          </w:p>
        </w:tc>
      </w:tr>
    </w:tbl>
    <w:tbl>
      <w:tblPr>
        <w:tblW w:w="5000" w:type="pct"/>
        <w:jc w:val="left"/>
        <w:tblInd w:w="0" w:type="dxa"/>
        <w:tblLayout w:type="fixed"/>
        <w:tblCellMar>
          <w:top w:w="0" w:type="dxa"/>
          <w:left w:w="0" w:type="dxa"/>
          <w:bottom w:w="0" w:type="dxa"/>
          <w:right w:w="0" w:type="dxa"/>
        </w:tblCellMar>
      </w:tblPr>
      <w:tblGrid>
        <w:gridCol w:w="129"/>
        <w:gridCol w:w="581"/>
        <w:gridCol w:w="9495"/>
      </w:tblGrid>
      <w:tr>
        <w:trPr/>
        <w:tc>
          <w:tcPr>
            <w:tcW w:w="12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both"/>
              <w:rPr/>
            </w:pPr>
            <w:r>
              <w:rPr/>
              <w:t>●</w:t>
            </w:r>
          </w:p>
        </w:tc>
        <w:tc>
          <w:tcPr>
            <w:tcW w:w="9495" w:type="dxa"/>
            <w:tcBorders/>
            <w:vAlign w:val="center"/>
          </w:tcPr>
          <w:p>
            <w:pPr>
              <w:pStyle w:val="TableContents"/>
              <w:bidi w:val="0"/>
              <w:spacing w:before="0" w:after="283"/>
              <w:jc w:val="both"/>
              <w:rPr/>
            </w:pPr>
            <w:r>
              <w:rPr/>
              <w:t>non-availability of insurance;</w:t>
            </w:r>
          </w:p>
        </w:tc>
      </w:tr>
    </w:tbl>
    <w:tbl>
      <w:tblPr>
        <w:tblW w:w="5000" w:type="pct"/>
        <w:jc w:val="left"/>
        <w:tblInd w:w="0" w:type="dxa"/>
        <w:tblLayout w:type="fixed"/>
        <w:tblCellMar>
          <w:top w:w="0" w:type="dxa"/>
          <w:left w:w="0" w:type="dxa"/>
          <w:bottom w:w="0" w:type="dxa"/>
          <w:right w:w="0" w:type="dxa"/>
        </w:tblCellMar>
      </w:tblPr>
      <w:tblGrid>
        <w:gridCol w:w="274"/>
        <w:gridCol w:w="1228"/>
        <w:gridCol w:w="8703"/>
      </w:tblGrid>
      <w:tr>
        <w:trPr/>
        <w:tc>
          <w:tcPr>
            <w:tcW w:w="27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both"/>
              <w:rPr/>
            </w:pPr>
            <w:r>
              <w:rPr/>
              <w:t>●</w:t>
            </w:r>
          </w:p>
        </w:tc>
        <w:tc>
          <w:tcPr>
            <w:tcW w:w="8703" w:type="dxa"/>
            <w:tcBorders/>
            <w:vAlign w:val="center"/>
          </w:tcPr>
          <w:p>
            <w:pPr>
              <w:pStyle w:val="TableContents"/>
              <w:bidi w:val="0"/>
              <w:spacing w:before="0" w:after="283"/>
              <w:jc w:val="both"/>
              <w:rPr/>
            </w:pPr>
            <w:r>
              <w:rPr/>
              <w:t>competition;</w:t>
            </w:r>
          </w:p>
        </w:tc>
      </w:tr>
    </w:tbl>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both"/>
              <w:rPr/>
            </w:pPr>
            <w:r>
              <w:rPr/>
              <w:t>●</w:t>
            </w:r>
          </w:p>
        </w:tc>
        <w:tc>
          <w:tcPr>
            <w:tcW w:w="9951" w:type="dxa"/>
            <w:tcBorders/>
            <w:vAlign w:val="center"/>
          </w:tcPr>
          <w:p>
            <w:pPr>
              <w:pStyle w:val="TableContents"/>
              <w:bidi w:val="0"/>
              <w:spacing w:before="0" w:after="283"/>
              <w:jc w:val="both"/>
              <w:rPr/>
            </w:pPr>
            <w:r>
              <w:rPr/>
              <w:t>hazards associated with high-voltage electricity transmission and industrial operations;</w:t>
            </w:r>
          </w:p>
        </w:tc>
      </w:tr>
    </w:tbl>
    <w:tbl>
      <w:tblPr>
        <w:tblW w:w="5000" w:type="pct"/>
        <w:jc w:val="left"/>
        <w:tblInd w:w="0" w:type="dxa"/>
        <w:tblLayout w:type="fixed"/>
        <w:tblCellMar>
          <w:top w:w="0" w:type="dxa"/>
          <w:left w:w="0" w:type="dxa"/>
          <w:bottom w:w="0" w:type="dxa"/>
          <w:right w:w="0" w:type="dxa"/>
        </w:tblCellMar>
      </w:tblPr>
      <w:tblGrid>
        <w:gridCol w:w="97"/>
        <w:gridCol w:w="436"/>
        <w:gridCol w:w="9672"/>
      </w:tblGrid>
      <w:tr>
        <w:trPr/>
        <w:tc>
          <w:tcPr>
            <w:tcW w:w="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both"/>
              <w:rPr/>
            </w:pPr>
            <w:r>
              <w:rPr/>
              <w:t>●</w:t>
            </w:r>
          </w:p>
        </w:tc>
        <w:tc>
          <w:tcPr>
            <w:tcW w:w="9672" w:type="dxa"/>
            <w:tcBorders/>
            <w:vAlign w:val="center"/>
          </w:tcPr>
          <w:p>
            <w:pPr>
              <w:pStyle w:val="TableContents"/>
              <w:bidi w:val="0"/>
              <w:spacing w:before="0" w:after="283"/>
              <w:jc w:val="both"/>
              <w:rPr/>
            </w:pPr>
            <w:r>
              <w:rPr/>
              <w:t>corruption, political and regulatory risk;</w:t>
            </w:r>
          </w:p>
        </w:tc>
      </w:tr>
    </w:tbl>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pPr>
            <w:r>
              <w:rPr/>
              <w:t>●</w:t>
            </w:r>
          </w:p>
        </w:tc>
        <w:tc>
          <w:tcPr>
            <w:tcW w:w="9881" w:type="dxa"/>
            <w:tcBorders/>
            <w:vAlign w:val="center"/>
          </w:tcPr>
          <w:p>
            <w:pPr>
              <w:pStyle w:val="TableContents"/>
              <w:bidi w:val="0"/>
              <w:spacing w:before="0" w:after="283"/>
              <w:jc w:val="both"/>
              <w:rPr/>
            </w:pPr>
            <w:r>
              <w:rPr/>
              <w:t>potential being classified as a passive foreign investment company;</w:t>
            </w:r>
          </w:p>
        </w:tc>
      </w:tr>
    </w:tbl>
    <w:tbl>
      <w:tblPr>
        <w:tblW w:w="5000" w:type="pct"/>
        <w:jc w:val="left"/>
        <w:tblInd w:w="0" w:type="dxa"/>
        <w:tblLayout w:type="fixed"/>
        <w:tblCellMar>
          <w:top w:w="0" w:type="dxa"/>
          <w:left w:w="0" w:type="dxa"/>
          <w:bottom w:w="0" w:type="dxa"/>
          <w:right w:w="0" w:type="dxa"/>
        </w:tblCellMar>
      </w:tblPr>
      <w:tblGrid>
        <w:gridCol w:w="74"/>
        <w:gridCol w:w="335"/>
        <w:gridCol w:w="9796"/>
      </w:tblGrid>
      <w:tr>
        <w:trPr/>
        <w:tc>
          <w:tcPr>
            <w:tcW w:w="7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both"/>
              <w:rPr/>
            </w:pPr>
            <w:r>
              <w:rPr/>
              <w:t>●</w:t>
            </w:r>
          </w:p>
        </w:tc>
        <w:tc>
          <w:tcPr>
            <w:tcW w:w="9796" w:type="dxa"/>
            <w:tcBorders/>
            <w:vAlign w:val="center"/>
          </w:tcPr>
          <w:p>
            <w:pPr>
              <w:pStyle w:val="TableContents"/>
              <w:bidi w:val="0"/>
              <w:spacing w:before="0" w:after="283"/>
              <w:jc w:val="both"/>
              <w:rPr/>
            </w:pPr>
            <w:r>
              <w:rPr/>
              <w:t>lawsuits and other legal proceedings and challenges;</w:t>
            </w:r>
          </w:p>
        </w:tc>
      </w:tr>
    </w:tbl>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both"/>
              <w:rPr/>
            </w:pPr>
            <w:r>
              <w:rPr/>
              <w:t>●</w:t>
            </w:r>
          </w:p>
        </w:tc>
        <w:tc>
          <w:tcPr>
            <w:tcW w:w="9790" w:type="dxa"/>
            <w:tcBorders/>
            <w:vAlign w:val="center"/>
          </w:tcPr>
          <w:p>
            <w:pPr>
              <w:pStyle w:val="TableContents"/>
              <w:bidi w:val="0"/>
              <w:spacing w:before="0" w:after="283"/>
              <w:jc w:val="both"/>
              <w:rPr/>
            </w:pPr>
            <w:r>
              <w:rPr/>
              <w:t>conflict of interests with directors and management;</w:t>
            </w:r>
          </w:p>
        </w:tc>
      </w:tr>
    </w:tbl>
    <w:tbl>
      <w:tblPr>
        <w:tblW w:w="5000" w:type="pct"/>
        <w:jc w:val="left"/>
        <w:tblInd w:w="0" w:type="dxa"/>
        <w:tblLayout w:type="fixed"/>
        <w:tblCellMar>
          <w:top w:w="0" w:type="dxa"/>
          <w:left w:w="0" w:type="dxa"/>
          <w:bottom w:w="0" w:type="dxa"/>
          <w:right w:w="0" w:type="dxa"/>
        </w:tblCellMar>
      </w:tblPr>
      <w:tblGrid>
        <w:gridCol w:w="91"/>
        <w:gridCol w:w="412"/>
        <w:gridCol w:w="9702"/>
      </w:tblGrid>
      <w:tr>
        <w:trPr/>
        <w:tc>
          <w:tcPr>
            <w:tcW w:w="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both"/>
              <w:rPr/>
            </w:pPr>
            <w:r>
              <w:rPr/>
              <w:t>●</w:t>
            </w:r>
          </w:p>
        </w:tc>
        <w:tc>
          <w:tcPr>
            <w:tcW w:w="9702" w:type="dxa"/>
            <w:tcBorders/>
            <w:vAlign w:val="center"/>
          </w:tcPr>
          <w:p>
            <w:pPr>
              <w:pStyle w:val="TableContents"/>
              <w:bidi w:val="0"/>
              <w:spacing w:before="0" w:after="283"/>
              <w:jc w:val="both"/>
              <w:rPr/>
            </w:pPr>
            <w:r>
              <w:rPr/>
              <w:t>risks relating to unsolicited take-over bids;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risks related to the success and profitability of the Company’s carbon capture program and related environmental tax credits; or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inherent risks, costs and uncertainties associated with integrating the business successfully and risks of not achieving all or any of the anticipated benefits and synergies of the Stronghold Transaction, or the risk that the anticipated benefits and synergies of the Stronghold Transaction may not be fully realized or take longer to realize than expected.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above is not an exhaustive list of the factors that may affect the Company’s forward-looking statements. For a more comprehensive discussion of factors that could affect the Company, refer to the risk factors discussed above</w:t>
      </w:r>
      <w:r>
        <w:rPr>
          <w:rFonts w:ascii="Times New Roman;Times;Serif" w:hAnsi="Times New Roman;Times;Serif"/>
          <w:b w:val="false"/>
          <w:i w:val="false"/>
          <w:caps w:val="false"/>
          <w:smallCaps w:val="false"/>
          <w:sz w:val="20"/>
        </w:rPr>
        <w:t xml:space="preserve"> in Section 19 - </w:t>
      </w:r>
      <w:r>
        <w:rPr>
          <w:rFonts w:ascii="Times New Roman;Times;Serif" w:hAnsi="Times New Roman;Times;Serif"/>
          <w:b w:val="false"/>
          <w:i/>
          <w:caps w:val="false"/>
          <w:smallCaps w:val="false"/>
          <w:sz w:val="20"/>
        </w:rPr>
        <w:t>RISK FACTORS of this AIF</w:t>
      </w:r>
      <w:r>
        <w:rPr>
          <w:rFonts w:ascii="Times New Roman;Times;Serif" w:hAnsi="Times New Roman;Times;Serif"/>
          <w:b w:val="false"/>
          <w:i w:val="false"/>
          <w:caps w:val="false"/>
          <w:smallCaps w:val="false"/>
          <w:sz w:val="20"/>
        </w:rPr>
        <w:t>.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the AIF Except as required by law, the Company does not undertake to update or revise any forward-looking statements, whether as a result of new information, future events or otherwise.</w:t>
      </w:r>
    </w:p>
    <w:p>
      <w:pPr>
        <w:pStyle w:val="TextBody"/>
        <w:bidi w:val="0"/>
        <w:spacing w:before="0" w:after="0"/>
        <w:ind w:left="39"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INCORPORATION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Bitfarms was incorporated under the Canada Business Corporations Act on October 11, 2018, and continued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w:t>
      </w:r>
      <w:r>
        <w:rPr>
          <w:rFonts w:ascii="Times New Roman;Times;Serif" w:hAnsi="Times New Roman;Times;Serif"/>
          <w:b/>
          <w:i w:val="false"/>
          <w:caps w:val="false"/>
          <w:smallCaps w:val="false"/>
          <w:sz w:val="20"/>
        </w:rPr>
        <w:t>OBCA</w:t>
      </w:r>
      <w:r>
        <w:rPr>
          <w:rFonts w:ascii="Times New Roman;Times;Serif" w:hAnsi="Times New Roman;Times;Serif"/>
          <w:b w:val="false"/>
          <w:i w:val="false"/>
          <w:caps w:val="false"/>
          <w:smallCaps w:val="false"/>
          <w:sz w:val="20"/>
        </w:rPr>
        <w:t>”) on August 27, 2021. Bitfarms has its registered and head office located at 110 Yonge Street, Suite 1601, Toronto ON M5C 1T4. The Company’s common shares are listed under the symbol “BITF” on the Toronto Stock Exchange (the “</w:t>
      </w:r>
      <w:r>
        <w:rPr>
          <w:rFonts w:ascii="Times New Roman;Times;Serif" w:hAnsi="Times New Roman;Times;Serif"/>
          <w:b/>
          <w:i w:val="false"/>
          <w:caps w:val="false"/>
          <w:smallCaps w:val="false"/>
          <w:sz w:val="20"/>
        </w:rPr>
        <w:t>TSX</w:t>
      </w:r>
      <w:r>
        <w:rPr>
          <w:rFonts w:ascii="Times New Roman;Times;Serif" w:hAnsi="Times New Roman;Times;Serif"/>
          <w:b w:val="false"/>
          <w:i w:val="false"/>
          <w:caps w:val="false"/>
          <w:smallCaps w:val="false"/>
          <w:sz w:val="20"/>
        </w:rPr>
        <w:t>”) and on the Nasdaq Stock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SUBSIDIARIES</w:t>
      </w:r>
    </w:p>
    <w:p>
      <w:pPr>
        <w:pStyle w:val="TextBody"/>
        <w:bidi w:val="0"/>
        <w:spacing w:before="0" w:after="0"/>
        <w:ind w:left="2"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Bitfarms has the following main controlled subsidiaries: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372225" cy="3152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372225" cy="31527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DESCRIPTION OF BUSINESS</w:t>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Bitfarms primarily owns and operates Data Centers housing computers (referred to as “Miners”) designed for the purpose of validating transactions on the BTC </w:t>
      </w:r>
      <w:r>
        <w:rPr>
          <w:rFonts w:ascii="Times New Roman;Times;Serif" w:hAnsi="Times New Roman;Times;Serif"/>
          <w:b w:val="false"/>
          <w:i w:val="false"/>
          <w:caps w:val="false"/>
          <w:smallCaps w:val="false"/>
          <w:sz w:val="20"/>
          <w:shd w:fill="FFFFFF" w:val="clear"/>
        </w:rPr>
        <w:t>Blockchain (referred to as “</w:t>
      </w:r>
      <w:r>
        <w:rPr>
          <w:rFonts w:ascii="Times New Roman;Times;Serif" w:hAnsi="Times New Roman;Times;Serif"/>
          <w:b/>
          <w:i w:val="false"/>
          <w:caps w:val="false"/>
          <w:smallCaps w:val="false"/>
          <w:sz w:val="20"/>
          <w:shd w:fill="FFFFFF" w:val="clear"/>
        </w:rPr>
        <w:t>Mining</w:t>
      </w:r>
      <w:r>
        <w:rPr>
          <w:rFonts w:ascii="Times New Roman;Times;Serif" w:hAnsi="Times New Roman;Times;Serif"/>
          <w:b w:val="false"/>
          <w:i w:val="false"/>
          <w:caps w:val="false"/>
          <w:smallCaps w:val="false"/>
          <w:sz w:val="20"/>
          <w:shd w:fill="FFFFFF" w:val="clear"/>
        </w:rPr>
        <w:t>”). Bitfarms generally operates its Miners 24 hours per day to produce computational power used for hashing calculations (measured by hashrate) that Bitfarms sells to Mining pool operators under a formula-driven rate commonly known in the industry as Full Pay Per Share (“</w:t>
      </w:r>
      <w:r>
        <w:rPr>
          <w:rFonts w:ascii="Times New Roman;Times;Serif" w:hAnsi="Times New Roman;Times;Serif"/>
          <w:b/>
          <w:i w:val="false"/>
          <w:caps w:val="false"/>
          <w:smallCaps w:val="false"/>
          <w:sz w:val="20"/>
          <w:shd w:fill="FFFFFF" w:val="clear"/>
        </w:rPr>
        <w:t>FPPS</w:t>
      </w:r>
      <w:r>
        <w:rPr>
          <w:rFonts w:ascii="Times New Roman;Times;Serif" w:hAnsi="Times New Roman;Times;Serif"/>
          <w:b w:val="false"/>
          <w:i w:val="false"/>
          <w:caps w:val="false"/>
          <w:smallCaps w:val="false"/>
          <w:sz w:val="20"/>
          <w:shd w:fill="FFFFFF" w:val="clear"/>
        </w:rPr>
        <w:t>”).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Bitcoin. Bitfarms accumulates the cryptocurrency fees it receives or exchanges them for U.S. dollars through reputable and established cryptocurrency trading platforms.</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Prior to January 2021, the Company routinely exchanged cryptocurrencies mined into U.S. dollars through reputable cryptocurrency trading platforms. In 2021, the Company implemented the Digital Asset Management Program under which the Company decided how many mined Bitcoin would be held by the Company through its custodians. See section 3.8 - </w:t>
      </w:r>
      <w:r>
        <w:rPr>
          <w:rFonts w:ascii="Times New Roman;Times;Serif" w:hAnsi="Times New Roman;Times;Serif"/>
          <w:b w:val="false"/>
          <w:i/>
          <w:caps w:val="false"/>
          <w:smallCaps w:val="false"/>
          <w:sz w:val="20"/>
          <w:shd w:fill="FFFFFF" w:val="clear"/>
        </w:rPr>
        <w:t>DESCRIPTION OF BUSINESS - DIGITAL ASSET MANAGEMENT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March 26, 2025, Bitfarms has 15 operating Bitcoin Data Centers situated in four countries: Canada, the United States, Paraguay and Argentina, powered by long-term competitively priced power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operate and secure power through its operational Data Centers is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118"/>
        <w:gridCol w:w="2191"/>
        <w:gridCol w:w="948"/>
        <w:gridCol w:w="2125"/>
        <w:gridCol w:w="2134"/>
        <w:gridCol w:w="1689"/>
      </w:tblGrid>
      <w:tr>
        <w:trPr/>
        <w:tc>
          <w:tcPr>
            <w:tcW w:w="1118" w:type="dxa"/>
            <w:tcBorders>
              <w:top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Country</w:t>
            </w:r>
          </w:p>
        </w:tc>
        <w:tc>
          <w:tcPr>
            <w:tcW w:w="2191" w:type="dxa"/>
            <w:tcBorders>
              <w:top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Region</w:t>
            </w:r>
          </w:p>
        </w:tc>
        <w:tc>
          <w:tcPr>
            <w:tcW w:w="948" w:type="dxa"/>
            <w:tcBorders>
              <w:top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Data Centers</w:t>
            </w:r>
          </w:p>
        </w:tc>
        <w:tc>
          <w:tcPr>
            <w:tcW w:w="2125" w:type="dxa"/>
            <w:tcBorders>
              <w:top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Source of energy</w:t>
            </w:r>
          </w:p>
        </w:tc>
        <w:tc>
          <w:tcPr>
            <w:tcW w:w="2134" w:type="dxa"/>
            <w:tcBorders>
              <w:top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Energized capacity as of March 26,</w:t>
              <w:br/>
              <w:t>2025</w:t>
            </w:r>
          </w:p>
        </w:tc>
        <w:tc>
          <w:tcPr>
            <w:tcW w:w="1689" w:type="dxa"/>
            <w:tcBorders>
              <w:top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Contracted capacity as of</w:t>
              <w:br/>
              <w:t>March 26,</w:t>
              <w:br/>
              <w:t>2025</w:t>
            </w:r>
          </w:p>
        </w:tc>
      </w:tr>
      <w:tr>
        <w:trPr/>
        <w:tc>
          <w:tcPr>
            <w:tcW w:w="1118" w:type="dxa"/>
            <w:tcBorders/>
            <w:tcMar>
              <w:top w:w="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North America</w:t>
            </w:r>
          </w:p>
        </w:tc>
        <w:tc>
          <w:tcPr>
            <w:tcW w:w="2191" w:type="dxa"/>
            <w:tcBorders/>
            <w:tcMar>
              <w:top w:w="0" w:type="dxa"/>
              <w:bottom w:w="0" w:type="dxa"/>
            </w:tcMar>
            <w:vAlign w:val="center"/>
          </w:tcPr>
          <w:p>
            <w:pPr>
              <w:pStyle w:val="TableContents"/>
              <w:bidi w:val="0"/>
              <w:spacing w:before="0" w:after="283"/>
              <w:jc w:val="left"/>
              <w:rPr/>
            </w:pPr>
            <w:r>
              <w:rPr/>
              <w:t> </w:t>
            </w:r>
          </w:p>
        </w:tc>
        <w:tc>
          <w:tcPr>
            <w:tcW w:w="948" w:type="dxa"/>
            <w:tcBorders/>
            <w:tcMar>
              <w:top w:w="0" w:type="dxa"/>
              <w:bottom w:w="0" w:type="dxa"/>
            </w:tcMar>
            <w:vAlign w:val="center"/>
          </w:tcPr>
          <w:p>
            <w:pPr>
              <w:pStyle w:val="TableContents"/>
              <w:bidi w:val="0"/>
              <w:spacing w:before="0" w:after="283"/>
              <w:jc w:val="center"/>
              <w:rPr/>
            </w:pPr>
            <w:r>
              <w:rPr/>
              <w:t> </w:t>
            </w:r>
          </w:p>
        </w:tc>
        <w:tc>
          <w:tcPr>
            <w:tcW w:w="2125" w:type="dxa"/>
            <w:tcBorders/>
            <w:tcMar>
              <w:top w:w="0" w:type="dxa"/>
              <w:bottom w:w="0" w:type="dxa"/>
            </w:tcMar>
            <w:vAlign w:val="center"/>
          </w:tcPr>
          <w:p>
            <w:pPr>
              <w:pStyle w:val="TableContents"/>
              <w:bidi w:val="0"/>
              <w:spacing w:before="0" w:after="283"/>
              <w:jc w:val="left"/>
              <w:rPr/>
            </w:pPr>
            <w:r>
              <w:rPr/>
              <w:t> </w:t>
            </w:r>
          </w:p>
        </w:tc>
        <w:tc>
          <w:tcPr>
            <w:tcW w:w="2134" w:type="dxa"/>
            <w:tcBorders/>
            <w:tcMar>
              <w:top w:w="0" w:type="dxa"/>
              <w:bottom w:w="0" w:type="dxa"/>
            </w:tcMar>
            <w:vAlign w:val="center"/>
          </w:tcPr>
          <w:p>
            <w:pPr>
              <w:pStyle w:val="TableContents"/>
              <w:bidi w:val="0"/>
              <w:spacing w:before="0" w:after="283"/>
              <w:jc w:val="left"/>
              <w:rPr/>
            </w:pPr>
            <w:r>
              <w:rPr/>
              <w:t> </w:t>
            </w:r>
          </w:p>
        </w:tc>
        <w:tc>
          <w:tcPr>
            <w:tcW w:w="1689" w:type="dxa"/>
            <w:tcBorders/>
            <w:tcMar>
              <w:top w:w="0" w:type="dxa"/>
              <w:bottom w:w="0" w:type="dxa"/>
            </w:tcMar>
            <w:vAlign w:val="center"/>
          </w:tcPr>
          <w:p>
            <w:pPr>
              <w:pStyle w:val="TableContents"/>
              <w:bidi w:val="0"/>
              <w:spacing w:before="0" w:after="283"/>
              <w:jc w:val="left"/>
              <w:rPr/>
            </w:pPr>
            <w:r>
              <w:rPr/>
              <w:t> </w:t>
            </w:r>
          </w:p>
        </w:tc>
      </w:tr>
      <w:tr>
        <w:trPr/>
        <w:tc>
          <w:tcPr>
            <w:tcW w:w="111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c>
          <w:tcPr>
            <w:tcW w:w="2191"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Québec</w:t>
            </w:r>
          </w:p>
        </w:tc>
        <w:tc>
          <w:tcPr>
            <w:tcW w:w="948"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212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Hydroelectric</w:t>
            </w:r>
          </w:p>
        </w:tc>
        <w:tc>
          <w:tcPr>
            <w:tcW w:w="213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 MW</w:t>
            </w:r>
          </w:p>
        </w:tc>
        <w:tc>
          <w:tcPr>
            <w:tcW w:w="1689"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 MW</w:t>
            </w:r>
          </w:p>
        </w:tc>
      </w:tr>
      <w:tr>
        <w:trPr/>
        <w:tc>
          <w:tcPr>
            <w:tcW w:w="1118"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2191" w:type="dxa"/>
            <w:tcBorders>
              <w:bottom w:val="single" w:sz="12" w:space="0" w:color="000000"/>
            </w:tcBorders>
            <w:shd w:fill="FFFFFF" w:val="clear"/>
            <w:tcMar>
              <w:top w:w="0" w:type="dxa"/>
              <w:bottom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State and Pennsylvania</w:t>
            </w:r>
          </w:p>
        </w:tc>
        <w:tc>
          <w:tcPr>
            <w:tcW w:w="948" w:type="dxa"/>
            <w:tcBorders>
              <w:bottom w:val="single" w:sz="12" w:space="0" w:color="000000"/>
            </w:tcBorders>
            <w:shd w:fill="FFFFFF" w:val="clear"/>
            <w:tcMar>
              <w:top w:w="0" w:type="dxa"/>
              <w:bottom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2125" w:type="dxa"/>
            <w:tcBorders>
              <w:bottom w:val="single" w:sz="12" w:space="0" w:color="000000"/>
            </w:tcBorders>
            <w:shd w:fill="FFFFFF" w:val="clear"/>
            <w:tcMar>
              <w:top w:w="0" w:type="dxa"/>
              <w:bottom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Hydroelectric/ Alternative Energy</w:t>
            </w:r>
          </w:p>
        </w:tc>
        <w:tc>
          <w:tcPr>
            <w:tcW w:w="2134" w:type="dxa"/>
            <w:tcBorders>
              <w:bottom w:val="single" w:sz="12" w:space="0" w:color="000000"/>
            </w:tcBorders>
            <w:shd w:fill="FFFFFF" w:val="clear"/>
            <w:tcMar>
              <w:top w:w="0" w:type="dxa"/>
              <w:bottom w:w="3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 MW</w:t>
            </w:r>
          </w:p>
        </w:tc>
        <w:tc>
          <w:tcPr>
            <w:tcW w:w="1689" w:type="dxa"/>
            <w:tcBorders>
              <w:bottom w:val="single" w:sz="12" w:space="0" w:color="000000"/>
            </w:tcBorders>
            <w:shd w:fill="FFFFFF" w:val="clear"/>
            <w:tcMar>
              <w:top w:w="0" w:type="dxa"/>
              <w:bottom w:w="3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 MW</w:t>
            </w:r>
          </w:p>
        </w:tc>
      </w:tr>
      <w:tr>
        <w:trPr/>
        <w:tc>
          <w:tcPr>
            <w:tcW w:w="1118" w:type="dxa"/>
            <w:tcBorders/>
            <w:shd w:fill="CCEEFF" w:val="clear"/>
            <w:tcMar>
              <w:top w:w="0" w:type="dxa"/>
              <w:bottom w:w="0" w:type="dxa"/>
            </w:tcMar>
            <w:vAlign w:val="center"/>
          </w:tcPr>
          <w:p>
            <w:pPr>
              <w:pStyle w:val="TableContents"/>
              <w:bidi w:val="0"/>
              <w:spacing w:before="0" w:after="283"/>
              <w:jc w:val="left"/>
              <w:rPr/>
            </w:pPr>
            <w:r>
              <w:rPr/>
              <w:t> </w:t>
            </w:r>
          </w:p>
        </w:tc>
        <w:tc>
          <w:tcPr>
            <w:tcW w:w="2191" w:type="dxa"/>
            <w:tcBorders/>
            <w:shd w:fill="CCEEFF" w:val="clear"/>
            <w:tcMar>
              <w:top w:w="0" w:type="dxa"/>
              <w:bottom w:w="0" w:type="dxa"/>
            </w:tcMar>
            <w:vAlign w:val="center"/>
          </w:tcPr>
          <w:p>
            <w:pPr>
              <w:pStyle w:val="TableContents"/>
              <w:bidi w:val="0"/>
              <w:spacing w:before="0" w:after="283"/>
              <w:jc w:val="left"/>
              <w:rPr/>
            </w:pPr>
            <w:r>
              <w:rPr/>
              <w:t> </w:t>
            </w:r>
          </w:p>
        </w:tc>
        <w:tc>
          <w:tcPr>
            <w:tcW w:w="948"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2125" w:type="dxa"/>
            <w:tcBorders/>
            <w:shd w:fill="CCEEFF" w:val="clear"/>
            <w:tcMar>
              <w:top w:w="0" w:type="dxa"/>
              <w:bottom w:w="0" w:type="dxa"/>
            </w:tcMar>
            <w:vAlign w:val="center"/>
          </w:tcPr>
          <w:p>
            <w:pPr>
              <w:pStyle w:val="TableContents"/>
              <w:bidi w:val="0"/>
              <w:spacing w:before="0" w:after="283"/>
              <w:jc w:val="left"/>
              <w:rPr/>
            </w:pPr>
            <w:r>
              <w:rPr/>
              <w:t> </w:t>
            </w:r>
          </w:p>
        </w:tc>
        <w:tc>
          <w:tcPr>
            <w:tcW w:w="213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 MW</w:t>
            </w:r>
          </w:p>
        </w:tc>
        <w:tc>
          <w:tcPr>
            <w:tcW w:w="1689"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 MW</w:t>
            </w:r>
          </w:p>
        </w:tc>
      </w:tr>
      <w:tr>
        <w:trPr/>
        <w:tc>
          <w:tcPr>
            <w:tcW w:w="111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South America</w:t>
            </w:r>
          </w:p>
        </w:tc>
        <w:tc>
          <w:tcPr>
            <w:tcW w:w="2191" w:type="dxa"/>
            <w:tcBorders/>
            <w:shd w:fill="FFFFFF" w:val="clear"/>
            <w:tcMar>
              <w:top w:w="0" w:type="dxa"/>
              <w:bottom w:w="0" w:type="dxa"/>
            </w:tcMar>
            <w:vAlign w:val="center"/>
          </w:tcPr>
          <w:p>
            <w:pPr>
              <w:pStyle w:val="TableContents"/>
              <w:bidi w:val="0"/>
              <w:spacing w:before="0" w:after="283"/>
              <w:jc w:val="left"/>
              <w:rPr/>
            </w:pPr>
            <w:r>
              <w:rPr/>
              <w:t> </w:t>
            </w:r>
          </w:p>
        </w:tc>
        <w:tc>
          <w:tcPr>
            <w:tcW w:w="948" w:type="dxa"/>
            <w:tcBorders/>
            <w:shd w:fill="FFFFFF" w:val="clear"/>
            <w:tcMar>
              <w:top w:w="0" w:type="dxa"/>
              <w:bottom w:w="0" w:type="dxa"/>
            </w:tcMar>
            <w:vAlign w:val="center"/>
          </w:tcPr>
          <w:p>
            <w:pPr>
              <w:pStyle w:val="TableContents"/>
              <w:bidi w:val="0"/>
              <w:spacing w:before="0" w:after="283"/>
              <w:jc w:val="center"/>
              <w:rPr/>
            </w:pPr>
            <w:r>
              <w:rPr/>
              <w:t> </w:t>
            </w:r>
          </w:p>
        </w:tc>
        <w:tc>
          <w:tcPr>
            <w:tcW w:w="2125" w:type="dxa"/>
            <w:tcBorders/>
            <w:shd w:fill="FFFFFF" w:val="clear"/>
            <w:tcMar>
              <w:top w:w="0" w:type="dxa"/>
              <w:bottom w:w="0" w:type="dxa"/>
            </w:tcMar>
            <w:vAlign w:val="center"/>
          </w:tcPr>
          <w:p>
            <w:pPr>
              <w:pStyle w:val="TableContents"/>
              <w:bidi w:val="0"/>
              <w:spacing w:before="0" w:after="283"/>
              <w:jc w:val="left"/>
              <w:rPr/>
            </w:pPr>
            <w:r>
              <w:rPr/>
              <w:t> </w:t>
            </w:r>
          </w:p>
        </w:tc>
        <w:tc>
          <w:tcPr>
            <w:tcW w:w="2134" w:type="dxa"/>
            <w:tcBorders/>
            <w:shd w:fill="FFFFFF" w:val="clear"/>
            <w:tcMar>
              <w:top w:w="0" w:type="dxa"/>
              <w:bottom w:w="0" w:type="dxa"/>
            </w:tcMar>
            <w:vAlign w:val="center"/>
          </w:tcPr>
          <w:p>
            <w:pPr>
              <w:pStyle w:val="TableContents"/>
              <w:bidi w:val="0"/>
              <w:spacing w:before="0" w:after="283"/>
              <w:jc w:val="left"/>
              <w:rPr/>
            </w:pPr>
            <w:r>
              <w:rPr/>
              <w:t> </w:t>
            </w:r>
          </w:p>
        </w:tc>
        <w:tc>
          <w:tcPr>
            <w:tcW w:w="1689" w:type="dxa"/>
            <w:tcBorders/>
            <w:shd w:fill="FFFFFF" w:val="clear"/>
            <w:tcMar>
              <w:top w:w="0" w:type="dxa"/>
              <w:bottom w:w="0" w:type="dxa"/>
            </w:tcMar>
            <w:vAlign w:val="center"/>
          </w:tcPr>
          <w:p>
            <w:pPr>
              <w:pStyle w:val="TableContents"/>
              <w:bidi w:val="0"/>
              <w:spacing w:before="0" w:after="283"/>
              <w:jc w:val="left"/>
              <w:rPr/>
            </w:pPr>
            <w:r>
              <w:rPr/>
              <w:t> </w:t>
            </w:r>
          </w:p>
        </w:tc>
      </w:tr>
      <w:tr>
        <w:trPr/>
        <w:tc>
          <w:tcPr>
            <w:tcW w:w="111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Paraguay</w:t>
            </w:r>
          </w:p>
        </w:tc>
        <w:tc>
          <w:tcPr>
            <w:tcW w:w="2191"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Villarrica, Paso Pe</w:t>
            </w:r>
          </w:p>
        </w:tc>
        <w:tc>
          <w:tcPr>
            <w:tcW w:w="948"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212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Hydroelectric</w:t>
            </w:r>
          </w:p>
        </w:tc>
        <w:tc>
          <w:tcPr>
            <w:tcW w:w="213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 MW</w:t>
            </w:r>
          </w:p>
        </w:tc>
        <w:tc>
          <w:tcPr>
            <w:tcW w:w="1689"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 MW</w:t>
            </w:r>
          </w:p>
        </w:tc>
      </w:tr>
      <w:tr>
        <w:trPr/>
        <w:tc>
          <w:tcPr>
            <w:tcW w:w="1118" w:type="dxa"/>
            <w:tcBorders>
              <w:bottom w:val="single" w:sz="12" w:space="0" w:color="000000"/>
            </w:tcBorders>
            <w:shd w:fill="FFFFFF" w:val="clear"/>
            <w:tcMar>
              <w:top w:w="0" w:type="dxa"/>
              <w:bottom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Argentina</w:t>
            </w:r>
          </w:p>
        </w:tc>
        <w:tc>
          <w:tcPr>
            <w:tcW w:w="2191" w:type="dxa"/>
            <w:tcBorders>
              <w:bottom w:val="single" w:sz="12" w:space="0" w:color="000000"/>
            </w:tcBorders>
            <w:shd w:fill="FFFFFF" w:val="clear"/>
            <w:tcMar>
              <w:top w:w="0" w:type="dxa"/>
              <w:bottom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Rio Cuarto</w:t>
            </w:r>
          </w:p>
        </w:tc>
        <w:tc>
          <w:tcPr>
            <w:tcW w:w="948" w:type="dxa"/>
            <w:tcBorders>
              <w:bottom w:val="single" w:sz="12" w:space="0" w:color="000000"/>
            </w:tcBorders>
            <w:shd w:fill="FFFFFF" w:val="clear"/>
            <w:tcMar>
              <w:top w:w="0" w:type="dxa"/>
              <w:bottom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2125" w:type="dxa"/>
            <w:tcBorders>
              <w:bottom w:val="single" w:sz="12" w:space="0" w:color="000000"/>
            </w:tcBorders>
            <w:shd w:fill="FFFFFF" w:val="clear"/>
            <w:tcMar>
              <w:top w:w="0" w:type="dxa"/>
              <w:bottom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Natural gas</w:t>
            </w:r>
          </w:p>
        </w:tc>
        <w:tc>
          <w:tcPr>
            <w:tcW w:w="2134" w:type="dxa"/>
            <w:tcBorders>
              <w:bottom w:val="single" w:sz="12" w:space="0" w:color="000000"/>
            </w:tcBorders>
            <w:shd w:fill="FFFFFF" w:val="clear"/>
            <w:tcMar>
              <w:top w:w="0" w:type="dxa"/>
              <w:bottom w:w="3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 MW</w:t>
            </w:r>
          </w:p>
        </w:tc>
        <w:tc>
          <w:tcPr>
            <w:tcW w:w="1689" w:type="dxa"/>
            <w:tcBorders>
              <w:bottom w:val="single" w:sz="12" w:space="0" w:color="000000"/>
            </w:tcBorders>
            <w:shd w:fill="FFFFFF" w:val="clear"/>
            <w:tcMar>
              <w:top w:w="0" w:type="dxa"/>
              <w:bottom w:w="3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 MW</w:t>
            </w:r>
          </w:p>
        </w:tc>
      </w:tr>
      <w:tr>
        <w:trPr/>
        <w:tc>
          <w:tcPr>
            <w:tcW w:w="1118" w:type="dxa"/>
            <w:tcBorders/>
            <w:shd w:fill="CCEEFF" w:val="clear"/>
            <w:tcMar>
              <w:top w:w="0" w:type="dxa"/>
              <w:bottom w:w="0" w:type="dxa"/>
            </w:tcMar>
            <w:vAlign w:val="center"/>
          </w:tcPr>
          <w:p>
            <w:pPr>
              <w:pStyle w:val="TableContents"/>
              <w:bidi w:val="0"/>
              <w:spacing w:before="0" w:after="283"/>
              <w:jc w:val="left"/>
              <w:rPr/>
            </w:pPr>
            <w:r>
              <w:rPr/>
              <w:t> </w:t>
            </w:r>
          </w:p>
        </w:tc>
        <w:tc>
          <w:tcPr>
            <w:tcW w:w="2191" w:type="dxa"/>
            <w:tcBorders/>
            <w:shd w:fill="CCEEFF" w:val="clear"/>
            <w:tcMar>
              <w:top w:w="0" w:type="dxa"/>
              <w:bottom w:w="0" w:type="dxa"/>
            </w:tcMar>
            <w:vAlign w:val="center"/>
          </w:tcPr>
          <w:p>
            <w:pPr>
              <w:pStyle w:val="TableContents"/>
              <w:bidi w:val="0"/>
              <w:spacing w:before="0" w:after="283"/>
              <w:jc w:val="left"/>
              <w:rPr/>
            </w:pPr>
            <w:r>
              <w:rPr/>
              <w:t> </w:t>
            </w:r>
          </w:p>
        </w:tc>
        <w:tc>
          <w:tcPr>
            <w:tcW w:w="948"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2125" w:type="dxa"/>
            <w:tcBorders/>
            <w:shd w:fill="CCEEFF" w:val="clear"/>
            <w:tcMar>
              <w:top w:w="0" w:type="dxa"/>
              <w:bottom w:w="0" w:type="dxa"/>
            </w:tcMar>
            <w:vAlign w:val="center"/>
          </w:tcPr>
          <w:p>
            <w:pPr>
              <w:pStyle w:val="TableContents"/>
              <w:bidi w:val="0"/>
              <w:spacing w:before="0" w:after="283"/>
              <w:jc w:val="left"/>
              <w:rPr/>
            </w:pPr>
            <w:r>
              <w:rPr/>
              <w:t> </w:t>
            </w:r>
          </w:p>
        </w:tc>
        <w:tc>
          <w:tcPr>
            <w:tcW w:w="213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 MW</w:t>
            </w:r>
          </w:p>
        </w:tc>
        <w:tc>
          <w:tcPr>
            <w:tcW w:w="1689"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 MW</w:t>
            </w:r>
          </w:p>
        </w:tc>
      </w:tr>
      <w:tr>
        <w:trPr/>
        <w:tc>
          <w:tcPr>
            <w:tcW w:w="111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2191" w:type="dxa"/>
            <w:tcBorders/>
            <w:shd w:fill="FFFFFF" w:val="clear"/>
            <w:tcMar>
              <w:top w:w="0" w:type="dxa"/>
              <w:bottom w:w="0" w:type="dxa"/>
            </w:tcMar>
            <w:vAlign w:val="center"/>
          </w:tcPr>
          <w:p>
            <w:pPr>
              <w:pStyle w:val="TableContents"/>
              <w:bidi w:val="0"/>
              <w:spacing w:before="0" w:after="283"/>
              <w:jc w:val="left"/>
              <w:rPr/>
            </w:pPr>
            <w:r>
              <w:rPr/>
              <w:t> </w:t>
            </w:r>
          </w:p>
        </w:tc>
        <w:tc>
          <w:tcPr>
            <w:tcW w:w="948"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c>
          <w:tcPr>
            <w:tcW w:w="2125" w:type="dxa"/>
            <w:tcBorders/>
            <w:shd w:fill="FFFFFF" w:val="clear"/>
            <w:tcMar>
              <w:top w:w="0" w:type="dxa"/>
              <w:bottom w:w="0" w:type="dxa"/>
            </w:tcMar>
            <w:vAlign w:val="center"/>
          </w:tcPr>
          <w:p>
            <w:pPr>
              <w:pStyle w:val="TableContents"/>
              <w:bidi w:val="0"/>
              <w:spacing w:before="0" w:after="283"/>
              <w:jc w:val="left"/>
              <w:rPr/>
            </w:pPr>
            <w:r>
              <w:rPr/>
              <w:t> </w:t>
            </w:r>
          </w:p>
        </w:tc>
        <w:tc>
          <w:tcPr>
            <w:tcW w:w="213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 MW</w:t>
            </w:r>
          </w:p>
        </w:tc>
        <w:tc>
          <w:tcPr>
            <w:tcW w:w="1689"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908 MW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Bitfarms owns proprietary software, known as the MGMT System, that is used to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2022 and is continually getting updated to enhance its features and improve its functionality. The revised system is referred to as MGMT-2. See Section 3.15 - HARDWARE AND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Volta provides electrician services to both commercial and residential customers in Québec, Canada while assisting Bitfarms in building and maintaining its Bitcoin Data Centers in Quebec,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3.2 MINING POOL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Bitfarms primarily owns and operates Data Centers housing computers (referred to as “</w:t>
      </w:r>
      <w:r>
        <w:rPr>
          <w:rFonts w:ascii="Times New Roman;Times;Serif" w:hAnsi="Times New Roman;Times;Serif"/>
          <w:b/>
          <w:i w:val="false"/>
          <w:caps w:val="false"/>
          <w:smallCaps w:val="false"/>
          <w:sz w:val="20"/>
          <w:shd w:fill="FFFFFF" w:val="clear"/>
        </w:rPr>
        <w:t>Miners</w:t>
      </w:r>
      <w:r>
        <w:rPr>
          <w:rFonts w:ascii="Times New Roman;Times;Serif" w:hAnsi="Times New Roman;Times;Serif"/>
          <w:b w:val="false"/>
          <w:i w:val="false"/>
          <w:caps w:val="false"/>
          <w:smallCaps w:val="false"/>
          <w:sz w:val="20"/>
          <w:shd w:fill="FFFFFF" w:val="clear"/>
        </w:rPr>
        <w:t>”) designed for the purpose of validating transactions on the BTC Blockchain (referred to as “</w:t>
      </w:r>
      <w:r>
        <w:rPr>
          <w:rFonts w:ascii="Times New Roman;Times;Serif" w:hAnsi="Times New Roman;Times;Serif"/>
          <w:b/>
          <w:i w:val="false"/>
          <w:caps w:val="false"/>
          <w:smallCaps w:val="false"/>
          <w:sz w:val="20"/>
          <w:shd w:fill="FFFFFF" w:val="clear"/>
        </w:rPr>
        <w:t>Mining</w:t>
      </w:r>
      <w:r>
        <w:rPr>
          <w:rFonts w:ascii="Times New Roman;Times;Serif" w:hAnsi="Times New Roman;Times;Serif"/>
          <w:b w:val="false"/>
          <w:i w:val="false"/>
          <w:caps w:val="false"/>
          <w:smallCaps w:val="false"/>
          <w:sz w:val="20"/>
          <w:shd w:fill="FFFFFF" w:val="clear"/>
        </w:rPr>
        <w:t>”). Bitfarms generally operates its Miners 24 hours per day to produce computational power used for hashing calculations (measured by hashrate) that Bitfarms sells to Mining pool operators under a formula-driven rate commonly known in the industry as Full Pay Per Share (“</w:t>
      </w:r>
      <w:r>
        <w:rPr>
          <w:rFonts w:ascii="Times New Roman;Times;Serif" w:hAnsi="Times New Roman;Times;Serif"/>
          <w:b/>
          <w:i w:val="false"/>
          <w:caps w:val="false"/>
          <w:smallCaps w:val="false"/>
          <w:sz w:val="20"/>
          <w:shd w:fill="FFFFFF" w:val="clear"/>
        </w:rPr>
        <w:t>FPPS</w:t>
      </w:r>
      <w:r>
        <w:rPr>
          <w:rFonts w:ascii="Times New Roman;Times;Serif" w:hAnsi="Times New Roman;Times;Serif"/>
          <w:b w:val="false"/>
          <w:i w:val="false"/>
          <w:caps w:val="false"/>
          <w:smallCaps w:val="false"/>
          <w:sz w:val="20"/>
          <w:shd w:fill="FFFFFF" w:val="clear"/>
        </w:rPr>
        <w:t>”).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w:t>
      </w:r>
      <w:r>
        <w:rPr>
          <w:rFonts w:ascii="Times New Roman;Times;Serif" w:hAnsi="Times New Roman;Times;Serif"/>
          <w:b w:val="false"/>
          <w:i w:val="false"/>
          <w:caps w:val="false"/>
          <w:smallCaps w:val="false"/>
          <w:sz w:val="20"/>
        </w:rPr>
        <w:t xml:space="preserve"> Bitcoin</w:t>
      </w:r>
      <w:r>
        <w:rPr>
          <w:rFonts w:ascii="Times New Roman;Times;Serif" w:hAnsi="Times New Roman;Times;Serif"/>
          <w:b w:val="false"/>
          <w:i w:val="false"/>
          <w:caps w:val="false"/>
          <w:smallCaps w:val="false"/>
          <w:sz w:val="20"/>
          <w:shd w:fill="FFFFFF" w:val="clear"/>
        </w:rPr>
        <w:t>. Bitfarms accumulates the cryptocurrency fees it receives or exchanges them for U.S. dollars through reputable and established cryptocurrency trading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contributes its computational power used for has</w:t>
      </w:r>
      <w:r>
        <w:rPr>
          <w:rFonts w:ascii="Times New Roman;Times;Serif" w:hAnsi="Times New Roman;Times;Serif"/>
          <w:b w:val="false"/>
          <w:i w:val="false"/>
          <w:caps w:val="false"/>
          <w:smallCaps w:val="false"/>
          <w:sz w:val="20"/>
          <w:shd w:fill="FFFFFF" w:val="clear"/>
        </w:rPr>
        <w:t>hing calculations to one or more mining pool operators from which it receives payment in Bitcoin, as well as providing electrical services through Volta.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CRYPTOCURRENCY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its underlying blockchain technology were introduced in 2009 by a pseudonymous person or organization known as Satoshi Nakamoto. Blockchain is often described as a distributed ledger, or database, with decentralized control, offering a wide range of potential applications beyond cryptocurrencies. The types of databases that could be implemented using blockchain technology are broad and include, among others, databases similar to a bank ledger that record statements of accounts or transactions, or any other digital record of asset ownership, such as an identity system, land registry or even the rights and obligations defined in a contract. In traditional centralized ledger models, a master version is controlled by a single entity like a bank, government or a trusted third party. Disputes are resolved by checking this master version, through often redundant manual reconciliation processes. In contrast, the decentralized blockchain model distributes identical copies of the ledger to all network participants in real time. The data in the ledger is made tamper-proof using cryptography, and new ledger states are agreed upon by consensus among all parties. The blockchain’s immutability is achieved through cryptographic hashing, a mathematical transformation function with two key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accepts any alphanumeric dataset as an input and produces a unique fixed-length output (hash).</w:t>
      </w:r>
    </w:p>
    <w:p>
      <w:pPr>
        <w:pStyle w:val="TextBody"/>
        <w:bidi w:val="0"/>
        <w:spacing w:before="0" w:after="0"/>
        <w:ind w:left="0" w:right="0" w:firstLine="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Even the smallest change in the input results in a significant change in the output hash.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Hash functions can produce outputs of various lengths, with Bitcoin using SHA-256, which generates a 256-bit hash. A fundamental property of hash functions is determinism; any user running the hash algorithm on the same input will derive the same unique hash. Each new block of transactions added to the blockchain is appended with the hash of the previous block before being hashed itself. This process creates a chain of blocks, linking each state of the ledger to its previous state. Any tampering with historical data can be automatically detected by the network. The security of a blockchain network relies on its decentralized nature. Altering the blockchain’s history would require control of more than 50% of the network’s computing power, known as a “51% attack”. For major cryptocurrencies with significant market capitalization, such an attack is generally considered economically prohibitive due to the cost associated with acquiring control of greater than 50% of the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MINING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process of creating new cryptocurrency coins or tokens and verifying transactions is called mining. Miners operate specialized hardware running mining software, which turns their equipment into “nodes” on the network that validate blocks. To add blocks to the Bitcoin blockchain, Miners must find a solution to a cryptographic puzzle using the SHA-256 hash algorithm. This involves combining the blockchain data, recent transactions, and a nonce (an arbitrary number) to produce a hash output that meets specific criteria. Only one Miner can solve and add each unique block to the blockchain. As more Miners join the network, increasing its total processing power (hashrate), the network automatically adjusts the puzzle’s difficulty to maintain an average block time of approximately 10 minutes. The prevailing level of complexity in the context of cryptocurrency mining is often referred to as the “difficulty”. See Section 19 - </w:t>
      </w:r>
      <w:r>
        <w:rPr>
          <w:rFonts w:ascii="Times New Roman;Times;Serif" w:hAnsi="Times New Roman;Times;Serif"/>
          <w:b w:val="false"/>
          <w:i/>
          <w:caps w:val="false"/>
          <w:smallCaps w:val="false"/>
          <w:sz w:val="20"/>
        </w:rPr>
        <w:t xml:space="preserve">RISK FACTORS </w:t>
      </w:r>
      <w:r>
        <w:rPr>
          <w:rFonts w:ascii="Times New Roman;Times;Serif" w:hAnsi="Times New Roman;Times;Serif"/>
          <w:b w:val="false"/>
          <w:i w:val="false"/>
          <w:caps w:val="false"/>
          <w:smallCaps w:val="false"/>
          <w:sz w:val="20"/>
        </w:rPr>
        <w:t>of this AIF.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Miner successfully solves the puzzle, they broadcast their proposed block to the network. Other nodes then verify the solution, and if valid, the block is added to the blockchain. Successful Miners are rewarded with newly created coins (the block subsidy) and any transaction fees included in the block. This reward system is how new coins enter circulation. The mining difficulty is a measure of how hard it is to find a valid block hash. It is adjusted every 2,016 blocks (roughly every two weeks) based on the average block time of the previous period. This ensures that blocks are consistently added to the blockchain, regardless of changes in the network’s total hashrate.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BUSINESS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While the Company’s strategy since inception has mainly focused on the construction and operation of Data Centers dedicated to Bitcoin mining, using a geographically diversified portfolio of low-cost energy sources, the Company is targeting diversification beyond Bitcoin Mining, into areas like energy generation, energy trading, heat recycling, and high-performance computing and artificial intelligence (“</w:t>
      </w:r>
      <w:r>
        <w:rPr>
          <w:rFonts w:ascii="Times New Roman;Times;Serif" w:hAnsi="Times New Roman;Times;Serif"/>
          <w:b/>
          <w:i w:val="false"/>
          <w:caps w:val="false"/>
          <w:smallCaps w:val="false"/>
          <w:sz w:val="20"/>
          <w:shd w:fill="FFFFFF" w:val="clear"/>
        </w:rPr>
        <w:t>HPC/AI</w:t>
      </w:r>
      <w:r>
        <w:rPr>
          <w:rFonts w:ascii="Times New Roman;Times;Serif" w:hAnsi="Times New Roman;Times;Serif"/>
          <w:b w:val="false"/>
          <w:i w:val="false"/>
          <w:caps w:val="false"/>
          <w:smallCaps w:val="false"/>
          <w:sz w:val="20"/>
          <w:shd w:fill="FFFFFF" w:val="clear"/>
        </w:rPr>
        <w:t>”). In support of the strategy, the Company has sourced electrical power from Hydro-Québec, Hydro-Sherbrooke, Hydro-Magog, City of Baie-Comeau and predominantly power grid operators in in the US (Washington &amp; Pennsylvania), and Paraguay. Power from these sources is largely derived from clean hydroelectricity Hydro-electric power is generated through ex</w:t>
      </w:r>
      <w:r>
        <w:rPr>
          <w:rFonts w:ascii="Times New Roman;Times;Serif" w:hAnsi="Times New Roman;Times;Serif"/>
          <w:b w:val="false"/>
          <w:i w:val="false"/>
          <w:caps w:val="false"/>
          <w:smallCaps w:val="false"/>
          <w:sz w:val="20"/>
        </w:rPr>
        <w:t xml:space="preserve">ploitation of the natural water cycle, which is renewable, sustainable, and abundant owing to the natural geography of the Province of Québec, Canada, Washington State, US and Paraguay. The Company has also entered into an agreement with a private energy producer to secure exclusive use of up to </w:t>
      </w:r>
      <w:r>
        <w:rPr>
          <w:rFonts w:ascii="Times New Roman;Times;Serif" w:hAnsi="Times New Roman;Times;Serif"/>
          <w:b w:val="false"/>
          <w:i w:val="false"/>
          <w:caps w:val="false"/>
          <w:smallCaps w:val="false"/>
          <w:sz w:val="20"/>
          <w:shd w:fill="FFFFFF" w:val="clear"/>
        </w:rPr>
        <w:t>210 MW of natural gas-powered electricity in Argentina; with current permits in place allowing for 100 MW of electricity. Most recently, in on March 14, 2025, the Company completed the acquisition of Stronghold, resulting in the addition of up to 307 MW of power capacity to the Company’s operations and 648 MW of long-term power applications that the Company believes are well suited for HPC/AI, Bitcoin Mining and energy trading. Earlier, in January 2025, the Company had engaged two HPC/AI consultants (ASG and WWT, to conduct formal evaluations of the Company’s Data Centers and energy assets for potential partial or total conversion to HPC/AI, ultimate supporting the expansion of the Company’s operational capabilities and marketing of its sites to potential HPC/AI customers. As a result of these efforts, the management of the Company has developed a business model utilizin</w:t>
      </w:r>
      <w:r>
        <w:rPr>
          <w:rFonts w:ascii="Times New Roman;Times;Serif" w:hAnsi="Times New Roman;Times;Serif"/>
          <w:b w:val="false"/>
          <w:i w:val="false"/>
          <w:caps w:val="false"/>
          <w:smallCaps w:val="false"/>
          <w:sz w:val="20"/>
        </w:rPr>
        <w:t xml:space="preserve">g low-cost power capacity and a supply of computer hardware from leading </w:t>
      </w:r>
      <w:r>
        <w:rPr>
          <w:rFonts w:ascii="Times New Roman;Times;Serif" w:hAnsi="Times New Roman;Times;Serif"/>
          <w:b w:val="false"/>
          <w:i w:val="false"/>
          <w:caps w:val="false"/>
          <w:smallCaps w:val="false"/>
          <w:sz w:val="20"/>
          <w:shd w:fill="FFFFFF" w:val="clear"/>
        </w:rPr>
        <w:t xml:space="preserve">manufacturers.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Data Centers have been in part operated by MGMT-2, a proprietary software suite comprised of three operating programs that control, manage, report and secure the mining operations. The first program serves as the central point of the infrastructure, saving the status of the Company’s Miners into a database every 30 seconds. The second program scans all Miners and returns data for analysis and storage, while the third program displays this data in a readable format to assist operators in identifying machine issues. Additionally, the Company has an automated cooling management system which autonomously controls exhaust fans to maintain the optimal temperature of the Miners at the locations in which they are operated, based on prevailing ambient conditions. The Company is currently transitioning to L&amp;Omacr;D (formerly known as Lincoin), a third-party Miner management software which offers enhanced capabilities in fleet management. See Section 3.15 - </w:t>
      </w:r>
      <w:r>
        <w:rPr>
          <w:rFonts w:ascii="Times New Roman;Times;Serif" w:hAnsi="Times New Roman;Times;Serif"/>
          <w:b w:val="false"/>
          <w:i/>
          <w:caps w:val="false"/>
          <w:smallCaps w:val="false"/>
          <w:sz w:val="20"/>
        </w:rPr>
        <w:t xml:space="preserve">DESCRIPTION OF BUSINESS - HARDWARE AND SOFTWARE.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 MINING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determine with certainty the price of Bitcoin at which the Company’s costs would exceed its revenues. This is because the price of Bitcoin and network difficulty are interdependent factors and must be analyzed together to determine whether the economics warrant pausing of Mining activities. The Company would consider pausing Mining activity if the network difficulty and Bitcoin price resulted in revenue per terahash decreasing below 2 cents, a level at which the variable cost of Mining (i.e. the incremental cost of Mining Bitcoin) exceeds the revenue per terahash. In ’such a circumstance, the Company would consider the long-term impact of pausing its operations, in addition to the direct economic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and considering the network difficulty, the Company’s average direct cost per Bitcoin was approximately US$40,800, and the Company would likely be able to continue Mining Bitcoin profitably if the price per Bitcoin decreased to this level. If the price per Bitcoin decreased below approximately US$40,800, the Company would expect that many other Miners in the industry would earn revenue below their break-even cost of production and suspend operations. Consequently, the Company would expect that the network difficulty would decrease (causing the Company’s cost per Bitcoin to also decrease). If the price of Bitcoin decreases below US$40,800 and network difficulty does not change, the Company may temporarily pause Mining until the price surpasses the Company’s average direct cost per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in the event the network difficulty rises or the BTC price decreases such that the direct cost exceeds the revenue per terahash, the Company may consider reducing the clock rate of its Miners, resulting in greater electrical efficiency and a lower direct cost per BTC. See Section 19 -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 xml:space="preserve">Cryptocurrency Network Difficulty and Impact of Increased Global Computing Power </w:t>
      </w:r>
      <w:r>
        <w:rPr>
          <w:rFonts w:ascii="Times New Roman;Times;Serif" w:hAnsi="Times New Roman;Times;Serif"/>
          <w:b w:val="false"/>
          <w:i w:val="false"/>
          <w:caps w:val="false"/>
          <w:smallCaps w:val="false"/>
          <w:sz w:val="20"/>
        </w:rPr>
        <w:t>of this AIF</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 DIGITAL ASSET MANAGEMENT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Digital Asset Management Program commenced in early January 2021 following the implementation of internal controls, counter-party risk assessments and custody arrangement reviews. Rather than selling all BTC mined at then-prevailing market rates, the Company decided to retain BTC through its custodial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Retaining BTC allowed the Company flexibility in deciding when or whether to sell the assets based on prevailing market conditions. With the decrease in BTC prices during late 2021 and 2022, coupled with the high price of Mining hardware, the Company converted a portion of its cash position into BTC with a purchase of 1,000 BTC during the first week of 2022. In August 2022, attending to market conditions, the Board approved the sale of the Company’s daily BTC earned, in addition to any sale of up to 1,000 BTC from treasury, to reduce indebtedness and increase financial flexibility to fund operations and expansion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 has internal controls in place to evaluate its custodians on a quarterly basis. If the Company was to face challenges with one of its custodians, the Company could transfer digital assets between custodians and has its own multi-signature wallets as a contingency plan that would have a minimal impact on the Company’s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retains Coinbase Trust Company LLC (“</w:t>
      </w:r>
      <w:r>
        <w:rPr>
          <w:rFonts w:ascii="Times New Roman;Times;Serif" w:hAnsi="Times New Roman;Times;Serif"/>
          <w:b/>
          <w:i w:val="false"/>
          <w:caps w:val="false"/>
          <w:smallCaps w:val="false"/>
          <w:sz w:val="20"/>
        </w:rPr>
        <w:t>Coinbase Custody</w:t>
      </w:r>
      <w:r>
        <w:rPr>
          <w:rFonts w:ascii="Times New Roman;Times;Serif" w:hAnsi="Times New Roman;Times;Serif"/>
          <w:b w:val="false"/>
          <w:i w:val="false"/>
          <w:caps w:val="false"/>
          <w:smallCaps w:val="false"/>
          <w:sz w:val="20"/>
        </w:rPr>
        <w:t>”) and Anchorage Digital Bank N.A. (“</w:t>
      </w:r>
      <w:r>
        <w:rPr>
          <w:rFonts w:ascii="Times New Roman;Times;Serif" w:hAnsi="Times New Roman;Times;Serif"/>
          <w:b/>
          <w:i w:val="false"/>
          <w:caps w:val="false"/>
          <w:smallCaps w:val="false"/>
          <w:sz w:val="20"/>
        </w:rPr>
        <w:t>Anchorage Digital</w:t>
      </w:r>
      <w:r>
        <w:rPr>
          <w:rFonts w:ascii="Times New Roman;Times;Serif" w:hAnsi="Times New Roman;Times;Serif"/>
          <w:b w:val="false"/>
          <w:i w:val="false"/>
          <w:caps w:val="false"/>
          <w:smallCaps w:val="false"/>
          <w:sz w:val="20"/>
        </w:rPr>
        <w:t xml:space="preserve">”) as its third-party custodians. Coinbase Custody is a US-based fiduciary and qualified custodian under New York Banking Law and is licensed by the State of New York to custody digital assets. Anchorage Digital is a digital asset platform and infrastructure provider that deals in the holding of cryptocurrency products and the investing of infrastructure for cryptocurrency. Anchorage Digital is the only crypto-native bank to hold a charter from the US Office of the Comptroller, offering institutions secure custody, staking, governance and settlement services. Having a national bank charter in the US places Anchorage Digital on the same regulatory footing as other US national banks. Within Coinbase Custody and Anchorage Digital, every Bitcoin is held in a cold wallet. One initiator and two approvers from the executive team are needed to complete a transaction and video calls are needed for a transfer to a third-party. See Section 3.9 - </w:t>
      </w:r>
      <w:r>
        <w:rPr>
          <w:rFonts w:ascii="Times New Roman;Times;Serif" w:hAnsi="Times New Roman;Times;Serif"/>
          <w:b w:val="false"/>
          <w:i/>
          <w:caps w:val="false"/>
          <w:smallCaps w:val="false"/>
          <w:sz w:val="20"/>
        </w:rPr>
        <w:t xml:space="preserve">DESCRIPTION OF BUSINESS - CUSTODY OF CRYPTO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CUSTODY OF CRYPTO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crypto assets, currently BTC, are earned to multi-signature wallets that the Company controls. On a regular basis, the Company transfers BTC from its multi-signature wallets to an external third-party custodian, such as Coinbase Custody and Anchorage Digital. Currently, Coinbase Custody and Anchorage Digital provides only custodial services to the Company and does not use a sub-custodian. Coinbase Custody and Anchorage Digital are not related party to the Company. Coinbase Custody is a fiduciary of § 100 of the New York Banking Law and is licensed to custody its clients’ digital assets in trust on their behalf. Coinbase Custody is a qualified custodian for purposes of § 206 (4) -2(d)(6) of the Advisers Act of 1940. Anchorage Digital is the only federally chartered crypto bank in the U.S., serves as a custodian for digital assets, and is licensed and regulated by the Office of the Comptroller of the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2025, the Company holds 1,446 BTC, valued at US$125.1 million on its balance sheet. As of the date of this AIF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76% of the Company’s BTC are held in custody with Coinbase Custody and Anchorage Digital.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Coinbase Custody maintains an insurance policy of US$100.0 million for its cold storage and Anchorage Digital maintains an insurance policy of US$100.0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annual report, on Form 10-K, filed with the U.S. Securities Exchange Commission on February 13, 2025,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Regardless of efforts made by the Company to securely store and safeguard assets, there can be no assurance that crypto assets will be safe from hacking or other forms of theft. See Section 19 - </w:t>
      </w:r>
      <w:r>
        <w:rPr>
          <w:rFonts w:ascii="Times New Roman;Times;Serif" w:hAnsi="Times New Roman;Times;Serif"/>
          <w:b w:val="false"/>
          <w:i/>
          <w:caps w:val="false"/>
          <w:smallCaps w:val="false"/>
          <w:sz w:val="20"/>
        </w:rPr>
        <w:t xml:space="preserve">RISK FACTORS </w:t>
      </w:r>
      <w:r>
        <w:rPr>
          <w:rFonts w:ascii="Times New Roman;Times;Serif" w:hAnsi="Times New Roman;Times;Serif"/>
          <w:b w:val="false"/>
          <w:i w:val="false"/>
          <w:caps w:val="false"/>
          <w:smallCaps w:val="false"/>
          <w:sz w:val="20"/>
        </w:rPr>
        <w:t>of this AIF.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 HEDGING PROGRAM OF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hedging strategy aims to reduce the risk associated with the variability of cash flows resulting from future disposals of digital assets and in consideration of the volatility and adverse price movements of the digital assets in the prior months. In March 2023, the Board approved a hedging program and authorized Management, through a Risk Committee specifically created for this purpose, to implement hedges using various financial derivatives including over-the-counter BTC options and BTC futures contracts, among others, hedging up to 20% of the Company’s BTC compensation per month and up to three months of expected future BTC compensation. In April 2023, the Board authorized the Risk Committee to increase the maximum hedge ratio to up to 50% of the Company’s BTC compensation per month and up to six months of expected future BTC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year ended December 31, 2024, the Company had BTC option contracts to sell digital assets which resulted in a loss of US$1.3 million, mainly related to premiums for the option contracts hedging the risk of the BTC price decreasing and protecting the Company’s margins. Refer to Note 23 to the Financial Statements for more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 SYNTHETIC HODL PROGRAM OF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Alongside the hedging program, and with the intent to source risk-managed and capital-efficient leverage on BTC, in June 2023, the Board approved a HODL strategy, referred to as the Synthetic HODL strategy, which allows up to 20% of the Company’s BTC exposure to be replicated using BTC derivatives and volatility-targeting instruments. In October 2023, the Company initiated its Synthetic HODL strategy with the purchase of long-dated BTC call options. The primary objective of the Synthetic HODL is to replicate BTC HODL appreciation potential upside while utilizing excess cash flow from operations to fund capital growth programs. It remains within the Risk Committee’s discretion to dynamically adjust Bitfarms’ hedge and Synthetic HODL ratios within the risk limits approved by the Board to more adequately respond to market conditions that are beyond the Company’s operational control. During the year ended December 31, 2024, the Company purchased long-dated BTC call options which resulted in a gain of US$17.0 million, including realized gains of US$17.6 million, attributable to the change in the BTC price over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BITCOIN ONE PROGRAM FOR DIGITAL ASSETS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Board approved the launch of the Bitcoin One initiative as the successor to the Company’s Hedging program and Synthetic HODL program for digital assets management, which was deployed during this month. Bitcoin One is a quantitative investment multi-strategy program that employs a disciplined approach to BTC accumulation through diversification, strategic leverage, and market timing. The Board authorized the risk management committee to deploy up to (i) 100% of the Company’s BTC in treasury, plus (ii) three months of expected forward production calculated on a rolling basis, plus (iii) $10.0 million under Bitcoin One to be actively managed and participate in volatility-targeting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One focuses on active BTC treasury management through discretionary and rules-based trading algorithms and an active managed volatility targeting program that trades crypto volatility as an asset class and harvests the risk premium that arises from that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 CURRENT MINING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summary information regarding the current Data Centers as of March 26, 2025.</w:t>
      </w:r>
    </w:p>
    <w:p>
      <w:pPr>
        <w:pStyle w:val="TextBody"/>
        <w:bidi w:val="0"/>
        <w:spacing w:before="0" w:after="0"/>
        <w:ind w:left="0" w:right="0" w:hanging="0"/>
        <w:jc w:val="left"/>
        <w:rPr>
          <w:caps w:val="false"/>
          <w:smallCaps w:val="false"/>
        </w:rPr>
      </w:pPr>
      <w:r>
        <w:rPr>
          <w:caps w:val="false"/>
          <w:smallCaps w:val="false"/>
        </w:rPr>
        <w:t> </w:t>
      </w:r>
    </w:p>
    <w:tbl>
      <w:tblPr>
        <w:tblW w:w="9080" w:type="dxa"/>
        <w:jc w:val="left"/>
        <w:tblInd w:w="0" w:type="dxa"/>
        <w:tblLayout w:type="fixed"/>
        <w:tblCellMar>
          <w:top w:w="33" w:type="dxa"/>
          <w:left w:w="0" w:type="dxa"/>
          <w:bottom w:w="28" w:type="dxa"/>
          <w:right w:w="0" w:type="dxa"/>
        </w:tblCellMar>
      </w:tblPr>
      <w:tblGrid>
        <w:gridCol w:w="3440"/>
        <w:gridCol w:w="1700"/>
        <w:gridCol w:w="1865"/>
        <w:gridCol w:w="2075"/>
      </w:tblGrid>
      <w:tr>
        <w:trPr/>
        <w:tc>
          <w:tcPr>
            <w:tcW w:w="344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Location</w:t>
            </w:r>
          </w:p>
        </w:tc>
        <w:tc>
          <w:tcPr>
            <w:tcW w:w="170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Energized Capacity</w:t>
            </w:r>
          </w:p>
        </w:tc>
        <w:tc>
          <w:tcPr>
            <w:tcW w:w="186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Property Information</w:t>
            </w:r>
          </w:p>
        </w:tc>
        <w:tc>
          <w:tcPr>
            <w:tcW w:w="207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Primary Energy Source</w:t>
            </w:r>
          </w:p>
        </w:tc>
      </w:tr>
      <w:tr>
        <w:trPr/>
        <w:tc>
          <w:tcPr>
            <w:tcW w:w="344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Farnham, Québec, Canada</w:t>
            </w:r>
          </w:p>
        </w:tc>
        <w:tc>
          <w:tcPr>
            <w:tcW w:w="1700"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MW</w:t>
            </w:r>
          </w:p>
        </w:tc>
        <w:tc>
          <w:tcPr>
            <w:tcW w:w="186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Saint-Hyacinthe, Québec, Canada</w:t>
            </w:r>
          </w:p>
        </w:tc>
        <w:tc>
          <w:tcPr>
            <w:tcW w:w="1700"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MW</w:t>
            </w:r>
          </w:p>
        </w:tc>
        <w:tc>
          <w:tcPr>
            <w:tcW w:w="186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Cowansville, Québec, Canada</w:t>
            </w:r>
          </w:p>
        </w:tc>
        <w:tc>
          <w:tcPr>
            <w:tcW w:w="1700"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 MW</w:t>
            </w:r>
          </w:p>
        </w:tc>
        <w:tc>
          <w:tcPr>
            <w:tcW w:w="186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Baie-Comeau, Québec, Canada</w:t>
            </w:r>
          </w:p>
        </w:tc>
        <w:tc>
          <w:tcPr>
            <w:tcW w:w="1700"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 MW</w:t>
            </w:r>
          </w:p>
        </w:tc>
        <w:tc>
          <w:tcPr>
            <w:tcW w:w="186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Magog, Québec, Canada</w:t>
            </w:r>
          </w:p>
        </w:tc>
        <w:tc>
          <w:tcPr>
            <w:tcW w:w="1700"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MW</w:t>
            </w:r>
          </w:p>
        </w:tc>
        <w:tc>
          <w:tcPr>
            <w:tcW w:w="186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Bunker, Sherbrooke, Québec, Canada</w:t>
            </w:r>
          </w:p>
        </w:tc>
        <w:tc>
          <w:tcPr>
            <w:tcW w:w="1700"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 MW</w:t>
            </w:r>
          </w:p>
        </w:tc>
        <w:tc>
          <w:tcPr>
            <w:tcW w:w="186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Leger, Sherbrooke, Quebec, Canada</w:t>
            </w:r>
          </w:p>
        </w:tc>
        <w:tc>
          <w:tcPr>
            <w:tcW w:w="1700"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 MW</w:t>
            </w:r>
          </w:p>
        </w:tc>
        <w:tc>
          <w:tcPr>
            <w:tcW w:w="186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Garlock, Sherbrooke, Québec, Canada</w:t>
            </w:r>
          </w:p>
        </w:tc>
        <w:tc>
          <w:tcPr>
            <w:tcW w:w="1700"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 MW</w:t>
            </w:r>
          </w:p>
        </w:tc>
        <w:tc>
          <w:tcPr>
            <w:tcW w:w="186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Sharon, Pennsylvania, United States</w:t>
            </w:r>
          </w:p>
        </w:tc>
        <w:tc>
          <w:tcPr>
            <w:tcW w:w="1700"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 MW</w:t>
            </w:r>
          </w:p>
        </w:tc>
        <w:tc>
          <w:tcPr>
            <w:tcW w:w="186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Alternative Energy</w:t>
            </w:r>
          </w:p>
        </w:tc>
      </w:tr>
      <w:tr>
        <w:trPr/>
        <w:tc>
          <w:tcPr>
            <w:tcW w:w="344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Panthercreek, Pennsylvania, United States</w:t>
            </w:r>
          </w:p>
        </w:tc>
        <w:tc>
          <w:tcPr>
            <w:tcW w:w="1700"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 MW</w:t>
            </w:r>
          </w:p>
        </w:tc>
        <w:tc>
          <w:tcPr>
            <w:tcW w:w="186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w:t>
            </w:r>
          </w:p>
        </w:tc>
        <w:tc>
          <w:tcPr>
            <w:tcW w:w="207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Alternative energy</w:t>
            </w:r>
          </w:p>
        </w:tc>
      </w:tr>
      <w:tr>
        <w:trPr/>
        <w:tc>
          <w:tcPr>
            <w:tcW w:w="344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Scrubgrass, Pennsylvania, United States</w:t>
            </w:r>
          </w:p>
        </w:tc>
        <w:tc>
          <w:tcPr>
            <w:tcW w:w="1700"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 MW</w:t>
            </w:r>
          </w:p>
        </w:tc>
        <w:tc>
          <w:tcPr>
            <w:tcW w:w="186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w:t>
            </w:r>
          </w:p>
        </w:tc>
        <w:tc>
          <w:tcPr>
            <w:tcW w:w="207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Alternative energy</w:t>
            </w:r>
          </w:p>
        </w:tc>
      </w:tr>
      <w:tr>
        <w:trPr/>
        <w:tc>
          <w:tcPr>
            <w:tcW w:w="344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United States</w:t>
            </w:r>
          </w:p>
        </w:tc>
        <w:tc>
          <w:tcPr>
            <w:tcW w:w="1700"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 MW</w:t>
            </w:r>
          </w:p>
        </w:tc>
        <w:tc>
          <w:tcPr>
            <w:tcW w:w="186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w:t>
            </w:r>
          </w:p>
        </w:tc>
        <w:tc>
          <w:tcPr>
            <w:tcW w:w="207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Villarrica, Paraguay</w:t>
            </w:r>
          </w:p>
        </w:tc>
        <w:tc>
          <w:tcPr>
            <w:tcW w:w="1700"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MW</w:t>
            </w:r>
          </w:p>
        </w:tc>
        <w:tc>
          <w:tcPr>
            <w:tcW w:w="186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shd w:fill="CCEE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Paso Pe, Paraguay</w:t>
            </w:r>
          </w:p>
        </w:tc>
        <w:tc>
          <w:tcPr>
            <w:tcW w:w="1700"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 MW</w:t>
            </w:r>
          </w:p>
        </w:tc>
        <w:tc>
          <w:tcPr>
            <w:tcW w:w="186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Owned</w:t>
            </w:r>
          </w:p>
        </w:tc>
        <w:tc>
          <w:tcPr>
            <w:tcW w:w="2075" w:type="dxa"/>
            <w:tcBorders/>
            <w:shd w:fill="FFFFFF" w:val="clear"/>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Hydroelectric</w:t>
            </w:r>
          </w:p>
        </w:tc>
      </w:tr>
      <w:tr>
        <w:trPr/>
        <w:tc>
          <w:tcPr>
            <w:tcW w:w="3440"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Rio Cuarto, Argentina</w:t>
            </w:r>
          </w:p>
        </w:tc>
        <w:tc>
          <w:tcPr>
            <w:tcW w:w="1700" w:type="dxa"/>
            <w:tcBorders>
              <w:bottom w:val="single" w:sz="8" w:space="0" w:color="000000"/>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 MW</w:t>
            </w:r>
          </w:p>
        </w:tc>
        <w:tc>
          <w:tcPr>
            <w:tcW w:w="1865" w:type="dxa"/>
            <w:tcBorders>
              <w:bottom w:val="single" w:sz="8" w:space="0" w:color="000000"/>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Leased</w:t>
            </w:r>
          </w:p>
        </w:tc>
        <w:tc>
          <w:tcPr>
            <w:tcW w:w="2075" w:type="dxa"/>
            <w:tcBorders>
              <w:bottom w:val="single" w:sz="8" w:space="0" w:color="000000"/>
            </w:tcBorders>
            <w:shd w:fill="CCEE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Natural Gas</w:t>
            </w:r>
          </w:p>
        </w:tc>
      </w:tr>
      <w:tr>
        <w:trPr/>
        <w:tc>
          <w:tcPr>
            <w:tcW w:w="344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700" w:type="dxa"/>
            <w:tcBorders>
              <w:bottom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461 MW</w:t>
            </w:r>
          </w:p>
        </w:tc>
        <w:tc>
          <w:tcPr>
            <w:tcW w:w="1865"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2075"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COMPETITIVE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cryptocurrency Mining industry is highly competitive. There are several publicly traded companies that mine cryptocurrency including CleanSpark Inc., Core Scientific, Inc., Digihost Technology Inc. , Hive Blockchain Technologies Ltd., Hut 8 Corp., Iris Energy Ltd., IREN Ltd., MARA Holdings Inc and Riot Platforms, Inc. In addition, many other private companies are active in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3.15 HARDWARE AND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main components of the Company’s cryptocurrency Mining operations are specialized computers, frequently referred to as ASIC Miners, that consist of ASIC chips, PSUs, network components, security components, electronic components, cooling components and other ancillary hardware. The hardware is composed primarily of: (i) MicroBT WhatsMiner, Bitmain S19j Pro, Bitmain T21 and Bitmain S21 Miners, which currently comprise most of the Company’s Mining power; and (ii) peripheral computer hardware required to operate the Miners. As of December 31, 2024, the Company owned and operated approximately 92,000 ASIC Miners. The majority of the Company’s currently operating ASIC Miners and those recently secured by purchase order in connection with the expansion plans are primarily manufactured by MicroBT and Bitmain Technologies Inc., each leading suppliers of </w:t>
      </w:r>
      <w:r>
        <w:rPr>
          <w:rFonts w:ascii="Times New Roman;Times;Serif" w:hAnsi="Times New Roman;Times;Serif"/>
          <w:b/>
          <w:i w:val="false"/>
          <w:caps w:val="false"/>
          <w:smallCaps w:val="false"/>
          <w:sz w:val="20"/>
          <w:shd w:fill="FFFFFF" w:val="clear"/>
        </w:rPr>
        <w:t>ASIC</w:t>
      </w:r>
      <w:r>
        <w:rPr>
          <w:rFonts w:ascii="Times New Roman;Times;Serif" w:hAnsi="Times New Roman;Times;Serif"/>
          <w:b w:val="false"/>
          <w:i w:val="false"/>
          <w:caps w:val="false"/>
          <w:smallCaps w:val="false"/>
          <w:sz w:val="20"/>
          <w:shd w:fill="FFFFFF" w:val="clear"/>
        </w:rPr>
        <w:t xml:space="preserve"> Miners for the blockchain and Mining industry. The Miners are typically purchased directly from the manufacturer; however, during periods of elevated demand and pricing conditions, the Company has on occasion made purchases through secondary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historically utilized MGMT-2, a proprietary software suite, to control, manage, report and secure its cryptographic coin Mining systems. The Company’s software suite consists of three main operating programs: (i) a software program that provides a real-time status report and reports problems in near-real time; (ii) a web interface, management software program that displays various events and alerts by sending short message service (“</w:t>
      </w:r>
      <w:r>
        <w:rPr>
          <w:rFonts w:ascii="Times New Roman;Times;Serif" w:hAnsi="Times New Roman;Times;Serif"/>
          <w:b/>
          <w:i w:val="false"/>
          <w:caps w:val="false"/>
          <w:smallCaps w:val="false"/>
          <w:sz w:val="20"/>
          <w:shd w:fill="FFFFFF" w:val="clear"/>
        </w:rPr>
        <w:t>SMS</w:t>
      </w:r>
      <w:r>
        <w:rPr>
          <w:rFonts w:ascii="Times New Roman;Times;Serif" w:hAnsi="Times New Roman;Times;Serif"/>
          <w:b w:val="false"/>
          <w:i w:val="false"/>
          <w:caps w:val="false"/>
          <w:smallCaps w:val="false"/>
          <w:sz w:val="20"/>
          <w:shd w:fill="FFFFFF" w:val="clear"/>
        </w:rPr>
        <w:t>”) messages or other alert methods; and, (iii) a third program that displays the retrieved data in a digestible format to assist operators in identifying machine issues. Additionally, the Company has an automated cooling management system that autonomously controls exhaust fans to maintain the optimal temperature of the Miners at various locations based on ambient conditions (efficient cooling is an essential condition for the operation of the Data Centers). The software can be scaled to manage an unlimited number of ASIC components and Bitcoin Data Centers. Currently, the Company is transitioning to L&amp;Omacr;D (formerly known as Lincoin), a third party Miner management software offering enhanced fleet management capabilities. During the transition period, both MGMT-2 and L&amp;Omacr;D are being utilized for monitoring and managing the mining fleet. As L&amp;Omacr;D is integrated into operations, it may gradually take over some or all of the core functionalities of MGMT-2, including real-time monitoring, data analysis, and automated alerting. L&amp;Omacr;D is expected to also enhance the automated cooling management system by improving response times and providing better optimization tools for power and temperature management. The shift to L&amp;Omacr;D is expected to provide improved efficiency, enhanced scalability, and better integration with emerging mining technologies. However, MGMT-2 remains active during this transition to ensure operational stability and seamless adoption of the new system. The Company is committed to continuously updating and refining its software tools to maintain optimal mining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3.16 REVENUE</w:t>
      </w:r>
    </w:p>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28" w:type="dxa"/>
          <w:left w:w="0" w:type="dxa"/>
          <w:bottom w:w="28" w:type="dxa"/>
          <w:right w:w="0" w:type="dxa"/>
        </w:tblCellMar>
      </w:tblPr>
      <w:tblGrid>
        <w:gridCol w:w="830"/>
        <w:gridCol w:w="60"/>
        <w:gridCol w:w="60"/>
        <w:gridCol w:w="140"/>
        <w:gridCol w:w="1130"/>
        <w:gridCol w:w="60"/>
        <w:gridCol w:w="60"/>
        <w:gridCol w:w="140"/>
        <w:gridCol w:w="1130"/>
        <w:gridCol w:w="60"/>
        <w:gridCol w:w="60"/>
        <w:gridCol w:w="140"/>
        <w:gridCol w:w="1130"/>
        <w:gridCol w:w="75"/>
      </w:tblGrid>
      <w:tr>
        <w:trPr/>
        <w:tc>
          <w:tcPr>
            <w:tcW w:w="890" w:type="dxa"/>
            <w:gridSpan w:val="2"/>
            <w:tcBorders>
              <w:top w:val="single" w:sz="8" w:space="0" w:color="000000"/>
              <w:bottom w:val="single" w:sz="8" w:space="0" w:color="000000"/>
            </w:tcBorders>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4125" w:type="dxa"/>
            <w:gridSpan w:val="11"/>
            <w:tcBorders>
              <w:top w:val="single" w:sz="8" w:space="0" w:color="000000"/>
              <w:bottom w:val="single" w:sz="8" w:space="0" w:color="000000"/>
            </w:tcBorders>
            <w:vAlign w:val="center"/>
          </w:tcPr>
          <w:p>
            <w:pPr>
              <w:pStyle w:val="TableContents"/>
              <w:bidi w:val="0"/>
              <w:spacing w:before="0" w:after="283"/>
              <w:jc w:val="center"/>
              <w:rPr>
                <w:b/>
              </w:rPr>
            </w:pPr>
            <w:r>
              <w:rPr>
                <w:b/>
              </w:rPr>
              <w:t>Year ended December 31,</w:t>
            </w:r>
          </w:p>
        </w:tc>
      </w:tr>
      <w:tr>
        <w:trPr/>
        <w:tc>
          <w:tcPr>
            <w:tcW w:w="830" w:type="dxa"/>
            <w:tcBorders>
              <w:bottom w:val="single" w:sz="8" w:space="0" w:color="000000"/>
            </w:tcBorders>
            <w:shd w:fill="FFFFFF" w:val="clear"/>
            <w:tcMar>
              <w:top w:w="0"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top w:w="0" w:type="dxa"/>
            </w:tcMar>
            <w:vAlign w:val="center"/>
          </w:tcPr>
          <w:p>
            <w:pPr>
              <w:pStyle w:val="TableContents"/>
              <w:bidi w:val="0"/>
              <w:spacing w:before="0" w:after="283"/>
              <w:jc w:val="right"/>
              <w:rPr>
                <w:b/>
              </w:rPr>
            </w:pPr>
            <w:r>
              <w:rPr>
                <w:b/>
              </w:rPr>
              <w:t>2024**</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top w:w="0" w:type="dxa"/>
            </w:tcMar>
            <w:vAlign w:val="center"/>
          </w:tcPr>
          <w:p>
            <w:pPr>
              <w:pStyle w:val="TableContents"/>
              <w:bidi w:val="0"/>
              <w:spacing w:before="0" w:after="283"/>
              <w:jc w:val="right"/>
              <w:rPr/>
            </w:pPr>
            <w:r>
              <w:rPr/>
              <w:t>2023*</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top w:w="0" w:type="dxa"/>
            </w:tcMar>
            <w:vAlign w:val="center"/>
          </w:tcPr>
          <w:p>
            <w:pPr>
              <w:pStyle w:val="TableContents"/>
              <w:bidi w:val="0"/>
              <w:spacing w:before="0" w:after="283"/>
              <w:jc w:val="right"/>
              <w:rPr/>
            </w:pPr>
            <w:r>
              <w:rPr/>
              <w:t>2022*</w:t>
            </w:r>
          </w:p>
        </w:tc>
        <w:tc>
          <w:tcPr>
            <w:tcW w:w="75" w:type="dxa"/>
            <w:tcBorders>
              <w:bottom w:val="single" w:sz="8"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r>
      <w:tr>
        <w:trPr/>
        <w:tc>
          <w:tcPr>
            <w:tcW w:w="830"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top w:w="0"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192.9 million</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top w:w="0"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146.4 million</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top w:w="0"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142.4 million</w:t>
            </w:r>
          </w:p>
        </w:tc>
        <w:tc>
          <w:tcPr>
            <w:tcW w:w="75"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both"/>
              <w:rPr/>
            </w:pPr>
            <w:r>
              <w:rPr/>
              <w:t>Revenues are from the sale of computational power used for hashing calculations, the sale to external customers and the provision of electrical services.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Revenues are from the sale of computational power used for hashing calculations and the provision of electrical services.</w:t>
            </w:r>
          </w:p>
        </w:tc>
      </w:tr>
    </w:tbl>
    <w:p>
      <w:pPr>
        <w:pStyle w:val="TextBody"/>
        <w:bidi w:val="0"/>
        <w:spacing w:before="0" w:after="0"/>
        <w:ind w:left="0" w:right="0" w:hanging="0"/>
        <w:jc w:val="left"/>
        <w:rPr>
          <w:caps w:val="false"/>
          <w:smallCaps w:val="false"/>
        </w:rPr>
      </w:pPr>
      <w:r>
        <w:rPr>
          <w:caps w:val="false"/>
          <w:smallCaps w:val="false"/>
        </w:rPr>
        <w:t> </w:t>
      </w:r>
    </w:p>
    <w:tbl>
      <w:tblPr>
        <w:tblW w:w="6110" w:type="dxa"/>
        <w:jc w:val="left"/>
        <w:tblInd w:w="0" w:type="dxa"/>
        <w:tblLayout w:type="fixed"/>
        <w:tblCellMar>
          <w:top w:w="28" w:type="dxa"/>
          <w:left w:w="0" w:type="dxa"/>
          <w:bottom w:w="28" w:type="dxa"/>
          <w:right w:w="0" w:type="dxa"/>
        </w:tblCellMar>
      </w:tblPr>
      <w:tblGrid>
        <w:gridCol w:w="2240"/>
        <w:gridCol w:w="60"/>
        <w:gridCol w:w="140"/>
        <w:gridCol w:w="1130"/>
        <w:gridCol w:w="60"/>
        <w:gridCol w:w="60"/>
        <w:gridCol w:w="140"/>
        <w:gridCol w:w="1025"/>
        <w:gridCol w:w="60"/>
        <w:gridCol w:w="60"/>
        <w:gridCol w:w="140"/>
        <w:gridCol w:w="920"/>
        <w:gridCol w:w="75"/>
      </w:tblGrid>
      <w:tr>
        <w:trPr/>
        <w:tc>
          <w:tcPr>
            <w:tcW w:w="224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3810" w:type="dxa"/>
            <w:gridSpan w:val="11"/>
            <w:tcBorders>
              <w:top w:val="single" w:sz="8" w:space="0" w:color="000000"/>
              <w:bottom w:val="single" w:sz="8" w:space="0" w:color="000000"/>
            </w:tcBorders>
            <w:vAlign w:val="center"/>
          </w:tcPr>
          <w:p>
            <w:pPr>
              <w:pStyle w:val="TableContents"/>
              <w:bidi w:val="0"/>
              <w:spacing w:before="0" w:after="283"/>
              <w:jc w:val="center"/>
              <w:rPr>
                <w:b/>
              </w:rPr>
            </w:pPr>
            <w:r>
              <w:rPr>
                <w:b/>
              </w:rPr>
              <w:t>As of December 31,</w:t>
            </w:r>
          </w:p>
        </w:tc>
      </w:tr>
      <w:tr>
        <w:trPr/>
        <w:tc>
          <w:tcPr>
            <w:tcW w:w="224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270" w:type="dxa"/>
            <w:gridSpan w:val="2"/>
            <w:tcBorders>
              <w:bottom w:val="single" w:sz="8" w:space="0" w:color="000000"/>
            </w:tcBorders>
            <w:tcMar>
              <w:top w:w="0" w:type="dxa"/>
            </w:tcMar>
            <w:vAlign w:val="center"/>
          </w:tcPr>
          <w:p>
            <w:pPr>
              <w:pStyle w:val="TableContents"/>
              <w:bidi w:val="0"/>
              <w:spacing w:before="0" w:after="283"/>
              <w:jc w:val="right"/>
              <w:rPr>
                <w:b/>
              </w:rPr>
            </w:pPr>
            <w:r>
              <w:rPr>
                <w:b/>
              </w:rPr>
              <w:t>2024</w:t>
            </w:r>
          </w:p>
        </w:tc>
        <w:tc>
          <w:tcPr>
            <w:tcW w:w="60" w:type="dxa"/>
            <w:tcBorders>
              <w:bottom w:val="single" w:sz="8" w:space="0" w:color="000000"/>
            </w:tcBorders>
            <w:tcMar>
              <w:top w:w="0" w:type="dxa"/>
            </w:tcMar>
            <w:vAlign w:val="center"/>
          </w:tcPr>
          <w:p>
            <w:pPr>
              <w:pStyle w:val="TableContents"/>
              <w:bidi w:val="0"/>
              <w:spacing w:before="0" w:after="283"/>
              <w:jc w:val="righ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165" w:type="dxa"/>
            <w:gridSpan w:val="2"/>
            <w:tcBorders>
              <w:bottom w:val="single" w:sz="8" w:space="0" w:color="000000"/>
            </w:tcBorders>
            <w:tcMar>
              <w:top w:w="0" w:type="dxa"/>
            </w:tcMar>
            <w:vAlign w:val="center"/>
          </w:tcPr>
          <w:p>
            <w:pPr>
              <w:pStyle w:val="TableContents"/>
              <w:bidi w:val="0"/>
              <w:spacing w:before="0" w:after="283"/>
              <w:jc w:val="right"/>
              <w:rPr/>
            </w:pPr>
            <w:r>
              <w:rPr/>
              <w:t>2023</w:t>
            </w:r>
          </w:p>
        </w:tc>
        <w:tc>
          <w:tcPr>
            <w:tcW w:w="60" w:type="dxa"/>
            <w:tcBorders>
              <w:bottom w:val="single" w:sz="8" w:space="0" w:color="000000"/>
            </w:tcBorders>
            <w:tcMar>
              <w:top w:w="0" w:type="dxa"/>
            </w:tcMar>
            <w:vAlign w:val="center"/>
          </w:tcPr>
          <w:p>
            <w:pPr>
              <w:pStyle w:val="TableContents"/>
              <w:bidi w:val="0"/>
              <w:spacing w:before="0" w:after="283"/>
              <w:jc w:val="righ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060" w:type="dxa"/>
            <w:gridSpan w:val="2"/>
            <w:tcBorders>
              <w:bottom w:val="single" w:sz="8" w:space="0" w:color="000000"/>
            </w:tcBorders>
            <w:tcMar>
              <w:top w:w="0" w:type="dxa"/>
            </w:tcMar>
            <w:vAlign w:val="center"/>
          </w:tcPr>
          <w:p>
            <w:pPr>
              <w:pStyle w:val="TableContents"/>
              <w:bidi w:val="0"/>
              <w:spacing w:before="0" w:after="283"/>
              <w:jc w:val="right"/>
              <w:rPr/>
            </w:pPr>
            <w:r>
              <w:rPr/>
              <w:t>2022</w:t>
            </w:r>
          </w:p>
        </w:tc>
        <w:tc>
          <w:tcPr>
            <w:tcW w:w="75" w:type="dxa"/>
            <w:tcBorders>
              <w:bottom w:val="single" w:sz="8" w:space="0" w:color="000000"/>
            </w:tcBorders>
            <w:tcMar>
              <w:top w:w="0" w:type="dxa"/>
            </w:tcMar>
            <w:vAlign w:val="center"/>
          </w:tcPr>
          <w:p>
            <w:pPr>
              <w:pStyle w:val="TableContents"/>
              <w:bidi w:val="0"/>
              <w:spacing w:before="0" w:after="283"/>
              <w:jc w:val="right"/>
              <w:rPr/>
            </w:pPr>
            <w:r>
              <w:rPr/>
              <w:t> </w:t>
            </w:r>
          </w:p>
        </w:tc>
      </w:tr>
      <w:tr>
        <w:trPr/>
        <w:tc>
          <w:tcPr>
            <w:tcW w:w="2240" w:type="dxa"/>
            <w:tcBorders/>
            <w:shd w:fill="CCEEFF" w:val="clear"/>
            <w:tcMar>
              <w:top w:w="0" w:type="dxa"/>
              <w:bottom w:w="0" w:type="dxa"/>
            </w:tcMar>
            <w:vAlign w:val="center"/>
          </w:tcPr>
          <w:p>
            <w:pPr>
              <w:pStyle w:val="TableContents"/>
              <w:bidi w:val="0"/>
              <w:spacing w:before="0" w:after="283"/>
              <w:jc w:val="left"/>
              <w:rPr/>
            </w:pPr>
            <w:r>
              <w:rPr/>
              <w:t>Value of Bitcoin held</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40" w:type="dxa"/>
            <w:tcBorders/>
            <w:shd w:fill="CCEEFF" w:val="clear"/>
            <w:tcMar>
              <w:top w:w="0" w:type="dxa"/>
              <w:bottom w:w="0" w:type="dxa"/>
            </w:tcMar>
            <w:vAlign w:val="center"/>
          </w:tcPr>
          <w:p>
            <w:pPr>
              <w:pStyle w:val="TableContents"/>
              <w:bidi w:val="0"/>
              <w:spacing w:before="0" w:after="283"/>
              <w:jc w:val="left"/>
              <w:rPr/>
            </w:pPr>
            <w:r>
              <w:rPr/>
              <w:t>$</w:t>
            </w:r>
          </w:p>
        </w:tc>
        <w:tc>
          <w:tcPr>
            <w:tcW w:w="113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120.1 million</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40" w:type="dxa"/>
            <w:tcBorders/>
            <w:shd w:fill="CCEEFF" w:val="clear"/>
            <w:tcMar>
              <w:top w:w="0" w:type="dxa"/>
              <w:bottom w:w="0" w:type="dxa"/>
            </w:tcMar>
            <w:vAlign w:val="center"/>
          </w:tcPr>
          <w:p>
            <w:pPr>
              <w:pStyle w:val="TableContents"/>
              <w:bidi w:val="0"/>
              <w:spacing w:before="0" w:after="283"/>
              <w:jc w:val="left"/>
              <w:rPr/>
            </w:pPr>
            <w:r>
              <w:rPr/>
              <w:t>$</w:t>
            </w:r>
          </w:p>
        </w:tc>
        <w:tc>
          <w:tcPr>
            <w:tcW w:w="1025"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 million</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40" w:type="dxa"/>
            <w:tcBorders/>
            <w:shd w:fill="CCEEFF" w:val="clear"/>
            <w:tcMar>
              <w:top w:w="0" w:type="dxa"/>
              <w:bottom w:w="0" w:type="dxa"/>
            </w:tcMar>
            <w:vAlign w:val="center"/>
          </w:tcPr>
          <w:p>
            <w:pPr>
              <w:pStyle w:val="TableContents"/>
              <w:bidi w:val="0"/>
              <w:spacing w:before="0" w:after="283"/>
              <w:jc w:val="left"/>
              <w:rPr/>
            </w:pPr>
            <w:r>
              <w:rPr/>
              <w:t>$</w:t>
            </w:r>
          </w:p>
        </w:tc>
        <w:tc>
          <w:tcPr>
            <w:tcW w:w="92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 million</w:t>
            </w:r>
          </w:p>
        </w:tc>
        <w:tc>
          <w:tcPr>
            <w:tcW w:w="75" w:type="dxa"/>
            <w:tcBorders/>
            <w:shd w:fill="CCEEFF" w:val="clear"/>
            <w:tcMar>
              <w:top w:w="0" w:type="dxa"/>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shd w:fill="FFFFFF" w:val="clear"/>
            <w:tcMar>
              <w:top w:w="0" w:type="dxa"/>
            </w:tcMar>
            <w:vAlign w:val="center"/>
          </w:tcPr>
          <w:p>
            <w:pPr>
              <w:pStyle w:val="TableContents"/>
              <w:bidi w:val="0"/>
              <w:spacing w:before="0" w:after="283"/>
              <w:jc w:val="left"/>
              <w:rPr/>
            </w:pPr>
            <w:r>
              <w:rPr/>
              <w:t>Market price of Bitcoin</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top w:w="0"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top w:w="0" w:type="dxa"/>
            </w:tcMar>
            <w:vAlign w:val="center"/>
          </w:tcPr>
          <w:p>
            <w:pPr>
              <w:pStyle w:val="TableContents"/>
              <w:bidi w:val="0"/>
              <w:spacing w:before="0" w:after="283"/>
              <w:jc w:val="right"/>
              <w:rPr/>
            </w:pPr>
            <w:r>
              <w:rPr/>
              <w:t>93,400</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top w:w="0" w:type="dxa"/>
            </w:tcMar>
            <w:vAlign w:val="center"/>
          </w:tcPr>
          <w:p>
            <w:pPr>
              <w:pStyle w:val="TableContents"/>
              <w:bidi w:val="0"/>
              <w:spacing w:before="0" w:after="283"/>
              <w:jc w:val="left"/>
              <w:rPr/>
            </w:pPr>
            <w:r>
              <w:rPr/>
              <w:t>$</w:t>
            </w:r>
          </w:p>
        </w:tc>
        <w:tc>
          <w:tcPr>
            <w:tcW w:w="1025" w:type="dxa"/>
            <w:tcBorders>
              <w:bottom w:val="single" w:sz="8" w:space="0" w:color="000000"/>
            </w:tcBorders>
            <w:shd w:fill="FFFFFF" w:val="clear"/>
            <w:tcMar>
              <w:top w:w="0" w:type="dxa"/>
            </w:tcMar>
            <w:vAlign w:val="center"/>
          </w:tcPr>
          <w:p>
            <w:pPr>
              <w:pStyle w:val="TableContents"/>
              <w:bidi w:val="0"/>
              <w:spacing w:before="0" w:after="283"/>
              <w:jc w:val="right"/>
              <w:rPr/>
            </w:pPr>
            <w:r>
              <w:rPr/>
              <w:t>42,300</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top w:w="0" w:type="dxa"/>
            </w:tcMar>
            <w:vAlign w:val="center"/>
          </w:tcPr>
          <w:p>
            <w:pPr>
              <w:pStyle w:val="TableContents"/>
              <w:bidi w:val="0"/>
              <w:spacing w:before="0" w:after="283"/>
              <w:jc w:val="left"/>
              <w:rPr/>
            </w:pPr>
            <w:r>
              <w:rPr/>
              <w:t>$</w:t>
            </w:r>
          </w:p>
        </w:tc>
        <w:tc>
          <w:tcPr>
            <w:tcW w:w="920" w:type="dxa"/>
            <w:tcBorders>
              <w:bottom w:val="single" w:sz="8" w:space="0" w:color="000000"/>
            </w:tcBorders>
            <w:shd w:fill="FFFFFF" w:val="clear"/>
            <w:tcMar>
              <w:top w:w="0" w:type="dxa"/>
            </w:tcMar>
            <w:vAlign w:val="center"/>
          </w:tcPr>
          <w:p>
            <w:pPr>
              <w:pStyle w:val="TableContents"/>
              <w:bidi w:val="0"/>
              <w:spacing w:before="0" w:after="283"/>
              <w:jc w:val="right"/>
              <w:rPr/>
            </w:pPr>
            <w:r>
              <w:rPr/>
              <w:t>16,500</w:t>
            </w:r>
          </w:p>
        </w:tc>
        <w:tc>
          <w:tcPr>
            <w:tcW w:w="75"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3.17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and its subsidiaries had 197 employee positions on a global basis. The following table sets out the employees by department:</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33" w:type="dxa"/>
          <w:left w:w="0" w:type="dxa"/>
          <w:bottom w:w="28" w:type="dxa"/>
          <w:right w:w="0" w:type="dxa"/>
        </w:tblCellMar>
      </w:tblPr>
      <w:tblGrid>
        <w:gridCol w:w="6845"/>
        <w:gridCol w:w="965"/>
      </w:tblGrid>
      <w:tr>
        <w:trPr/>
        <w:tc>
          <w:tcPr>
            <w:tcW w:w="684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Department</w:t>
            </w:r>
          </w:p>
        </w:tc>
        <w:tc>
          <w:tcPr>
            <w:tcW w:w="965" w:type="dxa"/>
            <w:tcBorders>
              <w:top w:val="single" w:sz="8" w:space="0" w:color="000000"/>
              <w:bottom w:val="single" w:sz="8" w:space="0" w:color="000000"/>
            </w:tcBorders>
            <w:tcMar>
              <w:top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Employees</w:t>
            </w:r>
          </w:p>
        </w:tc>
      </w:tr>
      <w:tr>
        <w:trPr/>
        <w:tc>
          <w:tcPr>
            <w:tcW w:w="6845" w:type="dxa"/>
            <w:tcBorders/>
            <w:shd w:fill="CCEE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&amp; Infrastructure</w:t>
            </w:r>
          </w:p>
        </w:tc>
        <w:tc>
          <w:tcPr>
            <w:tcW w:w="965"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6845" w:type="dxa"/>
            <w:tcBorders/>
            <w:shd w:fill="FFFF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Operations – Site &amp; Project Managers</w:t>
            </w:r>
          </w:p>
        </w:tc>
        <w:tc>
          <w:tcPr>
            <w:tcW w:w="965"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6845" w:type="dxa"/>
            <w:tcBorders/>
            <w:shd w:fill="CCEE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Operations – Technicians</w:t>
            </w:r>
          </w:p>
        </w:tc>
        <w:tc>
          <w:tcPr>
            <w:tcW w:w="965"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6845" w:type="dxa"/>
            <w:tcBorders>
              <w:bottom w:val="single" w:sz="8"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Development, Finance, Administration, Investors Relations and Marketing</w:t>
            </w:r>
          </w:p>
        </w:tc>
        <w:tc>
          <w:tcPr>
            <w:tcW w:w="965"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6845"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Sub-Total</w:t>
            </w:r>
          </w:p>
        </w:tc>
        <w:tc>
          <w:tcPr>
            <w:tcW w:w="965"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r>
      <w:tr>
        <w:trPr/>
        <w:tc>
          <w:tcPr>
            <w:tcW w:w="6845"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Volta</w:t>
            </w:r>
          </w:p>
        </w:tc>
        <w:tc>
          <w:tcPr>
            <w:tcW w:w="965"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6845"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965"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Following Stronghold acquisition on March 14, 2025, 121 employees joined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 INTANGIBLE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continually invests in improvements to its proprietary software called MGMT-2. The source code used to operate the farms is owned by the Company and is in its possession and held in a private account. No patents have been registered on the software and no applications have been made to register or otherwise protect copyrights in the software or its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3.19 BANKRUPTCY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bankruptcies, receivership, or similar proceedings against Bitfarms or its respective subsidiaries, whether voluntary or otherwise, since incorporation and, to the knowledge of management, there are no such contingent or threatened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 SPECIALIZED SKILL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the specialized skills and industry expertise of its leadership team are essential to achieving success in cryptocurrency mining and blockchain technology. The individuals below contribute exceptional and invaluable knowledge to the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Gagnon’s industry expertise in cryptocurrency mining is comprehensive and multifaceted. He has hands-on experience in both small-scale and commercial mining operations, having founded and led two Bitcoin mining companies prior to joining the Company. His skills encompass hardware deployment, energy optimization, mining economics, and miner portfolio management. Ben’s experience operating mining Data Centers in China since 2015 provided him with valuable insights into the industry’s early challenges. His proficiency extends to energy infrastructure optimization and the integration of renewable energy solutions. Additionally, Ben has contributed to shaping industry standards through his roles in the Canadian Blockchain Consortium including in its Infrastructure Committee and the Bitcoin Mining Council, demonstrating his ability to blend technical knowledge with strategic business acumen.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Fanny Philip is a reco</w:t>
      </w:r>
      <w:r>
        <w:rPr>
          <w:rFonts w:ascii="Times New Roman;Times;Serif" w:hAnsi="Times New Roman;Times;Serif"/>
          <w:b w:val="false"/>
          <w:i w:val="false"/>
          <w:caps w:val="false"/>
          <w:smallCaps w:val="false"/>
          <w:sz w:val="20"/>
          <w:shd w:fill="FFFFFF" w:val="clear"/>
        </w:rPr>
        <w:t>gnized leader in the Digital Assets, Energy and Infrastructure ecosystem since 2019. Her extensive knowledge and deep understanding of these fields is crucial to the Company navigating the complex intersection of innovative technology and financial systems. Fanny is a member of the Canadian Blockchain Consortium’s Infrastructure committee and the President of its Quebec charter since 2022 inception. She was rewarded as one of the ’‘Most Inspirational Women in Web3 &amp; AI’’ (2024) by Forbes Web3, 100 Davos Women and World Leaders in Data and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Andrew J. Chang is a cryptocurrency industry expert with a 20-year career in technology and blockchain, including his crucial role in the launching of Paxos Trust Company LLC., th</w:t>
      </w:r>
      <w:r>
        <w:rPr>
          <w:rFonts w:ascii="Times New Roman;Times;Serif" w:hAnsi="Times New Roman;Times;Serif"/>
          <w:b w:val="false"/>
          <w:i w:val="false"/>
          <w:caps w:val="false"/>
          <w:smallCaps w:val="false"/>
          <w:sz w:val="20"/>
        </w:rPr>
        <w:t>e first regulated blockchain-focused trust company and blockchain infrastructure platform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GENERAL DEVELOPMENT OF THE BUSINESS</w:t>
      </w:r>
    </w:p>
    <w:p>
      <w:pPr>
        <w:pStyle w:val="TextBody"/>
        <w:bidi w:val="0"/>
        <w:spacing w:before="0" w:after="0"/>
        <w:ind w:left="2" w:right="0" w:hanging="0"/>
        <w:jc w:val="both"/>
        <w:rPr>
          <w:caps w:val="false"/>
          <w:smallCaps w:val="false"/>
        </w:rPr>
      </w:pPr>
      <w:r>
        <w:rPr>
          <w:caps w:val="false"/>
          <w:smallCaps w:val="false"/>
        </w:rPr>
        <w:t> </w:t>
      </w:r>
    </w:p>
    <w:tbl>
      <w:tblPr>
        <w:tblW w:w="1220" w:type="dxa"/>
        <w:jc w:val="left"/>
        <w:tblInd w:w="0" w:type="dxa"/>
        <w:tblLayout w:type="fixed"/>
        <w:tblCellMar>
          <w:top w:w="33" w:type="dxa"/>
          <w:left w:w="0" w:type="dxa"/>
          <w:bottom w:w="28" w:type="dxa"/>
          <w:right w:w="0" w:type="dxa"/>
        </w:tblCellMar>
      </w:tblPr>
      <w:tblGrid>
        <w:gridCol w:w="1220"/>
      </w:tblGrid>
      <w:tr>
        <w:trPr/>
        <w:tc>
          <w:tcPr>
            <w:tcW w:w="122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FISCAL 2022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highlights relating to the development of the Company’s business over the past three years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Board and Management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Fiscal 2022, the following changes to the Board and Management were made: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On February 14, 2022, the Company announced the addition of three executives for newly created positions. Philippe Fortier was appointed Vice President, Special Projects; Andrea Keen was appointed Vice President of Human Resources; and Stephanie Wargo was appointed Vice President of Marketing &amp; Communications.</w:t>
            </w:r>
          </w:p>
        </w:tc>
      </w:tr>
    </w:tbl>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w:t>
            </w:r>
          </w:p>
        </w:tc>
        <w:tc>
          <w:tcPr>
            <w:tcW w:w="9979" w:type="dxa"/>
            <w:tcBorders/>
            <w:vAlign w:val="center"/>
          </w:tcPr>
          <w:p>
            <w:pPr>
              <w:pStyle w:val="TableContents"/>
              <w:bidi w:val="0"/>
              <w:spacing w:before="0" w:after="283"/>
              <w:jc w:val="both"/>
              <w:rPr/>
            </w:pPr>
            <w:r>
              <w:rPr/>
              <w:t>On May 15, 2022, Nathaniel Port resigned as Senior Vice President of Finance and Accounting.</w:t>
            </w:r>
          </w:p>
        </w:tc>
      </w:tr>
    </w:tbl>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both"/>
              <w:rPr/>
            </w:pPr>
            <w:r>
              <w:rPr/>
              <w:t>●</w:t>
            </w:r>
          </w:p>
        </w:tc>
        <w:tc>
          <w:tcPr>
            <w:tcW w:w="9993" w:type="dxa"/>
            <w:tcBorders/>
            <w:vAlign w:val="center"/>
          </w:tcPr>
          <w:p>
            <w:pPr>
              <w:pStyle w:val="TableContents"/>
              <w:bidi w:val="0"/>
              <w:spacing w:before="0" w:after="283"/>
              <w:jc w:val="both"/>
              <w:rPr/>
            </w:pPr>
            <w:r>
              <w:rPr/>
              <w:t>On May 16, 2022, Marc-André Ammann was appointed as Vice President of Finance and Accounting.</w:t>
            </w:r>
          </w:p>
        </w:tc>
      </w:tr>
    </w:tbl>
    <w:tbl>
      <w:tblPr>
        <w:tblW w:w="5000" w:type="pct"/>
        <w:jc w:val="left"/>
        <w:tblInd w:w="0" w:type="dxa"/>
        <w:tblLayout w:type="fixed"/>
        <w:tblCellMar>
          <w:top w:w="0" w:type="dxa"/>
          <w:left w:w="0" w:type="dxa"/>
          <w:bottom w:w="0" w:type="dxa"/>
          <w:right w:w="0" w:type="dxa"/>
        </w:tblCellMar>
      </w:tblPr>
      <w:tblGrid>
        <w:gridCol w:w="50"/>
        <w:gridCol w:w="226"/>
        <w:gridCol w:w="9929"/>
      </w:tblGrid>
      <w:tr>
        <w:trPr/>
        <w:tc>
          <w:tcPr>
            <w:tcW w:w="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pPr>
            <w:r>
              <w:rPr/>
              <w:t>●</w:t>
            </w:r>
          </w:p>
        </w:tc>
        <w:tc>
          <w:tcPr>
            <w:tcW w:w="9929" w:type="dxa"/>
            <w:tcBorders/>
            <w:vAlign w:val="center"/>
          </w:tcPr>
          <w:p>
            <w:pPr>
              <w:pStyle w:val="TableContents"/>
              <w:bidi w:val="0"/>
              <w:spacing w:before="0" w:after="283"/>
              <w:jc w:val="both"/>
              <w:rPr/>
            </w:pPr>
            <w:r>
              <w:rPr/>
              <w:t>On May 24, 2022, Paul Magrath was appointed as Vice President of Taxation.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On November 17, 2022, the Company announced the addition of Edith Hofmeister to the Board, bringing the total number of directors to six.</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On December 29, 2022, Emiliano Grodzki resigned as CEO and remained as non-executive member of the Board of Directors. Geoffrey Morphy was promoted from President and Chief Operating Officer to the position of President and Chief Executive Officer. The Company also announced that Nicolas Bonta has shifted from the position of Executive Chairman to the role of Chairman of the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At-the-market equity offering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2022, the Company issued a total of 29,324,277 Common Shares, in exchange for US$54.1 million of net proceeds, through the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February 24, 2022, the Comp</w:t>
      </w:r>
      <w:r>
        <w:rPr>
          <w:rFonts w:ascii="Times New Roman;Times;Serif" w:hAnsi="Times New Roman;Times;Serif"/>
          <w:b w:val="false"/>
          <w:i w:val="false"/>
          <w:caps w:val="false"/>
          <w:smallCaps w:val="false"/>
          <w:sz w:val="20"/>
        </w:rPr>
        <w:t xml:space="preserve">any secured a US$32 million credit facility with </w:t>
      </w:r>
      <w:r>
        <w:rPr>
          <w:rFonts w:ascii="Times New Roman;Times;Serif" w:hAnsi="Times New Roman;Times;Serif"/>
          <w:b w:val="false"/>
          <w:i w:val="false"/>
          <w:caps w:val="false"/>
          <w:smallCaps w:val="false"/>
          <w:sz w:val="20"/>
          <w:shd w:fill="FFFFFF" w:val="clear"/>
        </w:rPr>
        <w:t xml:space="preserve">a private lender (the ” </w:t>
      </w:r>
      <w:r>
        <w:rPr>
          <w:rFonts w:ascii="Times New Roman;Times;Serif" w:hAnsi="Times New Roman;Times;Serif"/>
          <w:b/>
          <w:i w:val="false"/>
          <w:caps w:val="false"/>
          <w:smallCaps w:val="false"/>
          <w:sz w:val="20"/>
          <w:shd w:fill="FFFFFF" w:val="clear"/>
        </w:rPr>
        <w:t>BlockFi Loan</w:t>
      </w:r>
      <w:r>
        <w:rPr>
          <w:rFonts w:ascii="Times New Roman;Times;Serif" w:hAnsi="Times New Roman;Times;Serif"/>
          <w:b w:val="false"/>
          <w:i w:val="false"/>
          <w:caps w:val="false"/>
          <w:smallCaps w:val="false"/>
          <w:sz w:val="20"/>
          <w:shd w:fill="FFFFFF" w:val="clear"/>
        </w:rPr>
        <w:t xml:space="preserve">”). The BlockFi Loan Facility had a 24-month term at an </w:t>
      </w:r>
      <w:r>
        <w:rPr>
          <w:rFonts w:ascii="Times New Roman;Times;Serif" w:hAnsi="Times New Roman;Times;Serif"/>
          <w:b w:val="false"/>
          <w:i w:val="false"/>
          <w:caps w:val="false"/>
          <w:smallCaps w:val="false"/>
          <w:sz w:val="20"/>
        </w:rPr>
        <w:t>interest rate of 14.5 % per annum and was secured by approximately 6,100 Bitmain S19j Pro Miners. The BlockFi Loan Facility was used for general corporate purposes and for the Company’s global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2022, the Company made an additional draw of US$40 million from its December 2021 Debt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2022, the Company entered into an equipment financing agreement with NYDIG ABL LLC (“</w:t>
      </w:r>
      <w:r>
        <w:rPr>
          <w:rFonts w:ascii="Times New Roman;Times;Serif" w:hAnsi="Times New Roman;Times;Serif"/>
          <w:b/>
          <w:i w:val="false"/>
          <w:caps w:val="false"/>
          <w:smallCaps w:val="false"/>
          <w:sz w:val="20"/>
        </w:rPr>
        <w:t>NYDIG</w:t>
      </w:r>
      <w:r>
        <w:rPr>
          <w:rFonts w:ascii="Times New Roman;Times;Serif" w:hAnsi="Times New Roman;Times;Serif"/>
          <w:b w:val="false"/>
          <w:i w:val="false"/>
          <w:caps w:val="false"/>
          <w:smallCaps w:val="false"/>
          <w:sz w:val="20"/>
        </w:rPr>
        <w:t>”) which provided for initial funding of US$37 million at an interest rate of 12% per annum (the “</w:t>
      </w:r>
      <w:r>
        <w:rPr>
          <w:rFonts w:ascii="Times New Roman;Times;Serif" w:hAnsi="Times New Roman;Times;Serif"/>
          <w:b/>
          <w:i w:val="false"/>
          <w:caps w:val="false"/>
          <w:smallCaps w:val="false"/>
          <w:sz w:val="20"/>
        </w:rPr>
        <w:t>NYDIG Loan</w:t>
      </w:r>
      <w:r>
        <w:rPr>
          <w:rFonts w:ascii="Times New Roman;Times;Serif" w:hAnsi="Times New Roman;Times;Serif"/>
          <w:b w:val="false"/>
          <w:i w:val="false"/>
          <w:caps w:val="false"/>
          <w:smallCaps w:val="false"/>
          <w:sz w:val="20"/>
        </w:rPr>
        <w:t>”). The NYDIG Loan was collateralized by 10,395 WhatsMiner M30S Miners at Leger and the Bunker, funded as the assets were installed and became operational.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2022, the Company announced that it had reduced the December 2021 Debt Facility from US$100 million to US$66 million, funded through the sale of 1,500 BTC.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2022, the Company amended its December 2021 Debt Facility and extended its maturity date to October 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2022, the Company amended its December 2021 Debt Facility and extended its maturity date from October 1, 2022, to December 29, 2022, and reduced the collateral requirement from 143% to 135%, for a maximum of US$40 million at an interest rate of 11.25%. The December 2021 Debt Facility was fully repaid in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Foundry Loan #1 matured and was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TSX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2022, the Company announced that it had received final approval for the uplisting of its Common Shares to trade on the TSX. The Common Shares commenced trading on the TSX under the symbol “BITF” effective market open on April 8, 2022, and were concurrently delisted from the TSXV.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 IR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Compan</w:t>
      </w:r>
      <w:r>
        <w:rPr>
          <w:rFonts w:ascii="Times New Roman;Times;Serif" w:hAnsi="Times New Roman;Times;Serif"/>
          <w:b w:val="false"/>
          <w:i w:val="false"/>
          <w:caps w:val="false"/>
          <w:smallCaps w:val="false"/>
          <w:sz w:val="20"/>
          <w:shd w:fill="FFFFFF" w:val="clear"/>
        </w:rPr>
        <w:t>y extended the LHA IR Agreement for an indefinite p</w:t>
      </w:r>
      <w:r>
        <w:rPr>
          <w:rFonts w:ascii="Times New Roman;Times;Serif" w:hAnsi="Times New Roman;Times;Serif"/>
          <w:b w:val="false"/>
          <w:i w:val="false"/>
          <w:caps w:val="false"/>
          <w:smallCaps w:val="false"/>
          <w:sz w:val="20"/>
        </w:rPr>
        <w:t>eriod, under the same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 Digital Asset Management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the Board authorized management to purchase 1,000 BTC for US$43.2 million, increasing the Company’s BTC holdings by approximately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21, 2022, the Company announced that it had adjusted its Digital Asset Management Program to improve liquidity and strengthen its balance sheet. During the second and third quarter of 2022, the Company sold 3,670 BTC in collateral to partially pay the December 2021 Credit Facility. During the same period the Company also sold 2,275 BTC in treasury to manage liquidity levels. Since August 2022, the Company started selling almost all of its daily BTC Mining production, and as of December 31, 2022, held 405 BTC valued at approximately US$6.7 million based on a BTC price of approximately US$16,500 as of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 Canada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 xml:space="preserve">Quebec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March 11, 2022, the Company acquired a building in Sherbrooke to accommodate 18 MW of electrical infrastruct</w:t>
      </w:r>
      <w:r>
        <w:rPr>
          <w:rFonts w:ascii="Times New Roman;Times;Serif" w:hAnsi="Times New Roman;Times;Serif"/>
          <w:b w:val="false"/>
          <w:i w:val="false"/>
          <w:caps w:val="false"/>
          <w:smallCaps w:val="false"/>
          <w:sz w:val="20"/>
        </w:rPr>
        <w:t>ure. Garlock was expected to be completed in two phases.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2022, the Company began operations in Phase one of the Bunker. In 2021, the Company entered into a lease agreement for the Bunker, an existing building in Sherbrooke capable of housing up to 48 MW of electrical infrastructure, which was completed in three stages: Phase one, representing 18 MW housed in the pre-existing building with operation expected to begin in June 2022; Phase two, representing 18 MW, in a portion of the building under construction and expected to start operation by June 2022; and Phase three, representing 12 MW, in a portion of the building under construction and expected to start operation by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2022, the Company began operations at Leger in Sherbrooke, bringing the total operational hashrate to 3 EH/s. The Company entered into a lease agreement in September 2021 for the purpose of building Leger, representing 30 MW of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2022, the Company announced that it had completed the second phase of its expansion of the Bunker, bringing the total operational hashrate to 3.8 EH/s.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December 2022, the remaining phases of the Bunker (6 MW) and Garlock (12 MW) farms in Sherbrooke, were energized, reaching their full capacity of 48 MW and 18 MW, respectively, which represented the completion of the Sherbrooke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2022, the Company announced that it had completed the sale of the De la Pointe Property, receiving US$3.6 million in net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United States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State of Washington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second quarter of 2022, the Company added 3 MW of electrical infrastructure and started operating approximately 20 MW of electrical infrastructure with the majority of the Company’s Antminer S19j Pro Miners generating approximately 600 PH/s in this Data Center. As of December 31, 2022, the Company had an application pending for an additional 6 MW, which was originally expected to be energized before the end of Fiscal 2022. An additional 3 MW in process application is estimated to be energized after 2027 due to the nearby substation being at full capacity. </w:t>
      </w:r>
      <w:r>
        <w:rPr>
          <w:rFonts w:ascii="Times New Roman;Times;Serif" w:hAnsi="Times New Roman;Times;Serif"/>
          <w:b w:val="false"/>
          <w:i/>
          <w:caps w:val="false"/>
          <w:smallCaps w:val="false"/>
          <w:sz w:val="20"/>
        </w:rPr>
        <w:t>See Section 5.3 - FUTURE GROWTH PLANS - UNITED STATES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 Argentina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2022, the Company announced commencement of operations at the first 10 MW module of its 50 MW warehouse in Rio Cuarto, Argentina, increasing the total number of farms operated by the Company to ten and the total operational hashrate to 4.1 EH/s. </w:t>
      </w:r>
      <w:r>
        <w:rPr>
          <w:rFonts w:ascii="Times New Roman;Times;Serif" w:hAnsi="Times New Roman;Times;Serif"/>
          <w:b w:val="false"/>
          <w:i/>
          <w:caps w:val="false"/>
          <w:smallCaps w:val="false"/>
          <w:sz w:val="20"/>
        </w:rPr>
        <w:t xml:space="preserve">See Section 5.6 - FUTURE GROWTH PLANS - ARGENTINA EXPANSION.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construction of all 5 MW modules at the 50 MW warehouse had been completed and commissioning was underway.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 Paraguay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the Villarrica Data Center became operational with the installation of 2,900 of the Company’s older generation Miners relocated from Quebec and generating approximately 125 PH/s. On February 1, 2022, the Company announced commencement of 10 MW operations at the Villarrica Data Center, increasing the total farms operated by the Company from six to seven and total Mining capacity to 116 MW. See Section 5.4 - FUTURE GROWTH PLANS - PARAGUAY EXPANSION.</w:t>
      </w:r>
    </w:p>
    <w:p>
      <w:pPr>
        <w:pStyle w:val="TextBody"/>
        <w:bidi w:val="0"/>
        <w:spacing w:before="0" w:after="0"/>
        <w:ind w:left="0" w:right="0" w:hanging="0"/>
        <w:jc w:val="both"/>
        <w:rPr>
          <w:caps w:val="false"/>
          <w:smallCaps w:val="false"/>
        </w:rPr>
      </w:pPr>
      <w:r>
        <w:rPr>
          <w:caps w:val="false"/>
          <w:smallCaps w:val="false"/>
        </w:rPr>
        <w:t> </w:t>
      </w:r>
    </w:p>
    <w:tbl>
      <w:tblPr>
        <w:tblW w:w="1265" w:type="dxa"/>
        <w:jc w:val="left"/>
        <w:tblInd w:w="0" w:type="dxa"/>
        <w:tblLayout w:type="fixed"/>
        <w:tblCellMar>
          <w:top w:w="33" w:type="dxa"/>
          <w:left w:w="0" w:type="dxa"/>
          <w:bottom w:w="28" w:type="dxa"/>
          <w:right w:w="0" w:type="dxa"/>
        </w:tblCellMar>
      </w:tblPr>
      <w:tblGrid>
        <w:gridCol w:w="1265"/>
      </w:tblGrid>
      <w:tr>
        <w:trPr/>
        <w:tc>
          <w:tcPr>
            <w:tcW w:w="126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FISCAL 2023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Management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2023, the following changes to the Management had been made: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both"/>
              <w:rPr/>
            </w:pPr>
            <w:r>
              <w:rPr/>
              <w:t>On January 1, 2023, Jeff Gao was appointed as Vice President of Risk Management.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December 11, 2023, Guillaume Reeves was appointed Vice President of IT, Mr. Reeves is one of the most longstanding employees of the Company and had previously occupied the position of Director of IT.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December 29, 2023, Tracy Krumme was appointed Senior Vice President, Investor Relations and Corporate Communications.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At-the-market equity offering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2023, the Company issued 52,120,899 common shares in the ATM program in exchange for gross proceeds of US$70.8 million at an average share price of approximately $1.36. The Company received net proceeds of US$68.5 million after paying commissions of US$2.2 million to the sales agent for the program and $0.1 million in other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expired on September 12, 2023.</w:t>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the principal amount of the remaining Foundry Loans #2, #3 and #4, entered into in May 2021, were fully repaid before their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2023, the Company announced that it was working to modify and reduce indebtedness of the BlockFi Loan Facility. In connection with this, the Company announced it had taken certain actions, including not making installment payments. This constituted a default under the BlockFi Loan Facility and entitled the lender to exercise various rights and remedies against the Company and in respect of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2023, the Company negotiated a settlement of its BlockFi Loan Facility with an outstanding debt balance of US$20.3 million for a payment of US$7.8 million in cash. Upon settlement, the 6,100 Bitmain S19j Pro Miners that secured the BlockFi Loan Facility became unencumbered.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Digital Asset Management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BTC, while the Company continued to earn BTC, resulted in total holdings of 804 BTC as of December 31, 2023, valued at approximately US$34.0 million based on a BTC price of approximately US$42,300 as of December 31, 2023.</w:t>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 Canada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Quebec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5, 2023, the Company acquired 100% of the shares of a corporation that owns the right to 22 MW of hydro power capacity in the City of Baie-Comeau. In addition, the Company entered into a lease agreement for a Data Center to operate the acquired capacity. Following the closing of the acquisition, the Company immediately commenced production at Baie-Comeau with an initial 3 MW online. The Company fully energized the 11 MW Baie-Comeau Data Center on October 20, 2023. </w:t>
      </w:r>
      <w:r>
        <w:rPr>
          <w:rFonts w:ascii="Times New Roman;Times;Serif" w:hAnsi="Times New Roman;Times;Serif"/>
          <w:b w:val="false"/>
          <w:i/>
          <w:caps w:val="false"/>
          <w:smallCaps w:val="false"/>
          <w:sz w:val="20"/>
        </w:rPr>
        <w:t>See Section 5.5 - FUTURE GROWTH PLANS - CANADA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 United States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 of Washington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received approval from the power supplier for the 6 MW application that was pending as of December 31, 2022. Subject to completion of the construction of required civil work for the deployment of the additional Mining capacity, the 6 MW is expected to be operated in the first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began the construction of another Data Center on Company-owned 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after obtaining lower results than expected, both in terms of performance and costs, the Company de-energized its 2 MW containerized immersion cooling pilot project. </w:t>
      </w:r>
      <w:r>
        <w:rPr>
          <w:rFonts w:ascii="Times New Roman;Times;Serif" w:hAnsi="Times New Roman;Times;Serif"/>
          <w:b w:val="false"/>
          <w:i/>
          <w:caps w:val="false"/>
          <w:smallCaps w:val="false"/>
          <w:sz w:val="20"/>
        </w:rPr>
        <w:t>See Section 5.3 - FUTURE GROWTH PLANS - UNITED STATES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 Argentina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private power producer obtained permits to provide the Company with up to 100 MW. During the same month, testing of the Rio Cuarto substation was completed, and with the energization of 2,100 Miners in the Rio Cuarto Data Center, the Company reached 5 EH/s of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Q2 2023, approximately 5,100 new M30S WhatsMiner Miners were installed in the Rio Cuarto Data Center, increasing capacity by over 100% to 29 MW and added approximately 510 PH/s, bringing its total hashrate in that Data Center to approximately 700 PH/s. </w:t>
      </w:r>
      <w:r>
        <w:rPr>
          <w:rFonts w:ascii="Times New Roman;Times;Serif" w:hAnsi="Times New Roman;Times;Serif"/>
          <w:b w:val="false"/>
          <w:i/>
          <w:caps w:val="false"/>
          <w:smallCaps w:val="false"/>
          <w:sz w:val="20"/>
        </w:rPr>
        <w:t>See Section 5.6 - FUTURE GROWTH PLANS - ARGENTINA EXPANSION</w:t>
      </w:r>
      <w:r>
        <w:rPr>
          <w:rFonts w:ascii="Times New Roman;Times;Serif" w:hAnsi="Times New Roman;Times;Serif"/>
          <w:b/>
          <w:i/>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and September 2023, approximately 1,300 new M50 WhatsMiner Miners, 700 new S19j Pro Antminer Miners and 5,500 new S19j Pro+ Antminer Miners were installed, increasing the warehouse’s capacity to 51 MW and operational hashrate to 1.5 EH/s. Approximately 600 additional M50 WhatsMiner Miners and 200 new Bitmain S19j Pro+ Antminer Miners were installed in October 2023, further increasing the warehouse’s capacity to 54 MW and operational hashrate to 1.6 EH/s.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Company secured a fixed rate with the private Argentinian power producer to receive power at the Rio Cuarto Data Center at a fixed rate of 2.1 cents per kWh plus VAT for the months of November 2023 through April 2024, which is expected to significantly lower the Company’s blended cost of power at the Rio Cuarto Data Center to an average of 2.5 cents per kWh plus taxes for the first year of full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operated one 54 MW Data Center in Argentina.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 Paraguay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2023, all the older generation Miners in the Villarrica Data Center were replaced with approximately 3,000 new M30S WhatsMiner Miners generating approximately 290 PH/s, a 165 PH/s increase compared to the hashrate that was being produced by the older generation Miners. During the three months ended March 31, 2023, the Company sold the older generation Miners to a third party for approximately US$0.2 million. See </w:t>
      </w:r>
      <w:r>
        <w:rPr>
          <w:rFonts w:ascii="Times New Roman;Times;Serif" w:hAnsi="Times New Roman;Times;Serif"/>
          <w:b w:val="false"/>
          <w:i/>
          <w:caps w:val="false"/>
          <w:smallCaps w:val="false"/>
          <w:sz w:val="20"/>
        </w:rPr>
        <w:t>Section 5.4 - FUTURE GROWTH PLANS - PARAGUAY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acquired 100% of the shares of two corporations owning power purchase agreements in Paraguay for up to 150 MW of eco-friendly hydro power: one for up to 50 MW in Villarrica, in close proximity to the Company’s existing operations, and one for up to 100 MW in Yguazu, a new location close to the Itaipú dam, the third largest hydro-electric dam in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in anticipation of the construction of the new 50 MW operating Data Center in Villarrica, known as the “Paso Pe” Data Center, the Company placed orders using vendor credits for eight 2.4 MW hydro containers and approximately 1,900 hydro-cooled Miners capable of producing approximately 675 PH/s once installed.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construction commenced at the Paso Pe Data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announced that it had entered into an amended agreement for an additional 20 MW of energy at the Paso Pe Data Center, enabling an expansion at the Bitcoin Data Center from 50 MW to 70 MW, of which about 50 MW will be air cooled with remainder being hydro containers. The construction of the Paso Pe Data Center is expected to be completed before the end of the second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 Transformative Fleet Upgrade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Company announced that, as part of a comprehensive strategy to increase the </w:t>
      </w:r>
      <w:r>
        <w:rPr>
          <w:rFonts w:ascii="Times New Roman;Times;Serif" w:hAnsi="Times New Roman;Times;Serif"/>
          <w:b w:val="false"/>
          <w:i w:val="false"/>
          <w:caps w:val="false"/>
          <w:smallCaps w:val="false"/>
          <w:sz w:val="20"/>
          <w:shd w:fill="FFFFFF" w:val="clear"/>
        </w:rPr>
        <w:t>Company’s fleet efficiency and operating capacity, it placed a firm purchase order for 35,888 Bitmain T21 Miners totaling $95.5 million with deliveries scheduled from March 2024 to May 2024 and made a non-refundable deposit of $9.5 million (the “2023 Purchase Order”). In addition, the Company secured a purchase option for an additional 28,000 Bitmain T21 Miners totaling $74.5 million and made a non-refundable deposit of $7.4 million in respect to the purchase option (the “</w:t>
      </w:r>
      <w:r>
        <w:rPr>
          <w:rFonts w:ascii="Times New Roman;Times;Serif" w:hAnsi="Times New Roman;Times;Serif"/>
          <w:b/>
          <w:i w:val="false"/>
          <w:caps w:val="false"/>
          <w:smallCaps w:val="false"/>
          <w:sz w:val="20"/>
          <w:shd w:fill="FFFFFF" w:val="clear"/>
        </w:rPr>
        <w:t>2023 Purchase Option</w:t>
      </w:r>
      <w:r>
        <w:rPr>
          <w:rFonts w:ascii="Times New Roman;Times;Serif" w:hAnsi="Times New Roman;Times;Serif"/>
          <w:b w:val="false"/>
          <w:i w:val="false"/>
          <w:caps w:val="false"/>
          <w:smallCaps w:val="false"/>
          <w:sz w:val="20"/>
          <w:shd w:fill="FFFFFF" w:val="clear"/>
        </w:rPr>
        <w:t xml:space="preserve">”). The 2023 Purchase Option gave the Company the right until December 31, 2024, but not the obligation, to purchase, in whole or in part, up to an additional 28,000 Bitmain T21 Miners.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J. 2023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November 2023, the Company completed a private placement (the “</w:t>
      </w:r>
      <w:r>
        <w:rPr>
          <w:rFonts w:ascii="Times New Roman;Times;Serif" w:hAnsi="Times New Roman;Times;Serif"/>
          <w:b/>
          <w:i w:val="false"/>
          <w:caps w:val="false"/>
          <w:smallCaps w:val="false"/>
          <w:sz w:val="20"/>
          <w:shd w:fill="FFFFFF" w:val="clear"/>
        </w:rPr>
        <w:t>November 2023 Offering</w:t>
      </w:r>
      <w:r>
        <w:rPr>
          <w:rFonts w:ascii="Times New Roman;Times;Serif" w:hAnsi="Times New Roman;Times;Serif"/>
          <w:b w:val="false"/>
          <w:i w:val="false"/>
          <w:caps w:val="false"/>
          <w:smallCaps w:val="false"/>
          <w:sz w:val="20"/>
          <w:shd w:fill="FFFFFF" w:val="clear"/>
        </w:rPr>
        <w:t>”) for total gross proceeds of US$43.8 million (CAD$60.0 million) in exchange for 44,444,446 Common Shares and 22,222,223 Common Shares purchase warrants to purchase Common Shares at a price of CAD$1.35 for each share and associated one-half warrant. The funds were raised via a fully subscribed private placement of equity securities among U.S. institutional investors. H.C. Wainwright &amp; Co. acted as the exclusive placement agent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December 2023, 6,962,693 warrants and 2,306,667 broker warrants issued in the private placement that closed on November 28, 2023, were exercised, resulting in the issuance of 9,269,360 Common Shares for gross proceeds of approximately US$11.0 million (or US$1.23 per share for the broker warrants and US$1.17 per share for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K. Prospectus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2023, the Company filed a short form base shelf prospectus (the “</w:t>
      </w:r>
      <w:r>
        <w:rPr>
          <w:rFonts w:ascii="Times New Roman;Times;Serif" w:hAnsi="Times New Roman;Times;Serif"/>
          <w:b/>
          <w:i w:val="false"/>
          <w:caps w:val="false"/>
          <w:smallCaps w:val="false"/>
          <w:sz w:val="20"/>
        </w:rPr>
        <w:t>November 2023 SFBS Prospectus</w:t>
      </w:r>
      <w:r>
        <w:rPr>
          <w:rFonts w:ascii="Times New Roman;Times;Serif" w:hAnsi="Times New Roman;Times;Serif"/>
          <w:b w:val="false"/>
          <w:i w:val="false"/>
          <w:caps w:val="false"/>
          <w:smallCaps w:val="false"/>
          <w:sz w:val="20"/>
        </w:rPr>
        <w:t>”) related to the offering for sale of such number of securities of the Company as would result in aggregate gross proceeds of up to US$375 million, over a 25-month period.</w:t>
      </w:r>
    </w:p>
    <w:p>
      <w:pPr>
        <w:pStyle w:val="TextBody"/>
        <w:bidi w:val="0"/>
        <w:spacing w:before="0" w:after="0"/>
        <w:ind w:left="0" w:right="0" w:hanging="0"/>
        <w:jc w:val="both"/>
        <w:rPr>
          <w:caps w:val="false"/>
          <w:smallCaps w:val="false"/>
        </w:rPr>
      </w:pPr>
      <w:r>
        <w:rPr>
          <w:caps w:val="false"/>
          <w:smallCaps w:val="false"/>
        </w:rPr>
        <w:t> </w:t>
      </w:r>
    </w:p>
    <w:tbl>
      <w:tblPr>
        <w:tblW w:w="1220" w:type="dxa"/>
        <w:jc w:val="left"/>
        <w:tblInd w:w="0" w:type="dxa"/>
        <w:tblLayout w:type="fixed"/>
        <w:tblCellMar>
          <w:top w:w="28" w:type="dxa"/>
          <w:left w:w="0" w:type="dxa"/>
          <w:bottom w:w="28" w:type="dxa"/>
          <w:right w:w="0" w:type="dxa"/>
        </w:tblCellMar>
      </w:tblPr>
      <w:tblGrid>
        <w:gridCol w:w="1220"/>
      </w:tblGrid>
      <w:tr>
        <w:trPr/>
        <w:tc>
          <w:tcPr>
            <w:tcW w:w="122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FISCAL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Board and Management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following changes to the Board and Management have been made: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March 25, 2024, the Company announced a CEO transition with Geoffrey Morphy departing upon completion of an exec</w:t>
            </w:r>
            <w:r>
              <w:rPr>
                <w:shd w:fill="FFFFFF" w:val="clear"/>
              </w:rPr>
              <w:t>utive search (“</w:t>
            </w:r>
            <w:r>
              <w:rPr>
                <w:b/>
                <w:shd w:fill="FFFFFF" w:val="clear"/>
              </w:rPr>
              <w:t>Former CEO</w:t>
            </w:r>
            <w:r>
              <w:rPr>
                <w:shd w:fill="FFFFFF" w:val="clear"/>
              </w:rPr>
              <w:t xml:space="preserve">”).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May 10, 2024, Geoffrey Morphy filed a statement of claim in the Superior Court of Ontario against the Company, claiming damages for breach of contract, wrongful dismissal and aggravated and punitive damages.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May 12, 2024, Geoffrey Morphy was terminated. Nicolas Bonta assumed the role of interim president and CEO during the completion of the executive search for a new CEO.</w:t>
            </w:r>
          </w:p>
        </w:tc>
      </w:tr>
    </w:tbl>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On June 27, 2024, Fanny Philip was appointed as director on the Board of the Company.</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July 8, 2024, Benjamin Gagnon was appointed as CEO of the Company, and as director on the Board of the Company on August 12, 2024.</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August 12, 2024, Nicolas Bonta resigned as Chairman of the Board, and Brian Howlett was appointed as Chairman.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August 12, 2024, Fanny Philip was nominated as Chair of the Audit Committee as Brian Howlett transitioned from chair to member of the Audit Committee.</w:t>
            </w:r>
          </w:p>
        </w:tc>
      </w:tr>
    </w:tbl>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On August 26 2024, the Company settled the dispute with the Former CEO.</w:t>
            </w:r>
          </w:p>
        </w:tc>
      </w:tr>
    </w:tbl>
    <w:tbl>
      <w:tblPr>
        <w:tblW w:w="5000" w:type="pct"/>
        <w:jc w:val="left"/>
        <w:tblInd w:w="0" w:type="dxa"/>
        <w:tblLayout w:type="fixed"/>
        <w:tblCellMar>
          <w:top w:w="0" w:type="dxa"/>
          <w:left w:w="0" w:type="dxa"/>
          <w:bottom w:w="0" w:type="dxa"/>
          <w:right w:w="0" w:type="dxa"/>
        </w:tblCellMar>
      </w:tblPr>
      <w:tblGrid>
        <w:gridCol w:w="47"/>
        <w:gridCol w:w="212"/>
        <w:gridCol w:w="9946"/>
      </w:tblGrid>
      <w:tr>
        <w:trPr/>
        <w:tc>
          <w:tcPr>
            <w:tcW w:w="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46" w:type="dxa"/>
            <w:tcBorders/>
            <w:vAlign w:val="center"/>
          </w:tcPr>
          <w:p>
            <w:pPr>
              <w:pStyle w:val="TableContents"/>
              <w:bidi w:val="0"/>
              <w:spacing w:before="0" w:after="283"/>
              <w:jc w:val="both"/>
              <w:rPr/>
            </w:pPr>
            <w:r>
              <w:rPr/>
              <w:t>On August 19, 2024, Liam Wilson joined the Company as Chief Operating Officer.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September 9, 2024, Alexander Brammer joined Bitfarms as Senior Vice-President of Global Mining Operations and Benoit Gobeil was promoted to Chief Infrastructure Officer.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September 23, 2024, Amy Freedman was appointed as independent director to the Board of directors, as member of the Governance and Nominating Committee, the Compensation Committee and the Special Committee. Andrés Finkielsztain stepped down from Bitfarms’ Board of Directors.</w:t>
            </w:r>
          </w:p>
        </w:tc>
      </w:tr>
    </w:tbl>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On October 17, 2024 Stephanie Wargo resigned as Vice President of Marketing and Communications.</w:t>
            </w:r>
          </w:p>
        </w:tc>
      </w:tr>
    </w:tbl>
    <w:tbl>
      <w:tblPr>
        <w:tblW w:w="5000" w:type="pct"/>
        <w:jc w:val="left"/>
        <w:tblInd w:w="0" w:type="dxa"/>
        <w:tblLayout w:type="fixed"/>
        <w:tblCellMar>
          <w:top w:w="0" w:type="dxa"/>
          <w:left w:w="0" w:type="dxa"/>
          <w:bottom w:w="0" w:type="dxa"/>
          <w:right w:w="0" w:type="dxa"/>
        </w:tblCellMar>
      </w:tblPr>
      <w:tblGrid>
        <w:gridCol w:w="47"/>
        <w:gridCol w:w="214"/>
        <w:gridCol w:w="9944"/>
      </w:tblGrid>
      <w:tr>
        <w:trPr/>
        <w:tc>
          <w:tcPr>
            <w:tcW w:w="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w:t>
            </w:r>
          </w:p>
        </w:tc>
        <w:tc>
          <w:tcPr>
            <w:tcW w:w="9944" w:type="dxa"/>
            <w:tcBorders/>
            <w:vAlign w:val="center"/>
          </w:tcPr>
          <w:p>
            <w:pPr>
              <w:pStyle w:val="TableContents"/>
              <w:bidi w:val="0"/>
              <w:spacing w:before="0" w:after="283"/>
              <w:jc w:val="both"/>
              <w:rPr/>
            </w:pPr>
            <w:r>
              <w:rPr/>
              <w:t>On November 1, 2024, Rachel Silverstein was appointed as U.S. General Counsel.</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November 20, 2024, Andrew J. Chang was elected by shareholders as director on the Board of the Company.</w:t>
            </w:r>
          </w:p>
        </w:tc>
      </w:tr>
    </w:tbl>
    <w:tbl>
      <w:tblPr>
        <w:tblW w:w="5000" w:type="pct"/>
        <w:jc w:val="left"/>
        <w:tblInd w:w="0" w:type="dxa"/>
        <w:tblLayout w:type="fixed"/>
        <w:tblCellMar>
          <w:top w:w="0" w:type="dxa"/>
          <w:left w:w="0" w:type="dxa"/>
          <w:bottom w:w="0" w:type="dxa"/>
          <w:right w:w="0" w:type="dxa"/>
        </w:tblCellMar>
      </w:tblPr>
      <w:tblGrid>
        <w:gridCol w:w="53"/>
        <w:gridCol w:w="241"/>
        <w:gridCol w:w="9911"/>
      </w:tblGrid>
      <w:tr>
        <w:trPr/>
        <w:tc>
          <w:tcPr>
            <w:tcW w:w="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pPr>
            <w:r>
              <w:rPr/>
              <w:t>On November 27, 2024, Benoit Gobeil resigned as CIO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At-the-market equity offering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Bitfarms commenced the 2024 ATM Program (“</w:t>
      </w:r>
      <w:r>
        <w:rPr>
          <w:rFonts w:ascii="Times New Roman;Times;Serif" w:hAnsi="Times New Roman;Times;Serif"/>
          <w:b/>
          <w:i w:val="false"/>
          <w:caps w:val="false"/>
          <w:smallCaps w:val="false"/>
          <w:sz w:val="20"/>
          <w:shd w:fill="FFFFFF" w:val="clear"/>
        </w:rPr>
        <w:t>2024 ATM Program</w:t>
      </w:r>
      <w:r>
        <w:rPr>
          <w:rFonts w:ascii="Times New Roman;Times;Serif" w:hAnsi="Times New Roman;Times;Serif"/>
          <w:b w:val="false"/>
          <w:i w:val="false"/>
          <w:caps w:val="false"/>
          <w:smallCaps w:val="false"/>
          <w:sz w:val="20"/>
          <w:shd w:fill="FFFFFF" w:val="clear"/>
        </w:rPr>
        <w:t>”) on March 11, 2024, by means of a prospectus supplement dated March 8, 2024 (“</w:t>
      </w:r>
      <w:r>
        <w:rPr>
          <w:rFonts w:ascii="Times New Roman;Times;Serif" w:hAnsi="Times New Roman;Times;Serif"/>
          <w:b/>
          <w:i w:val="false"/>
          <w:caps w:val="false"/>
          <w:smallCaps w:val="false"/>
          <w:sz w:val="20"/>
          <w:shd w:fill="FFFFFF" w:val="clear"/>
        </w:rPr>
        <w:t>March Supplement</w:t>
      </w:r>
      <w:r>
        <w:rPr>
          <w:rFonts w:ascii="Times New Roman;Times;Serif" w:hAnsi="Times New Roman;Times;Serif"/>
          <w:b w:val="false"/>
          <w:i w:val="false"/>
          <w:caps w:val="false"/>
          <w:smallCaps w:val="false"/>
          <w:sz w:val="20"/>
          <w:shd w:fill="FFFFFF" w:val="clear"/>
        </w:rPr>
        <w:t>”), to the Company’s short form base shelf prospectus dated November 10, 2023 (“</w:t>
      </w:r>
      <w:r>
        <w:rPr>
          <w:rFonts w:ascii="Times New Roman;Times;Serif" w:hAnsi="Times New Roman;Times;Serif"/>
          <w:b/>
          <w:i w:val="false"/>
          <w:caps w:val="false"/>
          <w:smallCaps w:val="false"/>
          <w:sz w:val="20"/>
          <w:shd w:fill="FFFFFF" w:val="clear"/>
        </w:rPr>
        <w:t>Base Shelf</w:t>
      </w:r>
      <w:r>
        <w:rPr>
          <w:rFonts w:ascii="Times New Roman;Times;Serif" w:hAnsi="Times New Roman;Times;Serif"/>
          <w:b w:val="false"/>
          <w:i w:val="false"/>
          <w:caps w:val="false"/>
          <w:smallCaps w:val="false"/>
          <w:sz w:val="20"/>
          <w:shd w:fill="FFFFFF" w:val="clear"/>
        </w:rPr>
        <w:t>”), U.S. registration statement on Form F-10, which included a prospectus supplement related to the 2024 ATM Program and pursuant to an at-the-market offering agreement dated March 8, 2024 (the “</w:t>
      </w:r>
      <w:r>
        <w:rPr>
          <w:rFonts w:ascii="Times New Roman;Times;Serif" w:hAnsi="Times New Roman;Times;Serif"/>
          <w:b/>
          <w:i w:val="false"/>
          <w:caps w:val="false"/>
          <w:smallCaps w:val="false"/>
          <w:sz w:val="20"/>
          <w:shd w:fill="FFFFFF" w:val="clear"/>
        </w:rPr>
        <w:t>Sales Agreement</w:t>
      </w:r>
      <w:r>
        <w:rPr>
          <w:rFonts w:ascii="Times New Roman;Times;Serif" w:hAnsi="Times New Roman;Times;Serif"/>
          <w:b w:val="false"/>
          <w:i w:val="false"/>
          <w:caps w:val="false"/>
          <w:smallCaps w:val="false"/>
          <w:sz w:val="20"/>
          <w:shd w:fill="FFFFFF" w:val="clear"/>
        </w:rPr>
        <w:t>”) between the Company and H.C. Wainwright &amp; Co., LLC (the “</w:t>
      </w:r>
      <w:r>
        <w:rPr>
          <w:rFonts w:ascii="Times New Roman;Times;Serif" w:hAnsi="Times New Roman;Times;Serif"/>
          <w:b/>
          <w:i w:val="false"/>
          <w:caps w:val="false"/>
          <w:smallCaps w:val="false"/>
          <w:sz w:val="20"/>
          <w:shd w:fill="FFFFFF" w:val="clear"/>
        </w:rPr>
        <w:t>Agent</w:t>
      </w:r>
      <w:r>
        <w:rPr>
          <w:rFonts w:ascii="Times New Roman;Times;Serif" w:hAnsi="Times New Roman;Times;Serif"/>
          <w:b w:val="false"/>
          <w:i w:val="false"/>
          <w:caps w:val="false"/>
          <w:smallCaps w:val="false"/>
          <w:sz w:val="20"/>
          <w:shd w:fill="FFFFFF" w:val="clear"/>
        </w:rPr>
        <w:t>”). The Company may, at its discretion and from time-to-time, sell its Common Shares in the 2024 ATM Program for aggregate gross proceeds of up to US$375.0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filed an amended and restated prospectus supplement dated October 4, 2024 (the “</w:t>
      </w:r>
      <w:r>
        <w:rPr>
          <w:rFonts w:ascii="Times New Roman;Times;Serif" w:hAnsi="Times New Roman;Times;Serif"/>
          <w:b/>
          <w:i w:val="false"/>
          <w:caps w:val="false"/>
          <w:smallCaps w:val="false"/>
          <w:sz w:val="20"/>
          <w:shd w:fill="FFFFFF" w:val="clear"/>
        </w:rPr>
        <w:t>October Supplement</w:t>
      </w:r>
      <w:r>
        <w:rPr>
          <w:rFonts w:ascii="Times New Roman;Times;Serif" w:hAnsi="Times New Roman;Times;Serif"/>
          <w:b w:val="false"/>
          <w:i w:val="false"/>
          <w:caps w:val="false"/>
          <w:smallCaps w:val="false"/>
          <w:sz w:val="20"/>
          <w:shd w:fill="FFFFFF" w:val="clear"/>
        </w:rPr>
        <w:t>”), providing disclosure regarding the Stronghold Transaction and amending and restating the March Supplement to the Company’s existing $375.0 million Base Shelf, with both the Base Shelf and amended and restated prospectus supplement forming a part of the Company’s registration statement on Form F-10.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2024, the Company filed a second amended and restated prospectus supplement (the “</w:t>
      </w:r>
      <w:r>
        <w:rPr>
          <w:rFonts w:ascii="Times New Roman;Times;Serif" w:hAnsi="Times New Roman;Times;Serif"/>
          <w:b/>
          <w:i w:val="false"/>
          <w:caps w:val="false"/>
          <w:smallCaps w:val="false"/>
          <w:sz w:val="20"/>
        </w:rPr>
        <w:t>Second A&amp;R Prospectus Supplement</w:t>
      </w:r>
      <w:r>
        <w:rPr>
          <w:rFonts w:ascii="Times New Roman;Times;Serif" w:hAnsi="Times New Roman;Times;Serif"/>
          <w:b w:val="false"/>
          <w:i w:val="false"/>
          <w:caps w:val="false"/>
          <w:smallCaps w:val="false"/>
          <w:sz w:val="20"/>
        </w:rPr>
        <w:t xml:space="preserve">”), amending and restating the March Supplement, as first amended and restated by the October Supplement to the Company’s existing US$375 million Base Shelf Prospectus. The Company filed this Second </w:t>
      </w:r>
      <w:r>
        <w:rPr>
          <w:rFonts w:ascii="Times New Roman;Times;Serif" w:hAnsi="Times New Roman;Times;Serif"/>
          <w:b/>
          <w:i w:val="false"/>
          <w:caps w:val="false"/>
          <w:smallCaps w:val="false"/>
          <w:sz w:val="20"/>
        </w:rPr>
        <w:t>A&amp;R Prospectus</w:t>
      </w:r>
      <w:r>
        <w:rPr>
          <w:rFonts w:ascii="Times New Roman;Times;Serif" w:hAnsi="Times New Roman;Times;Serif"/>
          <w:b w:val="false"/>
          <w:i w:val="false"/>
          <w:caps w:val="false"/>
          <w:smallCaps w:val="false"/>
          <w:sz w:val="20"/>
        </w:rPr>
        <w:t xml:space="preserve"> Supplement to incorporate updated unaudited pro forma financial statements in respect of the proposed merger between the Company and Stronghold, as first announced on August 21, 2024, and Stronghold’s unaudited interim financial statements for the three and nine months ended September 30,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Fiscal 2024, the Company issued 135,474,160 common shares in the 2024 ATM Program in exchange for gross proceeds of US$299.9 million at an average share price of approximately $2.21. The Company received net proceeds of US$290.5 million after paying commissions of US$9.0 million to the sales agent in addition to US$0.4 million of other transaction fees. The Company capitalized $0.9 million of professional fees and registration expenses to initiate the 2024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 IR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Since the Company has undergone significant changes and growth, it has in place an internal team dedicated to oversee the Company’s IR activities and thus, the investors relations agreement with LHA was terminated during the first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D. Digital Asset Management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sale of BTC, while the Company continued to earn BTC, resulted in total holdings of 934 BTC as of December 31, 2024, valued at approximately US$120.1 million based on a BTC price of approximately US$93,400, as of December 31, 2024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 Canada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Quebec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March 2024, the Company entered into a sale and leaseback agreement for the Garlock Data Center located in the City of Sherbrooke, and received net proceeds of US$1.7 million.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Approximately 32,700 Miners were deployed at the Company’s Data Centers in Canada, during the year 2024.</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construction of the building of the second 11 MW Data Center in Baie-Comeau was fully completed in November and energized in January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details, please refer to sub-section </w:t>
      </w:r>
      <w:r>
        <w:rPr>
          <w:rFonts w:ascii="Times New Roman;Times;Serif" w:hAnsi="Times New Roman;Times;Serif"/>
          <w:b w:val="false"/>
          <w:i/>
          <w:caps w:val="false"/>
          <w:smallCaps w:val="false"/>
          <w:sz w:val="20"/>
        </w:rPr>
        <w:t>5.5, CANADA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December 31, 2024, the Company operated 170 MW of energized capacity across 8 Data Centers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 United States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 of Washington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January 2024, in connection with the construction of a new 6 MW Data Center on the Company’s property , the Company elected to cancel the lease of a 5 MW Data Center in the region of Washington and transfer the Miners from the leased Data Center to the newly constructed 6 MW Data Center.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February 2024, the power supplier established the electricity connection allowing the Company, subject to the completion of the civil work, to access the 6 MW of hydro power capacity.</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In </w:t>
            </w:r>
            <w:r>
              <w:rPr>
                <w:shd w:fill="FFFFFF" w:val="clear"/>
              </w:rPr>
              <w:t>June 2024, the Company energized a 3 MW temporary Data Center until the new 6 MW Data Center was fully constructed in October 2024.</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8" w:type="dxa"/>
            <w:tcBorders/>
            <w:vAlign w:val="center"/>
          </w:tcPr>
          <w:p>
            <w:pPr>
              <w:pStyle w:val="TableContents"/>
              <w:bidi w:val="0"/>
              <w:spacing w:before="0" w:after="283"/>
              <w:jc w:val="both"/>
              <w:rPr>
                <w:shd w:fill="FFFFFF" w:val="clear"/>
              </w:rPr>
            </w:pPr>
            <w:r>
              <w:rPr>
                <w:shd w:fill="FFFFFF" w:val="clear"/>
              </w:rPr>
              <w:t>In April 2024, approximately 1,000 Bitmain T21 Miners and 200 Bitmain S21 Miners were installed at the current operating Data Center and the Company installed approximately 700 additional T21 Bitmain Miners.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8" w:type="dxa"/>
            <w:tcBorders/>
            <w:vAlign w:val="center"/>
          </w:tcPr>
          <w:p>
            <w:pPr>
              <w:pStyle w:val="TableContents"/>
              <w:bidi w:val="0"/>
              <w:spacing w:before="0" w:after="283"/>
              <w:jc w:val="both"/>
              <w:rPr>
                <w:shd w:fill="FFFFFF" w:val="clear"/>
              </w:rPr>
            </w:pPr>
            <w:r>
              <w:rPr>
                <w:shd w:fill="FFFFFF" w:val="clear"/>
              </w:rPr>
              <w:t>The construction of the 6 MW Data Center on the Company’s property which had begun in June 2023 was completed in October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details, please refer to sub-section </w:t>
      </w:r>
      <w:r>
        <w:rPr>
          <w:rFonts w:ascii="Times New Roman;Times;Serif" w:hAnsi="Times New Roman;Times;Serif"/>
          <w:b w:val="false"/>
          <w:i/>
          <w:caps w:val="false"/>
          <w:smallCaps w:val="false"/>
          <w:sz w:val="20"/>
        </w:rPr>
        <w:t>5.3, UNITED STATES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 of Pennsylvania</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sz w:val="20"/>
              </w:rPr>
              <w:t xml:space="preserve">In June 2024, the Company entered into an agreement to lease a Data Center located in Sharon, Pennsylvania for a total power site capacity of 110 MW. The Company also entered into a letter of intent for a lease to an additional </w:t>
            </w:r>
            <w:r>
              <w:rPr/>
              <w:t xml:space="preserve">and adjacent </w:t>
            </w:r>
            <w:r>
              <w:rPr>
                <w:sz w:val="20"/>
              </w:rPr>
              <w:t>10 MW site, which would bring the total Data Center capacity to 120 MW.</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August 2024, the Company finalized the definitive lease agreement and assumed control of the property in Sharon, acquiring a potential 110 MW of electricity and providing the Company with an immediate capacity increase of 12 MW of electricity. A total of 30 MW of energized capacity is slated to come online by the end of the second quarter of 2025 and the remaining 80 MW by the end of 2025.</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September 2024, the Company entered into a hosting agreement with a subsidiary of Stronghold, under which the Company will deploy a mix of 10,000 Bitmain T21 and S21 Pro-miners at Stronghold’s Panther Creek Data Center located in Pennsylvania (the “</w:t>
            </w:r>
            <w:r>
              <w:rPr>
                <w:b/>
              </w:rPr>
              <w:t>Panther Creek Hosting Agreement</w:t>
            </w:r>
            <w:r>
              <w:rPr/>
              <w: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October 2024, the Company entered into a second hosting agreement for the deployment of an additional 10,000 miners to Stronghold’s Scrubgrass Data Center located in Pennsylvania (the “</w:t>
            </w:r>
            <w:r>
              <w:rPr>
                <w:b/>
              </w:rPr>
              <w:t>Scrubgrass Hosting Agreement</w:t>
            </w:r>
            <w:r>
              <w:rPr/>
              <w:t>”).</w:t>
            </w:r>
          </w:p>
        </w:tc>
      </w:tr>
    </w:tbl>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As </w:t>
      </w:r>
      <w:r>
        <w:rPr>
          <w:rFonts w:ascii="Times New Roman;Times;Serif" w:hAnsi="Times New Roman;Times;Serif"/>
          <w:b w:val="false"/>
          <w:i w:val="false"/>
          <w:caps w:val="false"/>
          <w:smallCaps w:val="false"/>
          <w:sz w:val="20"/>
        </w:rPr>
        <w:t xml:space="preserve">of </w:t>
      </w:r>
      <w:r>
        <w:rPr>
          <w:rFonts w:ascii="Times New Roman;Times;Serif" w:hAnsi="Times New Roman;Times;Serif"/>
          <w:b w:val="false"/>
          <w:i w:val="false"/>
          <w:caps w:val="false"/>
          <w:smallCaps w:val="false"/>
          <w:sz w:val="20"/>
          <w:shd w:fill="FFFFFF" w:val="clear"/>
        </w:rPr>
        <w:t>December 31, 2024, the Company operated 97</w:t>
      </w:r>
      <w:r>
        <w:rPr>
          <w:rFonts w:ascii="Times New Roman;Times;Serif" w:hAnsi="Times New Roman;Times;Serif"/>
          <w:b w:val="false"/>
          <w:i w:val="false"/>
          <w:caps w:val="false"/>
          <w:smallCaps w:val="false"/>
          <w:sz w:val="20"/>
        </w:rPr>
        <w:t xml:space="preserve"> M</w:t>
      </w:r>
      <w:r>
        <w:rPr>
          <w:rFonts w:ascii="Times New Roman;Times;Serif" w:hAnsi="Times New Roman;Times;Serif"/>
          <w:b w:val="false"/>
          <w:i w:val="false"/>
          <w:caps w:val="false"/>
          <w:smallCaps w:val="false"/>
          <w:sz w:val="20"/>
          <w:shd w:fill="FFFFFF" w:val="clear"/>
        </w:rPr>
        <w:t>W</w:t>
      </w:r>
      <w:r>
        <w:rPr>
          <w:rFonts w:ascii="Times New Roman;Times;Serif" w:hAnsi="Times New Roman;Times;Serif"/>
          <w:b w:val="false"/>
          <w:i w:val="false"/>
          <w:caps w:val="false"/>
          <w:smallCaps w:val="false"/>
          <w:sz w:val="20"/>
        </w:rPr>
        <w:t xml:space="preserve"> of energized capacity across in </w:t>
      </w:r>
      <w:r>
        <w:rPr>
          <w:rFonts w:ascii="Times New Roman;Times;Serif" w:hAnsi="Times New Roman;Times;Serif"/>
          <w:b w:val="false"/>
          <w:i w:val="false"/>
          <w:caps w:val="false"/>
          <w:smallCaps w:val="false"/>
          <w:sz w:val="20"/>
          <w:shd w:fill="FFFFFF" w:val="clear"/>
        </w:rPr>
        <w:t>4 Data Centers in the US.</w:t>
      </w:r>
    </w:p>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details, please refer to sub-section </w:t>
      </w:r>
      <w:r>
        <w:rPr>
          <w:rFonts w:ascii="Times New Roman;Times;Serif" w:hAnsi="Times New Roman;Times;Serif"/>
          <w:b w:val="false"/>
          <w:i/>
          <w:caps w:val="false"/>
          <w:smallCaps w:val="false"/>
          <w:sz w:val="20"/>
        </w:rPr>
        <w:t>5.3, UNITED STATES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 Argentina Expansion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October 2024, the Company started to upgrade its Rio Cuarto Data Center by installing approximately 1,300 Bitmain T21 Miners.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operated 58 MW of energized capacity in one Data Center in Argentina.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details on the expansions of the Company, please refer to sub-section </w:t>
      </w:r>
      <w:r>
        <w:rPr>
          <w:rFonts w:ascii="Times New Roman;Times;Serif" w:hAnsi="Times New Roman;Times;Serif"/>
          <w:b w:val="false"/>
          <w:i/>
          <w:caps w:val="false"/>
          <w:smallCaps w:val="false"/>
          <w:sz w:val="20"/>
        </w:rPr>
        <w:t>5.6, ARGENTINA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 Paraguay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Paso Pe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construction of the Paso Pe Data Center and underground cable connections were completed during the period from March to June 2024.</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80 MW capacity transformer, approximately 9,500 Bitmain T21 air-cooled Miners and MicroBT M53S Hydro Miners were received and install</w:t>
            </w:r>
            <w:r>
              <w:rPr>
                <w:shd w:fill="FFFFFF" w:val="clear"/>
              </w:rPr>
              <w:t xml:space="preserve">ed within a portion of the eight Hydro Containers.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8" w:type="dxa"/>
            <w:tcBorders/>
            <w:vAlign w:val="center"/>
          </w:tcPr>
          <w:p>
            <w:pPr>
              <w:pStyle w:val="TableContents"/>
              <w:bidi w:val="0"/>
              <w:spacing w:before="0" w:after="283"/>
              <w:jc w:val="both"/>
              <w:rPr>
                <w:shd w:fill="FFFFFF" w:val="clear"/>
              </w:rPr>
            </w:pPr>
            <w:r>
              <w:rPr>
                <w:shd w:fill="FFFFFF" w:val="clear"/>
              </w:rPr>
              <w:t>During the second quarter of 2024, the Company energized the 70 MW substation and started operating 4 of 5 air cooling warehouses and 6 of 8 hydro containers following the commissioning of the substation.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8" w:type="dxa"/>
            <w:tcBorders/>
            <w:vAlign w:val="center"/>
          </w:tcPr>
          <w:p>
            <w:pPr>
              <w:pStyle w:val="TableContents"/>
              <w:bidi w:val="0"/>
              <w:spacing w:before="0" w:after="283"/>
              <w:jc w:val="both"/>
              <w:rPr>
                <w:shd w:fill="FFFFFF" w:val="clear"/>
              </w:rPr>
            </w:pPr>
            <w:r>
              <w:rPr>
                <w:shd w:fill="FFFFFF" w:val="clear"/>
              </w:rPr>
              <w:t xml:space="preserve">In July 2024, the Company installed approximately 1,800 additional Bitmain T21 air-cooled Miners, completing the Paso Pe expansion.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October 2024, the Company added approximately 3,100 Bitmain T21 Miners to the Paso Pe Data Center.</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Yguazu</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January 2024, the Company purchased land for the initially planned 100 MW hydro-powered Yguazu Data Center.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February and March 2024, the Company signed purchase agreements for major long-lead equipment for the high-voltage interconnection to the ANDE substation and to the transmission line to energize the 100 MW project.</w:t>
            </w:r>
          </w:p>
        </w:tc>
      </w:tr>
    </w:tbl>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pPr>
            <w:r>
              <w:rPr/>
              <w:t>In April 2024, the Company started construction of the Yguazu Data Center.</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May 2024, the Company amended its power purchase agreement for the Yguazu Data Center to increase the contracted power from 100 MW to 200 MW commencing on January 1, 2025.</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November 2024, the Company requested to delay the commissioning of the substation by 60 days, which is pending ANDE’s approval. The Company expects to complete the build out of the electrical infrastructure for the first 100 MW by December 31, 2024 and the additional 100 MW before June 30, 2025.</w:t>
            </w:r>
          </w:p>
        </w:tc>
      </w:tr>
    </w:tbl>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In June 2024, the Company purchased additional land to accommodate the increased 100 MW capacity.</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of December 31, 2024, construction is progressing and scheduled to be completed in the first quarter of 2025.</w:t>
            </w:r>
          </w:p>
        </w:tc>
      </w:tr>
    </w:tbl>
    <w:tbl>
      <w:tblPr>
        <w:tblW w:w="5000" w:type="pct"/>
        <w:jc w:val="left"/>
        <w:tblInd w:w="0" w:type="dxa"/>
        <w:tblLayout w:type="fixed"/>
        <w:tblCellMar>
          <w:top w:w="0" w:type="dxa"/>
          <w:left w:w="0" w:type="dxa"/>
          <w:bottom w:w="0" w:type="dxa"/>
          <w:right w:w="0" w:type="dxa"/>
        </w:tblCellMar>
      </w:tblPr>
      <w:tblGrid>
        <w:gridCol w:w="53"/>
        <w:gridCol w:w="242"/>
        <w:gridCol w:w="9910"/>
      </w:tblGrid>
      <w:tr>
        <w:trPr/>
        <w:tc>
          <w:tcPr>
            <w:tcW w:w="5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10" w:type="dxa"/>
            <w:tcBorders/>
            <w:vAlign w:val="center"/>
          </w:tcPr>
          <w:p>
            <w:pPr>
              <w:pStyle w:val="TableContents"/>
              <w:bidi w:val="0"/>
              <w:spacing w:before="0" w:after="283"/>
              <w:jc w:val="both"/>
              <w:rPr/>
            </w:pPr>
            <w:r>
              <w:rPr/>
              <w:t>On March 17, 2025, the Company Sold the Yguazu Data Center to Hive.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As of December 31, 2024, the Company operated 80 MW of energized capacity across 2 Data Centers in Par</w:t>
      </w:r>
      <w:r>
        <w:rPr>
          <w:rFonts w:ascii="Times New Roman;Times;Serif" w:hAnsi="Times New Roman;Times;Serif"/>
          <w:b w:val="false"/>
          <w:i w:val="false"/>
          <w:caps w:val="false"/>
          <w:smallCaps w:val="false"/>
          <w:sz w:val="20"/>
        </w:rPr>
        <w:t>aguay.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details, please refer to sub-section </w:t>
      </w:r>
      <w:r>
        <w:rPr>
          <w:rFonts w:ascii="Times New Roman;Times;Serif" w:hAnsi="Times New Roman;Times;Serif"/>
          <w:b w:val="false"/>
          <w:i/>
          <w:caps w:val="false"/>
          <w:smallCaps w:val="false"/>
          <w:sz w:val="20"/>
        </w:rPr>
        <w:t>5.4, PARAGUAY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Transformative Fleet upgrade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March 11, 2024, the Company exercised its 2023 Purchase Option. On that date, the Company also purchased an additional 19,280 Bitmain T21 Miners, 3,888 Bitmain S21 Miners, and 740 Bitmain S21 hydro Miners, for an aggregate purchase price of US$69.2 million (the “</w:t>
            </w:r>
            <w:r>
              <w:rPr>
                <w:b/>
              </w:rPr>
              <w:t>March 2024 Purchase Order</w:t>
            </w:r>
            <w:r>
              <w:rPr/>
              <w: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On November 12, 2024, the Company amended the 2023 Purchase Option and the March 2024 Purchase Order and upgraded 18,853 Bitmain T21 Miners with more efficient Bitmain S21 Pro Miners for an additional US$33.2 million, expected to </w:t>
            </w:r>
            <w:r>
              <w:rPr>
                <w:shd w:fill="FFFFFF" w:val="clear"/>
              </w:rPr>
              <w:t>be delivered in December 2024 and January 2025.</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8" w:type="dxa"/>
            <w:tcBorders/>
            <w:vAlign w:val="center"/>
          </w:tcPr>
          <w:p>
            <w:pPr>
              <w:pStyle w:val="TableContents"/>
              <w:bidi w:val="0"/>
              <w:spacing w:before="0" w:after="283"/>
              <w:jc w:val="both"/>
              <w:rPr>
                <w:shd w:fill="FFFFFF" w:val="clear"/>
              </w:rPr>
            </w:pPr>
            <w:r>
              <w:rPr>
                <w:shd w:fill="FFFFFF" w:val="clear"/>
              </w:rPr>
              <w:t>During year 2024, the Company sold approximately 16,056 older generation Miners to third parties for approximately US$2.5 million.</w:t>
            </w:r>
          </w:p>
        </w:tc>
      </w:tr>
    </w:tbl>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For more details, please refer to sub-section </w:t>
      </w:r>
      <w:r>
        <w:rPr>
          <w:rFonts w:ascii="Times New Roman;Times;Serif" w:hAnsi="Times New Roman;Times;Serif"/>
          <w:b w:val="false"/>
          <w:i/>
          <w:caps w:val="false"/>
          <w:smallCaps w:val="false"/>
          <w:sz w:val="20"/>
          <w:shd w:fill="FFFFFF" w:val="clear"/>
        </w:rPr>
        <w:t>5.2</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TRANSFORMATIVE FLEET UPGRADE.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J. 2023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2024, 5,000,000 warrants and 111,111 broker warrants related to the 2023 private placement were exercised, resulting in the issuance of 5,111,111 common shares for proceeds of approximately US$6.0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K. Current Computing Power under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total operating hashrate under management is approximately 16.1 EH/s as of March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 Riot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April 22, 2024, shortly after the Company had formed a special committee of independent directors (the “</w:t>
            </w:r>
            <w:r>
              <w:rPr>
                <w:b/>
              </w:rPr>
              <w:t>Special Committee</w:t>
            </w:r>
            <w:r>
              <w:rPr/>
              <w:t>”) to conduct a strategic alternatives review process to consider, among other things, continuing to execute on the Company’s business plan, a business combination or other strategic transaction (the “</w:t>
            </w:r>
            <w:r>
              <w:rPr>
                <w:b/>
              </w:rPr>
              <w:t>Strategic Alternatives Review Process</w:t>
            </w:r>
            <w:r>
              <w:rPr/>
              <w:t>”), the Company received an unsolicited proposal from Riot to acquire 100% of the common shares of the Company, at a price of US$2.30 per common share consisting of cash and Riot’s common shares.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late May 2024, the Company’s Special Committee rejected Riot’s proposal, stating it significantly undervalued the company and its growth prospects.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June 10, 2024, the Company adopted a shareholder rights plan in order to preserve the integrity of the Strategic Alternatives Review Process and maximize shareholders’ value.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June 24, 2024, Riot filed an application with the Capital Markets Tribunal, an independent division of the Ontario Securities Commission (the “</w:t>
            </w:r>
            <w:r>
              <w:rPr>
                <w:b/>
              </w:rPr>
              <w:t>Tribunal</w:t>
            </w:r>
            <w:r>
              <w:rPr/>
              <w:t>”), requesting cease trade orders regarding the Company’s shareholder rights plan. On the same date, the Company announced having received a shareholder meeting requisition from Riot.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Ju</w:t>
            </w:r>
            <w:r>
              <w:rPr>
                <w:shd w:fill="FFFFFF" w:val="clear"/>
              </w:rPr>
              <w:t xml:space="preserve">ly 24, 2024, the Tribunal decided the cease trade of the Bitfarms’ shareholder right plan, and the Company announced the adoption of a new shareholder rights plan.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8" w:type="dxa"/>
            <w:tcBorders/>
            <w:vAlign w:val="center"/>
          </w:tcPr>
          <w:p>
            <w:pPr>
              <w:pStyle w:val="TableContents"/>
              <w:bidi w:val="0"/>
              <w:spacing w:before="0" w:after="283"/>
              <w:jc w:val="both"/>
              <w:rPr>
                <w:shd w:fill="FFFFFF" w:val="clear"/>
              </w:rPr>
            </w:pPr>
            <w:r>
              <w:rPr>
                <w:shd w:fill="FFFFFF" w:val="clear"/>
              </w:rPr>
              <w:t>On September 23, 2024, Bitfarms and Riot reached a settlement agreement, ending the dispute. The main terms of the settlement agreement included: (i) Riot withdrawing its June 24 requisition, (ii) The Company appointing Amy Freedman to its Board, and Riot agreeing to vote in favor of certain matters at Bitfarms Special Meeting of Shareholders until the date of the 2026 AGM (the “</w:t>
            </w:r>
            <w:r>
              <w:rPr>
                <w:b/>
                <w:shd w:fill="FFFFFF" w:val="clear"/>
              </w:rPr>
              <w:t>Settlement Agreement</w:t>
            </w:r>
            <w:r>
              <w:rPr>
                <w:caps w:val="false"/>
                <w:smallCaps w:val="false"/>
                <w:shd w:fill="FFFFFF" w:val="clear"/>
              </w:rPr>
              <w:t>”</w:t>
            </w:r>
            <w:r>
              <w:rPr>
                <w:rFonts w:ascii="Times New Roman;Times;Serif" w:hAnsi="Times New Roman;Times;Serif"/>
                <w:b w:val="false"/>
                <w:i w:val="false"/>
                <w:caps w:val="false"/>
                <w:smallCaps w:val="false"/>
                <w:sz w:val="20"/>
                <w:shd w:fill="FFFFFF" w:val="clear"/>
              </w:rPr>
              <w: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8" w:type="dxa"/>
            <w:tcBorders/>
            <w:vAlign w:val="center"/>
          </w:tcPr>
          <w:p>
            <w:pPr>
              <w:pStyle w:val="TableContents"/>
              <w:bidi w:val="0"/>
              <w:spacing w:before="0" w:after="283"/>
              <w:jc w:val="both"/>
              <w:rPr/>
            </w:pPr>
            <w:r>
              <w:rPr>
                <w:shd w:fill="FFFFFF" w:val="clear"/>
              </w:rPr>
              <w:t>On November 20, 2024, the Company announced the results of the Special Meeting of Shareholders and (i) the expansion of the Board of directors from five to six members, (ii) the election of Andrew J. Chang as independent director to serve as the sixth member thereof, and (iii) t</w:t>
            </w:r>
            <w:r>
              <w:rPr/>
              <w:t>he ratification of the Company’s shareholder rights plan adopted on July 24, 2024.</w:t>
            </w:r>
          </w:p>
        </w:tc>
      </w:tr>
    </w:tbl>
    <w:p>
      <w:pPr>
        <w:pStyle w:val="TextBody"/>
        <w:bidi w:val="0"/>
        <w:spacing w:before="0" w:after="0"/>
        <w:ind w:left="2" w:right="0" w:hanging="0"/>
        <w:jc w:val="both"/>
        <w:rPr>
          <w:caps w:val="false"/>
          <w:smallCaps w:val="false"/>
        </w:rPr>
      </w:pPr>
      <w:r>
        <w:rPr>
          <w:caps w:val="false"/>
          <w:smallCaps w:val="false"/>
        </w:rPr>
        <w:t> </w:t>
      </w:r>
    </w:p>
    <w:p>
      <w:pPr>
        <w:pStyle w:val="TextBody"/>
        <w:pBdr>
          <w:top w:val="single" w:sz="8" w:space="2" w:color="000000"/>
          <w:bottom w:val="single" w:sz="8" w:space="1" w:color="000000"/>
        </w:pBdr>
        <w:bidi w:val="0"/>
        <w:jc w:val="left"/>
        <w:rPr/>
      </w:pPr>
      <w:r>
        <w:rPr>
          <w:rFonts w:ascii="Times New Roman;Times;Serif" w:hAnsi="Times New Roman;Times;Serif"/>
          <w:b/>
          <w:sz w:val="20"/>
        </w:rPr>
        <w:t>FISCAL 2025</w:t>
      </w: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During Fiscal 2025 until </w:t>
      </w:r>
      <w:r>
        <w:rPr>
          <w:rFonts w:ascii="Times New Roman;Times;Serif" w:hAnsi="Times New Roman;Times;Serif"/>
          <w:b w:val="false"/>
          <w:i w:val="false"/>
          <w:caps w:val="false"/>
          <w:smallCaps w:val="false"/>
          <w:sz w:val="20"/>
        </w:rPr>
        <w:t>March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Management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Fiscal 2025, the following changes to the Company’s Management </w:t>
      </w:r>
      <w:r>
        <w:rPr>
          <w:rFonts w:ascii="Times New Roman;Times;Serif" w:hAnsi="Times New Roman;Times;Serif"/>
          <w:b w:val="false"/>
          <w:i w:val="false"/>
          <w:caps w:val="false"/>
          <w:smallCaps w:val="false"/>
          <w:sz w:val="20"/>
          <w:shd w:fill="FFFFFF" w:val="clear"/>
        </w:rPr>
        <w:t>were made: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8" w:type="dxa"/>
            <w:tcBorders/>
            <w:vAlign w:val="center"/>
          </w:tcPr>
          <w:p>
            <w:pPr>
              <w:pStyle w:val="TableContents"/>
              <w:bidi w:val="0"/>
              <w:spacing w:before="0" w:after="283"/>
              <w:jc w:val="both"/>
              <w:rPr>
                <w:shd w:fill="FFFFFF" w:val="clear"/>
              </w:rPr>
            </w:pPr>
            <w:r>
              <w:rPr>
                <w:shd w:fill="FFFFFF" w:val="clear"/>
              </w:rPr>
              <w:t>On February 19, 2025, Patricia Osorio resigned as the Vice president corporate affairs and Corporate Secretary of the Company.</w:t>
            </w:r>
          </w:p>
        </w:tc>
      </w:tr>
    </w:tbl>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hd w:fill="FFFFFF" w:val="clear"/>
              </w:rPr>
            </w:pPr>
            <w:r>
              <w:rPr>
                <w:shd w:fill="FFFFFF" w:val="clear"/>
              </w:rPr>
              <w:t>●</w:t>
            </w:r>
          </w:p>
        </w:tc>
        <w:tc>
          <w:tcPr>
            <w:tcW w:w="9982" w:type="dxa"/>
            <w:tcBorders/>
            <w:vAlign w:val="center"/>
          </w:tcPr>
          <w:p>
            <w:pPr>
              <w:pStyle w:val="TableContents"/>
              <w:bidi w:val="0"/>
              <w:spacing w:before="0" w:after="283"/>
              <w:jc w:val="both"/>
              <w:rPr>
                <w:shd w:fill="FFFFFF" w:val="clear"/>
              </w:rPr>
            </w:pPr>
            <w:r>
              <w:rPr>
                <w:shd w:fill="FFFFFF" w:val="clear"/>
              </w:rPr>
              <w:t>On February 21, 2025, Marieve Rodrigue was appointed as Corporate Secretary of the Company.</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8" w:type="dxa"/>
            <w:tcBorders/>
            <w:vAlign w:val="center"/>
          </w:tcPr>
          <w:p>
            <w:pPr>
              <w:pStyle w:val="TableContents"/>
              <w:bidi w:val="0"/>
              <w:spacing w:before="0" w:after="283"/>
              <w:jc w:val="both"/>
              <w:rPr>
                <w:shd w:fill="FFFFFF" w:val="clear"/>
              </w:rPr>
            </w:pPr>
            <w:r>
              <w:rPr>
                <w:shd w:fill="FFFFFF" w:val="clear"/>
              </w:rPr>
              <w:t>On March 3, 2025, Craig Hibbard was appointed as Senior Vice President Infrastructure of the Company.</w:t>
            </w:r>
          </w:p>
        </w:tc>
      </w:tr>
    </w:tbl>
    <w:tbl>
      <w:tblPr>
        <w:tblW w:w="5000" w:type="pct"/>
        <w:jc w:val="left"/>
        <w:tblInd w:w="0" w:type="dxa"/>
        <w:tblLayout w:type="fixed"/>
        <w:tblCellMar>
          <w:top w:w="0" w:type="dxa"/>
          <w:left w:w="0" w:type="dxa"/>
          <w:bottom w:w="0" w:type="dxa"/>
          <w:right w:w="0" w:type="dxa"/>
        </w:tblCellMar>
      </w:tblPr>
      <w:tblGrid>
        <w:gridCol w:w="48"/>
        <w:gridCol w:w="215"/>
        <w:gridCol w:w="9942"/>
      </w:tblGrid>
      <w:tr>
        <w:trPr/>
        <w:tc>
          <w:tcPr>
            <w:tcW w:w="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hd w:fill="FFFFFF" w:val="clear"/>
              </w:rPr>
            </w:pPr>
            <w:r>
              <w:rPr>
                <w:shd w:fill="FFFFFF" w:val="clear"/>
              </w:rPr>
              <w:t>●</w:t>
            </w:r>
          </w:p>
        </w:tc>
        <w:tc>
          <w:tcPr>
            <w:tcW w:w="9942" w:type="dxa"/>
            <w:tcBorders/>
            <w:vAlign w:val="center"/>
          </w:tcPr>
          <w:p>
            <w:pPr>
              <w:pStyle w:val="TableContents"/>
              <w:bidi w:val="0"/>
              <w:spacing w:before="0" w:after="283"/>
              <w:jc w:val="both"/>
              <w:rPr/>
            </w:pPr>
            <w:r>
              <w:rPr>
                <w:sz w:val="20"/>
                <w:shd w:fill="FFFFFF" w:val="clear"/>
              </w:rPr>
              <w:t>On March 24,</w:t>
            </w:r>
            <w:r>
              <w:rPr/>
              <w:t xml:space="preserve"> </w:t>
            </w:r>
            <w:r>
              <w:rPr>
                <w:sz w:val="20"/>
              </w:rPr>
              <w:t>2025 James Bond was appointed as Senior Vice President of HPC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Canada &amp; United States Expansion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February 3,2025 the Company announced the energization of the Sharon Data Center and Baie-Comeau Data Center.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March 14, 2025, the Stronghold Transaction was finalized and closed, following the receipt of Stronghold shareholder approval, applicable regulatory approvals, certain third-party consents and other customary closing conditions. Under the terms of the Merger Agreement, Stronghold shareholders received 2.52 shares of Bitfarms for each Stronghold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Paraguay Expansion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On January 24, 2025, the Company announced that it entered </w:t>
            </w:r>
            <w:r>
              <w:rPr>
                <w:shd w:fill="FFFFFF" w:val="clear"/>
              </w:rPr>
              <w:t>into a binding letter of intent to sell its 200 MW site in Yguazu, Paraguay to HIVE (the “Yguazu Sale”).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March 14, 2025, the Yguazu Sale closed. HIVE purchasing from Bitfarms its 100% ownership stake of its Yguazu, Paraguay BTC data center and the Company’s loan receivable from its Yguazu, Paraguay subsidiary, Zunz SA (“Backbone Yguazu”), for US$63.0 million, with Bitfarms receiving:</w:t>
            </w:r>
          </w:p>
        </w:tc>
      </w:tr>
    </w:tbl>
    <w:p>
      <w:pPr>
        <w:pStyle w:val="TextBody"/>
        <w:bidi w:val="0"/>
        <w:spacing w:before="0" w:after="0"/>
        <w:ind w:left="0" w:right="0" w:hanging="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17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pPr>
            <w:r>
              <w:rPr/>
              <w:t>US$20.0 million of advance payment made in January 2025 upon signing the letter of intent;</w:t>
            </w:r>
          </w:p>
        </w:tc>
      </w:tr>
    </w:tbl>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US$12.0 million upon closing of this transaction; and</w:t>
            </w:r>
          </w:p>
        </w:tc>
      </w:tr>
    </w:tbl>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pPr>
            <w:r>
              <w:rPr/>
              <w:t>US$31.0 million over 6 months following closing.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Yguazu Sale also relieved the Company of future costs totaling approximately US$22.0 assumed by HIVE for a total favorable net cash impact of approximately US$85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D. General development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On January 31, 2025, the Company announced it has engaged ASG and </w:t>
            </w:r>
            <w:r>
              <w:rPr>
                <w:b w:val="false"/>
                <w:i w:val="false"/>
                <w:caps w:val="false"/>
                <w:smallCaps w:val="false"/>
              </w:rPr>
              <w:t>WWT</w:t>
            </w:r>
            <w:r>
              <w:rPr/>
              <w:t xml:space="preserve"> as strategic partners to conduct a comprehensive feasibility analysis on all its North American sites, advise on global HPC/AI strategy and develop HPC/AI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FUTURE GROWTH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described its recently completed and future expansion plans below under the sections “</w:t>
      </w:r>
      <w:r>
        <w:rPr>
          <w:rFonts w:ascii="Times New Roman;Times;Serif" w:hAnsi="Times New Roman;Times;Serif"/>
          <w:b w:val="false"/>
          <w:i/>
          <w:caps w:val="false"/>
          <w:smallCaps w:val="false"/>
          <w:sz w:val="20"/>
        </w:rPr>
        <w:t>United States Expansion”, “Canada Expansion”, “Paraguay Expansion” and “Argentina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December 31, 2024, the Company operated 12.8 EH/s across its facilities, an increase of 6.3 EH/s, or 97%, compared to December 31, 2023. The increase is attributed to the installation of additional Miners in Paso Pe, Paraguay; Baie-Comeau, Quebec, Canada; and Rio Cuarto, Argentina, the Stronghold Hosting Agreements in Pennsylvania, United States, and the Company upgrading its overall fleet with more efficient Miners. In January 2025 the Company achieved 15.2 EH/s, and in February 2025 the Company achieved 16.1 EH/s, mainly due to fleet-wide operational excellence initiatives. Through its expansion projects and the investment in its transformative fleet upgrade, the Company achieved its target of 21 w/TH before the end of 2024 and is executing towards its revised targets of 18 EH/s operational and 21 EH/s and 19 w/TH installed by June 30, 2025 and 21 EH/s and 19 w/TH by December 31, 2025. With the closing of the Stronghold transaction on March 14, 2025, the Company added approximately 1.4 EH/s, bringing the total EH under Management to 18.6 EH/s, including Stronghold’s existing hosting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revised target reflects the underperformance of some of the Company’s Bitmain T21 Miners. To address this, the Company upgraded 18,853 Bitmain T21 Miners remaining in its Purchase Option and March 2024 Purchase Order, as defined below, to more efficient Bitmain S21 Pro Miners. The Company also returned 4,160 Bitmain T21 Miners and ordered 3,660 Bitmain S21+ Miners.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most recent BTC halving event occurred on April 19, 2024, and the Company continues to prudently explore further opportunities to expand its infrastructure and improve its Mining hardware to increase the Company’s Hashrate, Miner efficiency and to monetize the Company’s infrastructure to create long-term value for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section 5.1“Cautionary Statements” and Section 19 , “Risk Factors” for more information on the factors that could affect the Company’s targets and achievement of those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costs and timelines to achieve these expansion plans may change based on, among other factors, the cost and supply of Bitcoin Mining equipment, the ability to import equipment into countries where it operates in a cost-effective and timely manner, the supply of electrical and other supporting infrastructure equipment, the availability of construction materials, currency exchange rates and the impact of geopolitical events on the supply chains described above. The Company’s expansion plans rely on a consistent supply of electricity at cost-effective rates; refer to Section 19 RISK FACTORS </w:t>
      </w:r>
      <w:r>
        <w:rPr>
          <w:rFonts w:ascii="Times New Roman;Times;Serif" w:hAnsi="Times New Roman;Times;Serif"/>
          <w:b w:val="false"/>
          <w:i/>
          <w:caps w:val="false"/>
          <w:smallCaps w:val="false"/>
          <w:sz w:val="20"/>
        </w:rPr>
        <w:t xml:space="preserve">of this AIF </w:t>
      </w:r>
      <w:r>
        <w:rPr>
          <w:rFonts w:ascii="Times New Roman;Times;Serif" w:hAnsi="Times New Roman;Times;Serif"/>
          <w:b w:val="false"/>
          <w:i w:val="false"/>
          <w:caps w:val="false"/>
          <w:smallCaps w:val="false"/>
          <w:sz w:val="20"/>
        </w:rPr>
        <w:t>for further details, including a description of these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there can be no assurance that the Company’s Data Centers can be operated on a profitable basis. The foregoing information is forward-looking information for the purposes of applicable securities laws in Canada and readers are cautioned that actual results may vary from those described. See Section 1.4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xml:space="preserve"> and 19 </w:t>
      </w:r>
      <w:r>
        <w:rPr>
          <w:rFonts w:ascii="Times New Roman;Times;Serif" w:hAnsi="Times New Roman;Times;Serif"/>
          <w:b w:val="false"/>
          <w:i/>
          <w:caps w:val="false"/>
          <w:smallCaps w:val="false"/>
          <w:sz w:val="20"/>
        </w:rPr>
        <w:t xml:space="preserve">RISK FACTORS </w:t>
      </w:r>
      <w:r>
        <w:rPr>
          <w:rFonts w:ascii="Times New Roman;Times;Serif" w:hAnsi="Times New Roman;Times;Serif"/>
          <w:b w:val="false"/>
          <w:i w:val="false"/>
          <w:caps w:val="false"/>
          <w:smallCaps w:val="false"/>
          <w:sz w:val="20"/>
        </w:rPr>
        <w:t>of this AIF.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TRANSFORMATIVE FLEET UPGRADE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transformative fleet upgrade plan described above underpins the Company’s 2024 expansion strategy. Securing additional Miners was anticipated to benefit the Company by capitalizing on elevated Bitcoin prices and drive rapid and meaningful improvements across three key operating metrics: Hashrate, energy efficiency and operating costs per TH.</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1.</w:t>
            </w:r>
          </w:p>
        </w:tc>
        <w:tc>
          <w:tcPr>
            <w:tcW w:w="9998" w:type="dxa"/>
            <w:tcBorders/>
            <w:vAlign w:val="center"/>
          </w:tcPr>
          <w:p>
            <w:pPr>
              <w:pStyle w:val="TableContents"/>
              <w:bidi w:val="0"/>
              <w:spacing w:before="0" w:after="283"/>
              <w:jc w:val="both"/>
              <w:rPr>
                <w:shd w:fill="FFFFFF" w:val="clear"/>
              </w:rPr>
            </w:pPr>
            <w:r>
              <w:rPr>
                <w:shd w:fill="FFFFFF" w:val="clear"/>
              </w:rPr>
              <w:t xml:space="preserve">On November 27, 2023, the Company placed a firm purchase order for 35,888 Bitmain T21 Miners (the “Purchase Order”) totaling US$95.5 million, or $14/TH, which were delivered in 2024.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hd w:fill="FFFFFF" w:val="clear"/>
              </w:rPr>
            </w:pPr>
            <w:r>
              <w:rPr>
                <w:shd w:fill="FFFFFF" w:val="clear"/>
              </w:rPr>
              <w:t>2.</w:t>
            </w:r>
          </w:p>
        </w:tc>
        <w:tc>
          <w:tcPr>
            <w:tcW w:w="10006" w:type="dxa"/>
            <w:tcBorders/>
            <w:vAlign w:val="center"/>
          </w:tcPr>
          <w:p>
            <w:pPr>
              <w:pStyle w:val="TableContents"/>
              <w:bidi w:val="0"/>
              <w:spacing w:before="0" w:after="283"/>
              <w:jc w:val="both"/>
              <w:rPr>
                <w:shd w:fill="FFFFFF" w:val="clear"/>
              </w:rPr>
            </w:pPr>
            <w:r>
              <w:rPr>
                <w:shd w:fill="FFFFFF" w:val="clear"/>
              </w:rPr>
              <w:t>On November 27, 2023, the Company secured a purchase option for an additional 28,000 Bitmain T21 Miners (the “Purchase Option”) for an aggregate purchase price of US$74.5 million, or $14/TH. On March 11, 2024, the Company exercised the Purchase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hd w:fill="FFFFFF" w:val="clear"/>
              </w:rPr>
            </w:pPr>
            <w:r>
              <w:rPr>
                <w:shd w:fill="FFFFFF" w:val="clear"/>
              </w:rPr>
              <w:t>3.</w:t>
            </w:r>
          </w:p>
        </w:tc>
        <w:tc>
          <w:tcPr>
            <w:tcW w:w="10009" w:type="dxa"/>
            <w:tcBorders/>
            <w:vAlign w:val="center"/>
          </w:tcPr>
          <w:p>
            <w:pPr>
              <w:pStyle w:val="TableContents"/>
              <w:bidi w:val="0"/>
              <w:spacing w:before="0" w:after="283"/>
              <w:jc w:val="both"/>
              <w:rPr>
                <w:shd w:fill="FFFFFF" w:val="clear"/>
              </w:rPr>
            </w:pPr>
            <w:r>
              <w:rPr>
                <w:shd w:fill="FFFFFF" w:val="clear"/>
              </w:rPr>
              <w:t xml:space="preserve">On March 11, 2024, the Company also purchased an additional 19,280 Bitmain T21 Miners for $14/TH, and 3,888 Bitmain S21 Miners and 740 Bitmain S21 hydro Miners for $17.50/TH, for an aggregate purchase price of US$69.2 million (collectively defined as the ’‘March 2024 Purchase Order’’).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hd w:fill="FFFFFF" w:val="clear"/>
              </w:rPr>
            </w:pPr>
            <w:r>
              <w:rPr>
                <w:shd w:fill="FFFFFF" w:val="clear"/>
              </w:rPr>
              <w:t>4.</w:t>
            </w:r>
          </w:p>
        </w:tc>
        <w:tc>
          <w:tcPr>
            <w:tcW w:w="10018" w:type="dxa"/>
            <w:tcBorders/>
            <w:vAlign w:val="center"/>
          </w:tcPr>
          <w:p>
            <w:pPr>
              <w:pStyle w:val="TableContents"/>
              <w:bidi w:val="0"/>
              <w:spacing w:before="0" w:after="283"/>
              <w:jc w:val="both"/>
              <w:rPr>
                <w:shd w:fill="FFFFFF" w:val="clear"/>
              </w:rPr>
            </w:pPr>
            <w:r>
              <w:rPr>
                <w:shd w:fill="FFFFFF" w:val="clear"/>
              </w:rPr>
              <w:t>On November 12, 2024, the Company amended the Purchase Option and the March 2024 Purchase Order (“Supplementary Agreements”) and upgraded 18,853 Bitmain T21 Miners with more efficient Bitmain S21 Pro Miners for an additional consideration of US$33.2 million which was paid in BTC and can be redeemed in four quarterly installments as described in Note 9 to the Financial Statements. The amended aggregate purchase price for the Purchase Option is US$85.1 million and the March 2024 Purchase Order is US$91.9 million.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hd w:fill="FFFFFF" w:val="clear"/>
              </w:rPr>
            </w:pPr>
            <w:r>
              <w:rPr>
                <w:shd w:fill="FFFFFF" w:val="clear"/>
              </w:rPr>
              <w:t>5.</w:t>
            </w:r>
          </w:p>
        </w:tc>
        <w:tc>
          <w:tcPr>
            <w:tcW w:w="10019" w:type="dxa"/>
            <w:tcBorders/>
            <w:vAlign w:val="center"/>
          </w:tcPr>
          <w:p>
            <w:pPr>
              <w:pStyle w:val="TableContents"/>
              <w:bidi w:val="0"/>
              <w:spacing w:before="0" w:after="283"/>
              <w:jc w:val="both"/>
              <w:rPr>
                <w:shd w:fill="FFFFFF" w:val="clear"/>
              </w:rPr>
            </w:pPr>
            <w:r>
              <w:rPr>
                <w:shd w:fill="FFFFFF" w:val="clear"/>
              </w:rPr>
              <w:t xml:space="preserve">On March 12, 2025, in connection with the Purchase Order, an exchange agreement was signed to return 4,160 Bitmain T21 Miners. In consideration for the returned Miners, Bitmain will refund the Company with a US$9.5 million credit. Simultaneously, the Company placed another purchase order (’’2025 Miners Swap’’) for 3,660 Bitmain S21+ Miners at a purchase price of US$11.9 million. On March 13, 2025, the net US$2.4 million was paid in BTC and which can be repurchased in four quarterly installments resulting in an embedded derivative.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March 2024 Purchase Order, combined with the Purchase Order and Purchase Option, is expected to enable the Company to reach 18 EH/s operating capacity and 19 w/TH efficiency in 2025. The Company intends to continue liquidating older Miners to offset the cost of the capital expenditures. During FY 2024, the Company sold 16,056 older generation Miners to third parties for approximately US$2.5 million. Refer to Note 10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As of December 31, 2024, the Company paid the full amount of US$239.2 million, of which US$33.2 million was made in BTC towards these new orders. The Company has the option to repurchase the BTC paid resulting in an embedded derivative. See Note 9 to the Financial Statements for more details. The Company commenced the 2024 ATM Program on March 11, 2024, enabling the Company to access liquidity of up to US$375.0 million, with the intention to use the proceeds primarily for capital expenditures to support the Company’s growth and development.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following table details the status of the new Miner orders as of March 26, 2025: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398"/>
        <w:gridCol w:w="60"/>
        <w:gridCol w:w="1772"/>
        <w:gridCol w:w="60"/>
        <w:gridCol w:w="308"/>
        <w:gridCol w:w="60"/>
        <w:gridCol w:w="860"/>
        <w:gridCol w:w="60"/>
        <w:gridCol w:w="1237"/>
        <w:gridCol w:w="60"/>
        <w:gridCol w:w="112"/>
        <w:gridCol w:w="1288"/>
        <w:gridCol w:w="60"/>
        <w:gridCol w:w="60"/>
        <w:gridCol w:w="132"/>
        <w:gridCol w:w="968"/>
        <w:gridCol w:w="60"/>
        <w:gridCol w:w="60"/>
        <w:gridCol w:w="118"/>
        <w:gridCol w:w="1357"/>
        <w:gridCol w:w="115"/>
      </w:tblGrid>
      <w:tr>
        <w:trPr/>
        <w:tc>
          <w:tcPr>
            <w:tcW w:w="1398" w:type="dxa"/>
            <w:tcBorders>
              <w:top w:val="single" w:sz="8" w:space="0" w:color="000000"/>
              <w:bottom w:val="single" w:sz="8" w:space="0" w:color="000000"/>
            </w:tcBorders>
            <w:vAlign w:val="center"/>
          </w:tcPr>
          <w:p>
            <w:pPr>
              <w:pStyle w:val="TableContents"/>
              <w:bidi w:val="0"/>
              <w:spacing w:before="0" w:after="283"/>
              <w:jc w:val="left"/>
              <w:rPr>
                <w:b/>
              </w:rPr>
            </w:pPr>
            <w:r>
              <w:rPr>
                <w:b/>
              </w:rPr>
              <w:t>Date</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1772" w:type="dxa"/>
            <w:tcBorders>
              <w:top w:val="single" w:sz="8" w:space="0" w:color="000000"/>
              <w:bottom w:val="single" w:sz="8" w:space="0" w:color="000000"/>
            </w:tcBorders>
            <w:vAlign w:val="center"/>
          </w:tcPr>
          <w:p>
            <w:pPr>
              <w:pStyle w:val="TableContents"/>
              <w:bidi w:val="0"/>
              <w:spacing w:before="0" w:after="283"/>
              <w:jc w:val="center"/>
              <w:rPr>
                <w:b/>
              </w:rPr>
            </w:pPr>
            <w:r>
              <w:rPr>
                <w:b/>
              </w:rPr>
              <w:t>Order</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308" w:type="dxa"/>
            <w:tcBorders>
              <w:top w:val="single" w:sz="8" w:space="0" w:color="000000"/>
              <w:bottom w:val="single" w:sz="8" w:space="0" w:color="000000"/>
            </w:tcBorders>
            <w:tcMar>
              <w:bottom w:w="30" w:type="dxa"/>
            </w:tcMar>
            <w:vAlign w:val="center"/>
          </w:tcPr>
          <w:p>
            <w:pPr>
              <w:pStyle w:val="TableContents"/>
              <w:bidi w:val="0"/>
              <w:spacing w:before="0" w:after="283"/>
              <w:jc w:val="center"/>
              <w:rPr/>
            </w:pPr>
            <w:r>
              <w:rPr/>
              <w:t> </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86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Quantity</w:t>
            </w:r>
            <w:r>
              <w:rPr>
                <w:rFonts w:ascii="Times New Roman;Times;Serif" w:hAnsi="Times New Roman;Times;Serif"/>
                <w:b/>
                <w:position w:val="7"/>
                <w:sz w:val="16"/>
                <w:sz w:val="20"/>
              </w:rPr>
              <w:t>1</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1237" w:type="dxa"/>
            <w:tcBorders>
              <w:top w:val="single" w:sz="8" w:space="0" w:color="000000"/>
              <w:bottom w:val="single" w:sz="8" w:space="0" w:color="000000"/>
            </w:tcBorders>
            <w:vAlign w:val="center"/>
          </w:tcPr>
          <w:p>
            <w:pPr>
              <w:pStyle w:val="TableContents"/>
              <w:bidi w:val="0"/>
              <w:spacing w:before="0" w:after="283"/>
              <w:jc w:val="left"/>
              <w:rPr>
                <w:b/>
              </w:rPr>
            </w:pPr>
            <w:r>
              <w:rPr>
                <w:b/>
              </w:rPr>
              <w:t>Miner Model</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1400" w:type="dxa"/>
            <w:gridSpan w:val="2"/>
            <w:tcBorders>
              <w:top w:val="single" w:sz="8" w:space="0" w:color="000000"/>
              <w:bottom w:val="single" w:sz="8" w:space="0" w:color="000000"/>
            </w:tcBorders>
            <w:vAlign w:val="center"/>
          </w:tcPr>
          <w:p>
            <w:pPr>
              <w:pStyle w:val="TableContents"/>
              <w:bidi w:val="0"/>
              <w:spacing w:before="0" w:after="283"/>
              <w:jc w:val="center"/>
              <w:rPr>
                <w:b/>
              </w:rPr>
            </w:pPr>
            <w:r>
              <w:rPr>
                <w:b/>
              </w:rPr>
              <w:t>Miners Energized</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1100" w:type="dxa"/>
            <w:gridSpan w:val="2"/>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Hashrate (EH/s)</w:t>
            </w:r>
            <w:r>
              <w:rPr>
                <w:rFonts w:ascii="Times New Roman;Times;Serif" w:hAnsi="Times New Roman;Times;Serif"/>
                <w:b/>
                <w:position w:val="7"/>
                <w:sz w:val="16"/>
                <w:sz w:val="20"/>
              </w:rPr>
              <w:t>2</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1475" w:type="dxa"/>
            <w:gridSpan w:val="2"/>
            <w:tcBorders>
              <w:top w:val="single" w:sz="8" w:space="0" w:color="000000"/>
              <w:bottom w:val="single" w:sz="8" w:space="0" w:color="000000"/>
            </w:tcBorders>
            <w:vAlign w:val="center"/>
          </w:tcPr>
          <w:p>
            <w:pPr>
              <w:pStyle w:val="TableContents"/>
              <w:bidi w:val="0"/>
              <w:spacing w:before="0" w:after="283"/>
              <w:jc w:val="center"/>
              <w:rPr>
                <w:b/>
              </w:rPr>
            </w:pPr>
            <w:r>
              <w:rPr>
                <w:b/>
              </w:rPr>
              <w:t>Remaining Miners</w:t>
            </w:r>
          </w:p>
        </w:tc>
        <w:tc>
          <w:tcPr>
            <w:tcW w:w="115"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r>
      <w:tr>
        <w:trPr/>
        <w:tc>
          <w:tcPr>
            <w:tcW w:w="1398" w:type="dxa"/>
            <w:tcBorders>
              <w:bottom w:val="single" w:sz="8" w:space="0" w:color="000000"/>
            </w:tcBorders>
            <w:shd w:fill="CCEEFF" w:val="clear"/>
            <w:tcMar>
              <w:top w:w="0" w:type="dxa"/>
            </w:tcMar>
            <w:vAlign w:val="center"/>
          </w:tcPr>
          <w:p>
            <w:pPr>
              <w:pStyle w:val="TableContents"/>
              <w:bidi w:val="0"/>
              <w:spacing w:before="0" w:after="283"/>
              <w:jc w:val="left"/>
              <w:rPr/>
            </w:pPr>
            <w:r>
              <w:rPr/>
              <w:t>Q4 2023</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772" w:type="dxa"/>
            <w:tcBorders>
              <w:bottom w:val="single" w:sz="8" w:space="0" w:color="000000"/>
            </w:tcBorders>
            <w:shd w:fill="CCEEFF" w:val="clear"/>
            <w:tcMar>
              <w:top w:w="0" w:type="dxa"/>
            </w:tcMar>
            <w:vAlign w:val="center"/>
          </w:tcPr>
          <w:p>
            <w:pPr>
              <w:pStyle w:val="TableContents"/>
              <w:bidi w:val="0"/>
              <w:spacing w:before="0" w:after="283"/>
              <w:jc w:val="left"/>
              <w:rPr/>
            </w:pPr>
            <w:r>
              <w:rPr/>
              <w:t>Purchase Order</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top w:w="0" w:type="dxa"/>
            </w:tcMar>
            <w:vAlign w:val="center"/>
          </w:tcPr>
          <w:p>
            <w:pPr>
              <w:pStyle w:val="TableContents"/>
              <w:bidi w:val="0"/>
              <w:spacing w:before="0" w:after="283"/>
              <w:jc w:val="center"/>
              <w:rPr/>
            </w:pPr>
            <w:r>
              <w:rPr/>
              <w:t>(i)</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top w:w="0" w:type="dxa"/>
            </w:tcMar>
            <w:vAlign w:val="center"/>
          </w:tcPr>
          <w:p>
            <w:pPr>
              <w:pStyle w:val="TableContents"/>
              <w:bidi w:val="0"/>
              <w:spacing w:before="0" w:after="283"/>
              <w:jc w:val="right"/>
              <w:rPr/>
            </w:pPr>
            <w:r>
              <w:rPr/>
              <w:t>35,898</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top w:w="0" w:type="dxa"/>
            </w:tcMar>
            <w:vAlign w:val="center"/>
          </w:tcPr>
          <w:p>
            <w:pPr>
              <w:pStyle w:val="TableContents"/>
              <w:bidi w:val="0"/>
              <w:spacing w:before="0" w:after="283"/>
              <w:jc w:val="left"/>
              <w:rPr/>
            </w:pPr>
            <w:r>
              <w:rPr/>
              <w:t>Bitmain T21</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top w:w="0" w:type="dxa"/>
            </w:tcMar>
            <w:vAlign w:val="center"/>
          </w:tcPr>
          <w:p>
            <w:pPr>
              <w:pStyle w:val="TableContents"/>
              <w:bidi w:val="0"/>
              <w:spacing w:before="0" w:after="283"/>
              <w:jc w:val="right"/>
              <w:rPr>
                <w:b/>
              </w:rPr>
            </w:pPr>
            <w:r>
              <w:rPr>
                <w:b/>
              </w:rPr>
              <w:t>35,898</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top w:w="0" w:type="dxa"/>
            </w:tcMar>
            <w:vAlign w:val="center"/>
          </w:tcPr>
          <w:p>
            <w:pPr>
              <w:pStyle w:val="TableContents"/>
              <w:bidi w:val="0"/>
              <w:spacing w:before="0" w:after="283"/>
              <w:jc w:val="right"/>
              <w:rPr>
                <w:b/>
              </w:rPr>
            </w:pPr>
            <w:r>
              <w:rPr>
                <w:b/>
              </w:rPr>
              <w:t>6.8</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357" w:type="dxa"/>
            <w:tcBorders>
              <w:bottom w:val="single" w:sz="8" w:space="0" w:color="000000"/>
            </w:tcBorders>
            <w:shd w:fill="CCEEFF" w:val="clear"/>
            <w:tcMar>
              <w:top w:w="0" w:type="dxa"/>
            </w:tcMar>
            <w:vAlign w:val="center"/>
          </w:tcPr>
          <w:p>
            <w:pPr>
              <w:pStyle w:val="TableContents"/>
              <w:bidi w:val="0"/>
              <w:spacing w:before="0" w:after="283"/>
              <w:jc w:val="right"/>
              <w:rPr/>
            </w:pPr>
            <w:r>
              <w:rPr/>
              <w:t>—</w:t>
            </w:r>
          </w:p>
        </w:tc>
        <w:tc>
          <w:tcPr>
            <w:tcW w:w="115"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r>
      <w:tr>
        <w:trPr/>
        <w:tc>
          <w:tcPr>
            <w:tcW w:w="1398" w:type="dxa"/>
            <w:tcBorders/>
            <w:shd w:fill="FFFFFF" w:val="clear"/>
            <w:tcMar>
              <w:top w:w="0" w:type="dxa"/>
              <w:bottom w:w="0" w:type="dxa"/>
            </w:tcMar>
            <w:vAlign w:val="center"/>
          </w:tcPr>
          <w:p>
            <w:pPr>
              <w:pStyle w:val="TableContents"/>
              <w:bidi w:val="0"/>
              <w:spacing w:before="0" w:after="283"/>
              <w:jc w:val="left"/>
              <w:rPr/>
            </w:pPr>
            <w:r>
              <w:rPr/>
              <w:t>Q1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2" w:type="dxa"/>
            <w:tcBorders/>
            <w:shd w:fill="FFFFFF" w:val="clear"/>
            <w:tcMar>
              <w:top w:w="0" w:type="dxa"/>
              <w:bottom w:w="0" w:type="dxa"/>
            </w:tcMar>
            <w:vAlign w:val="center"/>
          </w:tcPr>
          <w:p>
            <w:pPr>
              <w:pStyle w:val="TableContents"/>
              <w:bidi w:val="0"/>
              <w:spacing w:before="0" w:after="283"/>
              <w:jc w:val="left"/>
              <w:rPr/>
            </w:pPr>
            <w:r>
              <w:rPr/>
              <w:t>Purchase Option</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308" w:type="dxa"/>
            <w:tcBorders/>
            <w:shd w:fill="FFFFFF" w:val="clear"/>
            <w:tcMar>
              <w:top w:w="0" w:type="dxa"/>
              <w:bottom w:w="0" w:type="dxa"/>
            </w:tcMar>
            <w:vAlign w:val="center"/>
          </w:tcPr>
          <w:p>
            <w:pPr>
              <w:pStyle w:val="TableContents"/>
              <w:bidi w:val="0"/>
              <w:spacing w:before="0" w:after="283"/>
              <w:jc w:val="center"/>
              <w:rPr/>
            </w:pPr>
            <w:r>
              <w:rPr/>
              <w:t>(ii)</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0" w:type="dxa"/>
            <w:tcBorders/>
            <w:shd w:fill="FFFFFF" w:val="clear"/>
            <w:tcMar>
              <w:top w:w="0" w:type="dxa"/>
              <w:bottom w:w="0" w:type="dxa"/>
            </w:tcMar>
            <w:vAlign w:val="center"/>
          </w:tcPr>
          <w:p>
            <w:pPr>
              <w:pStyle w:val="TableContents"/>
              <w:bidi w:val="0"/>
              <w:spacing w:before="0" w:after="283"/>
              <w:jc w:val="right"/>
              <w:rPr/>
            </w:pPr>
            <w:r>
              <w:rPr/>
              <w:t>22,234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37" w:type="dxa"/>
            <w:tcBorders/>
            <w:shd w:fill="FFFFFF" w:val="clear"/>
            <w:tcMar>
              <w:top w:w="0" w:type="dxa"/>
              <w:bottom w:w="0" w:type="dxa"/>
            </w:tcMar>
            <w:vAlign w:val="center"/>
          </w:tcPr>
          <w:p>
            <w:pPr>
              <w:pStyle w:val="TableContents"/>
              <w:bidi w:val="0"/>
              <w:spacing w:before="0" w:after="283"/>
              <w:jc w:val="left"/>
              <w:rPr/>
            </w:pPr>
            <w:r>
              <w:rPr/>
              <w:t>Bitmain T21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2" w:type="dxa"/>
            <w:tcBorders/>
            <w:shd w:fill="FFFFFF" w:val="clear"/>
            <w:tcMar>
              <w:top w:w="0" w:type="dxa"/>
              <w:bottom w:w="0" w:type="dxa"/>
            </w:tcMar>
            <w:vAlign w:val="center"/>
          </w:tcPr>
          <w:p>
            <w:pPr>
              <w:pStyle w:val="TableContents"/>
              <w:bidi w:val="0"/>
              <w:spacing w:before="0" w:after="283"/>
              <w:jc w:val="left"/>
              <w:rPr/>
            </w:pPr>
            <w:r>
              <w:rPr/>
              <w:t> </w:t>
            </w:r>
          </w:p>
        </w:tc>
        <w:tc>
          <w:tcPr>
            <w:tcW w:w="1288" w:type="dxa"/>
            <w:tcBorders/>
            <w:shd w:fill="FFFFFF" w:val="clear"/>
            <w:tcMar>
              <w:top w:w="0" w:type="dxa"/>
              <w:bottom w:w="0" w:type="dxa"/>
            </w:tcMar>
            <w:vAlign w:val="center"/>
          </w:tcPr>
          <w:p>
            <w:pPr>
              <w:pStyle w:val="TableContents"/>
              <w:bidi w:val="0"/>
              <w:spacing w:before="0" w:after="283"/>
              <w:jc w:val="right"/>
              <w:rPr>
                <w:b/>
              </w:rPr>
            </w:pPr>
            <w:r>
              <w:rPr>
                <w:b/>
              </w:rPr>
              <w:t>20,701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2" w:type="dxa"/>
            <w:tcBorders/>
            <w:shd w:fill="FFFFFF" w:val="clear"/>
            <w:tcMar>
              <w:top w:w="0" w:type="dxa"/>
              <w:bottom w:w="0" w:type="dxa"/>
            </w:tcMar>
            <w:vAlign w:val="center"/>
          </w:tcPr>
          <w:p>
            <w:pPr>
              <w:pStyle w:val="TableContents"/>
              <w:bidi w:val="0"/>
              <w:spacing w:before="0" w:after="283"/>
              <w:jc w:val="left"/>
              <w:rPr/>
            </w:pPr>
            <w:r>
              <w:rPr/>
              <w:t> </w:t>
            </w:r>
          </w:p>
        </w:tc>
        <w:tc>
          <w:tcPr>
            <w:tcW w:w="968" w:type="dxa"/>
            <w:tcBorders/>
            <w:shd w:fill="FFFFFF" w:val="clear"/>
            <w:tcMar>
              <w:top w:w="0" w:type="dxa"/>
              <w:bottom w:w="0" w:type="dxa"/>
            </w:tcMar>
            <w:vAlign w:val="center"/>
          </w:tcPr>
          <w:p>
            <w:pPr>
              <w:pStyle w:val="TableContents"/>
              <w:bidi w:val="0"/>
              <w:spacing w:before="0" w:after="283"/>
              <w:jc w:val="right"/>
              <w:rPr>
                <w:b/>
              </w:rPr>
            </w:pPr>
            <w:r>
              <w:rPr>
                <w:b/>
              </w:rPr>
              <w:t>3.9</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8" w:type="dxa"/>
            <w:tcBorders/>
            <w:shd w:fill="FFFFFF" w:val="clear"/>
            <w:tcMar>
              <w:top w:w="0" w:type="dxa"/>
              <w:bottom w:w="0" w:type="dxa"/>
            </w:tcMar>
            <w:vAlign w:val="center"/>
          </w:tcPr>
          <w:p>
            <w:pPr>
              <w:pStyle w:val="TableContents"/>
              <w:bidi w:val="0"/>
              <w:spacing w:before="0" w:after="283"/>
              <w:jc w:val="left"/>
              <w:rPr/>
            </w:pPr>
            <w:r>
              <w:rPr/>
              <w:t> </w:t>
            </w:r>
          </w:p>
        </w:tc>
        <w:tc>
          <w:tcPr>
            <w:tcW w:w="1357" w:type="dxa"/>
            <w:tcBorders/>
            <w:shd w:fill="FFFFFF" w:val="clear"/>
            <w:tcMar>
              <w:top w:w="0" w:type="dxa"/>
              <w:bottom w:w="0" w:type="dxa"/>
            </w:tcMar>
            <w:vAlign w:val="center"/>
          </w:tcPr>
          <w:p>
            <w:pPr>
              <w:pStyle w:val="TableContents"/>
              <w:bidi w:val="0"/>
              <w:spacing w:before="0" w:after="283"/>
              <w:jc w:val="right"/>
              <w:rPr>
                <w:b/>
              </w:rPr>
            </w:pPr>
            <w:r>
              <w:rPr>
                <w:b/>
              </w:rPr>
              <w:t>1,533</w:t>
            </w:r>
          </w:p>
        </w:tc>
        <w:tc>
          <w:tcPr>
            <w:tcW w:w="115" w:type="dxa"/>
            <w:tcBorders/>
            <w:shd w:fill="FFFFFF" w:val="clear"/>
            <w:tcMar>
              <w:top w:w="0" w:type="dxa"/>
              <w:bottom w:w="0" w:type="dxa"/>
            </w:tcMar>
            <w:vAlign w:val="center"/>
          </w:tcPr>
          <w:p>
            <w:pPr>
              <w:pStyle w:val="TableContents"/>
              <w:bidi w:val="0"/>
              <w:spacing w:before="0" w:after="283"/>
              <w:jc w:val="left"/>
              <w:rPr/>
            </w:pPr>
            <w:r>
              <w:rPr/>
              <w:t> </w:t>
            </w:r>
          </w:p>
        </w:tc>
      </w:tr>
      <w:tr>
        <w:trPr/>
        <w:tc>
          <w:tcPr>
            <w:tcW w:w="1398" w:type="dxa"/>
            <w:tcBorders/>
            <w:shd w:fill="CCEEFF" w:val="clear"/>
            <w:tcMar>
              <w:top w:w="0" w:type="dxa"/>
              <w:bottom w:w="0" w:type="dxa"/>
            </w:tcMar>
            <w:vAlign w:val="center"/>
          </w:tcPr>
          <w:p>
            <w:pPr>
              <w:pStyle w:val="TableContents"/>
              <w:bidi w:val="0"/>
              <w:spacing w:before="0" w:after="283"/>
              <w:jc w:val="left"/>
              <w:rPr/>
            </w:pPr>
            <w:r>
              <w:rPr/>
              <w:t>(amended Q4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2" w:type="dxa"/>
            <w:tcBorders/>
            <w:shd w:fill="CCEEFF" w:val="clear"/>
            <w:tcMar>
              <w:top w:w="0" w:type="dxa"/>
              <w:bottom w:w="0" w:type="dxa"/>
            </w:tcMar>
            <w:vAlign w:val="center"/>
          </w:tcPr>
          <w:p>
            <w:pPr>
              <w:pStyle w:val="TableContents"/>
              <w:bidi w:val="0"/>
              <w:spacing w:before="0" w:after="283"/>
              <w:jc w:val="left"/>
              <w:rPr/>
            </w:pPr>
            <w:r>
              <w:rPr/>
              <w:t>(amended November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308" w:type="dxa"/>
            <w:tcBorders/>
            <w:shd w:fill="CCEEFF" w:val="clear"/>
            <w:tcMar>
              <w:top w:w="0" w:type="dxa"/>
              <w:bottom w:w="0" w:type="dxa"/>
            </w:tcMar>
            <w:vAlign w:val="center"/>
          </w:tcPr>
          <w:p>
            <w:pPr>
              <w:pStyle w:val="TableContents"/>
              <w:bidi w:val="0"/>
              <w:spacing w:before="0" w:after="283"/>
              <w:jc w:val="center"/>
              <w:rPr/>
            </w:pPr>
            <w:r>
              <w:rPr/>
              <w:t>(iv)</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6,000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37" w:type="dxa"/>
            <w:tcBorders/>
            <w:shd w:fill="CCEEFF" w:val="clear"/>
            <w:tcMar>
              <w:top w:w="0" w:type="dxa"/>
              <w:bottom w:w="0" w:type="dxa"/>
            </w:tcMar>
            <w:vAlign w:val="center"/>
          </w:tcPr>
          <w:p>
            <w:pPr>
              <w:pStyle w:val="TableContents"/>
              <w:bidi w:val="0"/>
              <w:spacing w:before="0" w:after="283"/>
              <w:jc w:val="left"/>
              <w:rPr/>
            </w:pPr>
            <w:r>
              <w:rPr/>
              <w:t>Bitmain S21 Pro</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2" w:type="dxa"/>
            <w:tcBorders/>
            <w:shd w:fill="CCEEFF" w:val="clear"/>
            <w:tcMar>
              <w:top w:w="0" w:type="dxa"/>
              <w:bottom w:w="0" w:type="dxa"/>
            </w:tcMar>
            <w:vAlign w:val="center"/>
          </w:tcPr>
          <w:p>
            <w:pPr>
              <w:pStyle w:val="TableContents"/>
              <w:bidi w:val="0"/>
              <w:spacing w:before="0" w:after="283"/>
              <w:jc w:val="left"/>
              <w:rPr/>
            </w:pPr>
            <w:r>
              <w:rPr/>
              <w:t> </w:t>
            </w:r>
          </w:p>
        </w:tc>
        <w:tc>
          <w:tcPr>
            <w:tcW w:w="1288" w:type="dxa"/>
            <w:tcBorders/>
            <w:shd w:fill="CCEEFF" w:val="clear"/>
            <w:tcMar>
              <w:top w:w="0" w:type="dxa"/>
              <w:bottom w:w="0" w:type="dxa"/>
            </w:tcMar>
            <w:vAlign w:val="center"/>
          </w:tcPr>
          <w:p>
            <w:pPr>
              <w:pStyle w:val="TableContents"/>
              <w:bidi w:val="0"/>
              <w:spacing w:before="0" w:after="283"/>
              <w:jc w:val="right"/>
              <w:rPr>
                <w:b/>
              </w:rPr>
            </w:pPr>
            <w:r>
              <w:rPr>
                <w:b/>
              </w:rPr>
              <w:t>6,000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2" w:type="dxa"/>
            <w:tcBorders/>
            <w:shd w:fill="CCEEFF" w:val="clear"/>
            <w:tcMar>
              <w:top w:w="0" w:type="dxa"/>
              <w:bottom w:w="0" w:type="dxa"/>
            </w:tcMar>
            <w:vAlign w:val="center"/>
          </w:tcPr>
          <w:p>
            <w:pPr>
              <w:pStyle w:val="TableContents"/>
              <w:bidi w:val="0"/>
              <w:spacing w:before="0" w:after="283"/>
              <w:jc w:val="left"/>
              <w:rPr/>
            </w:pPr>
            <w:r>
              <w:rPr/>
              <w:t> </w:t>
            </w:r>
          </w:p>
        </w:tc>
        <w:tc>
          <w:tcPr>
            <w:tcW w:w="968" w:type="dxa"/>
            <w:tcBorders/>
            <w:shd w:fill="CCEEFF" w:val="clear"/>
            <w:tcMar>
              <w:top w:w="0" w:type="dxa"/>
              <w:bottom w:w="0" w:type="dxa"/>
            </w:tcMar>
            <w:vAlign w:val="center"/>
          </w:tcPr>
          <w:p>
            <w:pPr>
              <w:pStyle w:val="TableContents"/>
              <w:bidi w:val="0"/>
              <w:spacing w:before="0" w:after="283"/>
              <w:jc w:val="right"/>
              <w:rPr>
                <w:b/>
              </w:rPr>
            </w:pPr>
            <w:r>
              <w:rPr>
                <w:b/>
              </w:rPr>
              <w:t>1.4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8" w:type="dxa"/>
            <w:tcBorders/>
            <w:shd w:fill="CCEEFF" w:val="clear"/>
            <w:tcMar>
              <w:top w:w="0" w:type="dxa"/>
              <w:bottom w:w="0" w:type="dxa"/>
            </w:tcMar>
            <w:vAlign w:val="center"/>
          </w:tcPr>
          <w:p>
            <w:pPr>
              <w:pStyle w:val="TableContents"/>
              <w:bidi w:val="0"/>
              <w:spacing w:before="0" w:after="283"/>
              <w:jc w:val="left"/>
              <w:rPr/>
            </w:pPr>
            <w:r>
              <w:rPr/>
              <w:t> </w:t>
            </w:r>
          </w:p>
        </w:tc>
        <w:tc>
          <w:tcPr>
            <w:tcW w:w="1357" w:type="dxa"/>
            <w:tcBorders/>
            <w:shd w:fill="CCEEFF" w:val="clear"/>
            <w:tcMar>
              <w:top w:w="0" w:type="dxa"/>
              <w:bottom w:w="0" w:type="dxa"/>
            </w:tcMar>
            <w:vAlign w:val="center"/>
          </w:tcPr>
          <w:p>
            <w:pPr>
              <w:pStyle w:val="TableContents"/>
              <w:bidi w:val="0"/>
              <w:spacing w:before="0" w:after="283"/>
              <w:jc w:val="right"/>
              <w:rPr/>
            </w:pPr>
            <w:r>
              <w:rPr/>
              <w:t>—</w:t>
            </w:r>
          </w:p>
        </w:tc>
        <w:tc>
          <w:tcPr>
            <w:tcW w:w="115" w:type="dxa"/>
            <w:tcBorders/>
            <w:shd w:fill="CCEEFF" w:val="clear"/>
            <w:tcMar>
              <w:top w:w="0" w:type="dxa"/>
              <w:bottom w:w="0" w:type="dxa"/>
            </w:tcMar>
            <w:vAlign w:val="center"/>
          </w:tcPr>
          <w:p>
            <w:pPr>
              <w:pStyle w:val="TableContents"/>
              <w:bidi w:val="0"/>
              <w:spacing w:before="0" w:after="283"/>
              <w:jc w:val="left"/>
              <w:rPr/>
            </w:pPr>
            <w:r>
              <w:rPr/>
              <w:t> </w:t>
            </w:r>
          </w:p>
        </w:tc>
      </w:tr>
      <w:tr>
        <w:trPr/>
        <w:tc>
          <w:tcPr>
            <w:tcW w:w="1398"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1772"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308" w:type="dxa"/>
            <w:tcBorders>
              <w:top w:val="single" w:sz="8" w:space="0" w:color="000000"/>
              <w:bottom w:val="single" w:sz="8" w:space="0" w:color="000000"/>
            </w:tcBorders>
            <w:shd w:fill="FFFFFF" w:val="clear"/>
            <w:vAlign w:val="center"/>
          </w:tcPr>
          <w:p>
            <w:pPr>
              <w:pStyle w:val="TableContents"/>
              <w:bidi w:val="0"/>
              <w:spacing w:before="0" w:after="283"/>
              <w:jc w:val="center"/>
              <w:rPr/>
            </w:pPr>
            <w:r>
              <w:rPr/>
              <w:t> </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860" w:type="dxa"/>
            <w:tcBorders>
              <w:top w:val="single" w:sz="8" w:space="0" w:color="000000"/>
              <w:bottom w:val="single" w:sz="8" w:space="0" w:color="000000"/>
            </w:tcBorders>
            <w:shd w:fill="FFFFFF" w:val="clear"/>
            <w:vAlign w:val="center"/>
          </w:tcPr>
          <w:p>
            <w:pPr>
              <w:pStyle w:val="TableContents"/>
              <w:bidi w:val="0"/>
              <w:spacing w:before="0" w:after="283"/>
              <w:jc w:val="right"/>
              <w:rPr/>
            </w:pPr>
            <w:r>
              <w:rPr/>
              <w:t>28,234</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1237"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112"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1288" w:type="dxa"/>
            <w:tcBorders>
              <w:top w:val="single" w:sz="8" w:space="0" w:color="000000"/>
              <w:bottom w:val="single" w:sz="8" w:space="0" w:color="000000"/>
            </w:tcBorders>
            <w:shd w:fill="FFFFFF" w:val="clear"/>
            <w:vAlign w:val="center"/>
          </w:tcPr>
          <w:p>
            <w:pPr>
              <w:pStyle w:val="TableContents"/>
              <w:bidi w:val="0"/>
              <w:spacing w:before="0" w:after="283"/>
              <w:jc w:val="right"/>
              <w:rPr>
                <w:b/>
              </w:rPr>
            </w:pPr>
            <w:r>
              <w:rPr>
                <w:b/>
              </w:rPr>
              <w:t>26,701</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132"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968" w:type="dxa"/>
            <w:tcBorders>
              <w:top w:val="single" w:sz="8" w:space="0" w:color="000000"/>
              <w:bottom w:val="single" w:sz="8" w:space="0" w:color="000000"/>
            </w:tcBorders>
            <w:shd w:fill="FFFFFF" w:val="clear"/>
            <w:vAlign w:val="center"/>
          </w:tcPr>
          <w:p>
            <w:pPr>
              <w:pStyle w:val="TableContents"/>
              <w:bidi w:val="0"/>
              <w:spacing w:before="0" w:after="283"/>
              <w:jc w:val="right"/>
              <w:rPr>
                <w:b/>
              </w:rPr>
            </w:pPr>
            <w:r>
              <w:rPr>
                <w:b/>
              </w:rPr>
              <w:t>5.3</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118"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1357" w:type="dxa"/>
            <w:tcBorders>
              <w:top w:val="single" w:sz="8" w:space="0" w:color="000000"/>
              <w:bottom w:val="single" w:sz="8" w:space="0" w:color="000000"/>
            </w:tcBorders>
            <w:shd w:fill="FFFFFF" w:val="clear"/>
            <w:vAlign w:val="center"/>
          </w:tcPr>
          <w:p>
            <w:pPr>
              <w:pStyle w:val="TableContents"/>
              <w:bidi w:val="0"/>
              <w:spacing w:before="0" w:after="283"/>
              <w:jc w:val="right"/>
              <w:rPr>
                <w:b/>
              </w:rPr>
            </w:pPr>
            <w:r>
              <w:rPr>
                <w:b/>
              </w:rPr>
              <w:t>1,533</w:t>
            </w:r>
          </w:p>
        </w:tc>
        <w:tc>
          <w:tcPr>
            <w:tcW w:w="115"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r>
      <w:tr>
        <w:trPr/>
        <w:tc>
          <w:tcPr>
            <w:tcW w:w="1398" w:type="dxa"/>
            <w:tcBorders/>
            <w:shd w:fill="CCEEFF" w:val="clear"/>
            <w:tcMar>
              <w:top w:w="0" w:type="dxa"/>
              <w:bottom w:w="0" w:type="dxa"/>
            </w:tcMar>
            <w:vAlign w:val="center"/>
          </w:tcPr>
          <w:p>
            <w:pPr>
              <w:pStyle w:val="TableContents"/>
              <w:bidi w:val="0"/>
              <w:spacing w:before="0" w:after="283"/>
              <w:jc w:val="left"/>
              <w:rPr/>
            </w:pPr>
            <w:r>
              <w:rPr/>
              <w:t>Q1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2" w:type="dxa"/>
            <w:tcBorders/>
            <w:shd w:fill="CCEEFF" w:val="clear"/>
            <w:tcMar>
              <w:top w:w="0" w:type="dxa"/>
              <w:bottom w:w="0" w:type="dxa"/>
            </w:tcMar>
            <w:vAlign w:val="center"/>
          </w:tcPr>
          <w:p>
            <w:pPr>
              <w:pStyle w:val="TableContents"/>
              <w:bidi w:val="0"/>
              <w:spacing w:before="0" w:after="283"/>
              <w:jc w:val="left"/>
              <w:rPr/>
            </w:pPr>
            <w:r>
              <w:rPr/>
              <w:t>March 2024 Purchase Order</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308" w:type="dxa"/>
            <w:tcBorders/>
            <w:shd w:fill="CCEEFF" w:val="clear"/>
            <w:tcMar>
              <w:top w:w="0" w:type="dxa"/>
              <w:bottom w:w="0" w:type="dxa"/>
            </w:tcMar>
            <w:vAlign w:val="center"/>
          </w:tcPr>
          <w:p>
            <w:pPr>
              <w:pStyle w:val="TableContents"/>
              <w:bidi w:val="0"/>
              <w:spacing w:before="0" w:after="283"/>
              <w:jc w:val="center"/>
              <w:rPr/>
            </w:pPr>
            <w:r>
              <w:rPr/>
              <w:t>(iii)</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6,475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37" w:type="dxa"/>
            <w:tcBorders/>
            <w:shd w:fill="CCEEFF" w:val="clear"/>
            <w:tcMar>
              <w:top w:w="0" w:type="dxa"/>
              <w:bottom w:w="0" w:type="dxa"/>
            </w:tcMar>
            <w:vAlign w:val="center"/>
          </w:tcPr>
          <w:p>
            <w:pPr>
              <w:pStyle w:val="TableContents"/>
              <w:bidi w:val="0"/>
              <w:spacing w:before="0" w:after="283"/>
              <w:jc w:val="left"/>
              <w:rPr/>
            </w:pPr>
            <w:r>
              <w:rPr/>
              <w:t>Bitmain T21</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2" w:type="dxa"/>
            <w:tcBorders/>
            <w:shd w:fill="CCEEFF" w:val="clear"/>
            <w:tcMar>
              <w:top w:w="0" w:type="dxa"/>
              <w:bottom w:w="0" w:type="dxa"/>
            </w:tcMar>
            <w:vAlign w:val="center"/>
          </w:tcPr>
          <w:p>
            <w:pPr>
              <w:pStyle w:val="TableContents"/>
              <w:bidi w:val="0"/>
              <w:spacing w:before="0" w:after="283"/>
              <w:jc w:val="left"/>
              <w:rPr/>
            </w:pPr>
            <w:r>
              <w:rPr/>
              <w:t> </w:t>
            </w:r>
          </w:p>
        </w:tc>
        <w:tc>
          <w:tcPr>
            <w:tcW w:w="1288" w:type="dxa"/>
            <w:tcBorders/>
            <w:shd w:fill="CCEEFF" w:val="clear"/>
            <w:tcMar>
              <w:top w:w="0" w:type="dxa"/>
              <w:bottom w:w="0" w:type="dxa"/>
            </w:tcMar>
            <w:vAlign w:val="center"/>
          </w:tcPr>
          <w:p>
            <w:pPr>
              <w:pStyle w:val="TableContents"/>
              <w:bidi w:val="0"/>
              <w:spacing w:before="0" w:after="283"/>
              <w:jc w:val="righ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2" w:type="dxa"/>
            <w:tcBorders/>
            <w:shd w:fill="CCEEFF" w:val="clear"/>
            <w:tcMar>
              <w:top w:w="0" w:type="dxa"/>
              <w:bottom w:w="0" w:type="dxa"/>
            </w:tcMar>
            <w:vAlign w:val="center"/>
          </w:tcPr>
          <w:p>
            <w:pPr>
              <w:pStyle w:val="TableContents"/>
              <w:bidi w:val="0"/>
              <w:spacing w:before="0" w:after="283"/>
              <w:jc w:val="left"/>
              <w:rPr/>
            </w:pPr>
            <w:r>
              <w:rPr/>
              <w:t> </w:t>
            </w:r>
          </w:p>
        </w:tc>
        <w:tc>
          <w:tcPr>
            <w:tcW w:w="968" w:type="dxa"/>
            <w:tcBorders/>
            <w:shd w:fill="CCEEFF" w:val="clear"/>
            <w:tcMar>
              <w:top w:w="0" w:type="dxa"/>
              <w:bottom w:w="0" w:type="dxa"/>
            </w:tcMar>
            <w:vAlign w:val="center"/>
          </w:tcPr>
          <w:p>
            <w:pPr>
              <w:pStyle w:val="TableContents"/>
              <w:bidi w:val="0"/>
              <w:spacing w:before="0" w:after="283"/>
              <w:jc w:val="righ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8" w:type="dxa"/>
            <w:tcBorders/>
            <w:shd w:fill="CCEEFF" w:val="clear"/>
            <w:tcMar>
              <w:top w:w="0" w:type="dxa"/>
              <w:bottom w:w="0" w:type="dxa"/>
            </w:tcMar>
            <w:vAlign w:val="center"/>
          </w:tcPr>
          <w:p>
            <w:pPr>
              <w:pStyle w:val="TableContents"/>
              <w:bidi w:val="0"/>
              <w:spacing w:before="0" w:after="283"/>
              <w:jc w:val="left"/>
              <w:rPr/>
            </w:pPr>
            <w:r>
              <w:rPr/>
              <w:t> </w:t>
            </w:r>
          </w:p>
        </w:tc>
        <w:tc>
          <w:tcPr>
            <w:tcW w:w="1357" w:type="dxa"/>
            <w:tcBorders/>
            <w:shd w:fill="CCEEFF" w:val="clear"/>
            <w:tcMar>
              <w:top w:w="0" w:type="dxa"/>
              <w:bottom w:w="0" w:type="dxa"/>
            </w:tcMar>
            <w:vAlign w:val="center"/>
          </w:tcPr>
          <w:p>
            <w:pPr>
              <w:pStyle w:val="TableContents"/>
              <w:bidi w:val="0"/>
              <w:spacing w:before="0" w:after="283"/>
              <w:jc w:val="right"/>
              <w:rPr>
                <w:b/>
              </w:rPr>
            </w:pPr>
            <w:r>
              <w:rPr>
                <w:b/>
              </w:rPr>
              <w:t>6,475</w:t>
            </w:r>
          </w:p>
        </w:tc>
        <w:tc>
          <w:tcPr>
            <w:tcW w:w="115" w:type="dxa"/>
            <w:tcBorders/>
            <w:shd w:fill="CCEEFF" w:val="clear"/>
            <w:tcMar>
              <w:top w:w="0" w:type="dxa"/>
              <w:bottom w:w="0" w:type="dxa"/>
            </w:tcMar>
            <w:vAlign w:val="center"/>
          </w:tcPr>
          <w:p>
            <w:pPr>
              <w:pStyle w:val="TableContents"/>
              <w:bidi w:val="0"/>
              <w:spacing w:before="0" w:after="283"/>
              <w:jc w:val="left"/>
              <w:rPr/>
            </w:pPr>
            <w:r>
              <w:rPr/>
              <w:t> </w:t>
            </w:r>
          </w:p>
        </w:tc>
      </w:tr>
      <w:tr>
        <w:trPr/>
        <w:tc>
          <w:tcPr>
            <w:tcW w:w="1398" w:type="dxa"/>
            <w:tcBorders/>
            <w:shd w:fill="FFFFFF" w:val="clear"/>
            <w:tcMar>
              <w:top w:w="0" w:type="dxa"/>
              <w:bottom w:w="0" w:type="dxa"/>
            </w:tcMar>
            <w:vAlign w:val="center"/>
          </w:tcPr>
          <w:p>
            <w:pPr>
              <w:pStyle w:val="TableContents"/>
              <w:bidi w:val="0"/>
              <w:spacing w:before="0" w:after="283"/>
              <w:jc w:val="left"/>
              <w:rPr/>
            </w:pPr>
            <w:r>
              <w:rPr/>
              <w:t>(amended Q4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2" w:type="dxa"/>
            <w:tcBorders/>
            <w:shd w:fill="FFFFFF" w:val="clear"/>
            <w:tcMar>
              <w:top w:w="0" w:type="dxa"/>
              <w:bottom w:w="0" w:type="dxa"/>
            </w:tcMar>
            <w:vAlign w:val="center"/>
          </w:tcPr>
          <w:p>
            <w:pPr>
              <w:pStyle w:val="TableContents"/>
              <w:bidi w:val="0"/>
              <w:spacing w:before="0" w:after="283"/>
              <w:jc w:val="left"/>
              <w:rPr/>
            </w:pPr>
            <w:r>
              <w:rPr/>
              <w:t>(amended</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308" w:type="dxa"/>
            <w:tcBorders/>
            <w:shd w:fill="FFFFFF" w:val="clear"/>
            <w:tcMar>
              <w:top w:w="0" w:type="dxa"/>
              <w:bottom w:w="0" w:type="dxa"/>
            </w:tcMar>
            <w:vAlign w:val="center"/>
          </w:tcPr>
          <w:p>
            <w:pPr>
              <w:pStyle w:val="TableContents"/>
              <w:bidi w:val="0"/>
              <w:spacing w:before="0" w:after="283"/>
              <w:jc w:val="center"/>
              <w:rPr/>
            </w:pPr>
            <w:r>
              <w:rPr/>
              <w:t>(iv)</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0" w:type="dxa"/>
            <w:tcBorders/>
            <w:shd w:fill="FFFFFF" w:val="clear"/>
            <w:tcMar>
              <w:top w:w="0" w:type="dxa"/>
              <w:bottom w:w="0" w:type="dxa"/>
            </w:tcMar>
            <w:vAlign w:val="center"/>
          </w:tcPr>
          <w:p>
            <w:pPr>
              <w:pStyle w:val="TableContents"/>
              <w:bidi w:val="0"/>
              <w:spacing w:before="0" w:after="283"/>
              <w:jc w:val="right"/>
              <w:rPr/>
            </w:pPr>
            <w:r>
              <w:rPr/>
              <w:t>12,805</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37" w:type="dxa"/>
            <w:tcBorders/>
            <w:shd w:fill="FFFFFF" w:val="clear"/>
            <w:tcMar>
              <w:top w:w="0" w:type="dxa"/>
              <w:bottom w:w="0" w:type="dxa"/>
            </w:tcMar>
            <w:vAlign w:val="center"/>
          </w:tcPr>
          <w:p>
            <w:pPr>
              <w:pStyle w:val="TableContents"/>
              <w:bidi w:val="0"/>
              <w:spacing w:before="0" w:after="283"/>
              <w:jc w:val="left"/>
              <w:rPr/>
            </w:pPr>
            <w:r>
              <w:rPr/>
              <w:t>Bitmain S21 Pro</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2" w:type="dxa"/>
            <w:tcBorders/>
            <w:shd w:fill="FFFFFF" w:val="clear"/>
            <w:tcMar>
              <w:top w:w="0" w:type="dxa"/>
              <w:bottom w:w="0" w:type="dxa"/>
            </w:tcMar>
            <w:vAlign w:val="center"/>
          </w:tcPr>
          <w:p>
            <w:pPr>
              <w:pStyle w:val="TableContents"/>
              <w:bidi w:val="0"/>
              <w:spacing w:before="0" w:after="283"/>
              <w:jc w:val="left"/>
              <w:rPr/>
            </w:pPr>
            <w:r>
              <w:rPr/>
              <w:t> </w:t>
            </w:r>
          </w:p>
        </w:tc>
        <w:tc>
          <w:tcPr>
            <w:tcW w:w="1288" w:type="dxa"/>
            <w:tcBorders/>
            <w:shd w:fill="FFFFFF" w:val="clear"/>
            <w:tcMar>
              <w:top w:w="0" w:type="dxa"/>
              <w:bottom w:w="0" w:type="dxa"/>
            </w:tcMar>
            <w:vAlign w:val="center"/>
          </w:tcPr>
          <w:p>
            <w:pPr>
              <w:pStyle w:val="TableContents"/>
              <w:bidi w:val="0"/>
              <w:spacing w:before="0" w:after="283"/>
              <w:jc w:val="right"/>
              <w:rPr>
                <w:b/>
              </w:rPr>
            </w:pPr>
            <w:r>
              <w:rPr>
                <w:b/>
              </w:rPr>
              <w:t>6,538</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2" w:type="dxa"/>
            <w:tcBorders/>
            <w:shd w:fill="FFFFFF" w:val="clear"/>
            <w:tcMar>
              <w:top w:w="0" w:type="dxa"/>
              <w:bottom w:w="0" w:type="dxa"/>
            </w:tcMar>
            <w:vAlign w:val="center"/>
          </w:tcPr>
          <w:p>
            <w:pPr>
              <w:pStyle w:val="TableContents"/>
              <w:bidi w:val="0"/>
              <w:spacing w:before="0" w:after="283"/>
              <w:jc w:val="left"/>
              <w:rPr/>
            </w:pPr>
            <w:r>
              <w:rPr/>
              <w:t> </w:t>
            </w:r>
          </w:p>
        </w:tc>
        <w:tc>
          <w:tcPr>
            <w:tcW w:w="968" w:type="dxa"/>
            <w:tcBorders/>
            <w:shd w:fill="FFFFFF" w:val="clear"/>
            <w:tcMar>
              <w:top w:w="0" w:type="dxa"/>
              <w:bottom w:w="0" w:type="dxa"/>
            </w:tcMar>
            <w:vAlign w:val="center"/>
          </w:tcPr>
          <w:p>
            <w:pPr>
              <w:pStyle w:val="TableContents"/>
              <w:bidi w:val="0"/>
              <w:spacing w:before="0" w:after="283"/>
              <w:jc w:val="right"/>
              <w:rPr>
                <w:b/>
              </w:rPr>
            </w:pPr>
            <w:r>
              <w:rPr>
                <w:b/>
              </w:rPr>
              <w:t>1.5</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8" w:type="dxa"/>
            <w:tcBorders/>
            <w:shd w:fill="FFFFFF" w:val="clear"/>
            <w:tcMar>
              <w:top w:w="0" w:type="dxa"/>
              <w:bottom w:w="0" w:type="dxa"/>
            </w:tcMar>
            <w:vAlign w:val="center"/>
          </w:tcPr>
          <w:p>
            <w:pPr>
              <w:pStyle w:val="TableContents"/>
              <w:bidi w:val="0"/>
              <w:spacing w:before="0" w:after="283"/>
              <w:jc w:val="left"/>
              <w:rPr/>
            </w:pPr>
            <w:r>
              <w:rPr/>
              <w:t> </w:t>
            </w:r>
          </w:p>
        </w:tc>
        <w:tc>
          <w:tcPr>
            <w:tcW w:w="1357" w:type="dxa"/>
            <w:tcBorders/>
            <w:shd w:fill="FFFFFF" w:val="clear"/>
            <w:tcMar>
              <w:top w:w="0" w:type="dxa"/>
              <w:bottom w:w="0" w:type="dxa"/>
            </w:tcMar>
            <w:vAlign w:val="center"/>
          </w:tcPr>
          <w:p>
            <w:pPr>
              <w:pStyle w:val="TableContents"/>
              <w:bidi w:val="0"/>
              <w:spacing w:before="0" w:after="283"/>
              <w:jc w:val="right"/>
              <w:rPr>
                <w:b/>
              </w:rPr>
            </w:pPr>
            <w:r>
              <w:rPr>
                <w:b/>
              </w:rPr>
              <w:t>6,267</w:t>
            </w:r>
          </w:p>
        </w:tc>
        <w:tc>
          <w:tcPr>
            <w:tcW w:w="115" w:type="dxa"/>
            <w:tcBorders/>
            <w:shd w:fill="FFFFFF" w:val="clear"/>
            <w:tcMar>
              <w:top w:w="0" w:type="dxa"/>
              <w:bottom w:w="0" w:type="dxa"/>
            </w:tcMar>
            <w:vAlign w:val="center"/>
          </w:tcPr>
          <w:p>
            <w:pPr>
              <w:pStyle w:val="TableContents"/>
              <w:bidi w:val="0"/>
              <w:spacing w:before="0" w:after="283"/>
              <w:jc w:val="left"/>
              <w:rPr/>
            </w:pPr>
            <w:r>
              <w:rPr/>
              <w:t> </w:t>
            </w:r>
          </w:p>
        </w:tc>
      </w:tr>
      <w:tr>
        <w:trPr/>
        <w:tc>
          <w:tcPr>
            <w:tcW w:w="1398"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772" w:type="dxa"/>
            <w:tcBorders/>
            <w:shd w:fill="CCEEFF" w:val="clear"/>
            <w:tcMar>
              <w:top w:w="0" w:type="dxa"/>
              <w:bottom w:w="0" w:type="dxa"/>
            </w:tcMar>
            <w:vAlign w:val="center"/>
          </w:tcPr>
          <w:p>
            <w:pPr>
              <w:pStyle w:val="TableContents"/>
              <w:bidi w:val="0"/>
              <w:spacing w:before="0" w:after="283"/>
              <w:jc w:val="left"/>
              <w:rPr/>
            </w:pPr>
            <w:r>
              <w:rPr/>
              <w:t>November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308" w:type="dxa"/>
            <w:tcBorders/>
            <w:shd w:fill="CCEEFF" w:val="clear"/>
            <w:tcMar>
              <w:top w:w="0" w:type="dxa"/>
              <w:bottom w:w="0" w:type="dxa"/>
            </w:tcMar>
            <w:vAlign w:val="center"/>
          </w:tcPr>
          <w:p>
            <w:pPr>
              <w:pStyle w:val="TableContents"/>
              <w:bidi w:val="0"/>
              <w:spacing w:before="0" w:after="283"/>
              <w:jc w:val="center"/>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3,975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237" w:type="dxa"/>
            <w:tcBorders/>
            <w:shd w:fill="CCEEFF" w:val="clear"/>
            <w:tcMar>
              <w:top w:w="0" w:type="dxa"/>
              <w:bottom w:w="0" w:type="dxa"/>
            </w:tcMar>
            <w:vAlign w:val="center"/>
          </w:tcPr>
          <w:p>
            <w:pPr>
              <w:pStyle w:val="TableContents"/>
              <w:bidi w:val="0"/>
              <w:spacing w:before="0" w:after="283"/>
              <w:jc w:val="left"/>
              <w:rPr/>
            </w:pPr>
            <w:r>
              <w:rPr/>
              <w:t>Bitmain S21</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2" w:type="dxa"/>
            <w:tcBorders/>
            <w:shd w:fill="CCEEFF" w:val="clear"/>
            <w:tcMar>
              <w:top w:w="0" w:type="dxa"/>
              <w:bottom w:w="0" w:type="dxa"/>
            </w:tcMar>
            <w:vAlign w:val="center"/>
          </w:tcPr>
          <w:p>
            <w:pPr>
              <w:pStyle w:val="TableContents"/>
              <w:bidi w:val="0"/>
              <w:spacing w:before="0" w:after="283"/>
              <w:jc w:val="left"/>
              <w:rPr/>
            </w:pPr>
            <w:r>
              <w:rPr/>
              <w:t> </w:t>
            </w:r>
          </w:p>
        </w:tc>
        <w:tc>
          <w:tcPr>
            <w:tcW w:w="1288" w:type="dxa"/>
            <w:tcBorders/>
            <w:shd w:fill="CCEEFF" w:val="clear"/>
            <w:tcMar>
              <w:top w:w="0" w:type="dxa"/>
              <w:bottom w:w="0" w:type="dxa"/>
            </w:tcMar>
            <w:vAlign w:val="center"/>
          </w:tcPr>
          <w:p>
            <w:pPr>
              <w:pStyle w:val="TableContents"/>
              <w:bidi w:val="0"/>
              <w:spacing w:before="0" w:after="283"/>
              <w:jc w:val="right"/>
              <w:rPr>
                <w:b/>
              </w:rPr>
            </w:pPr>
            <w:r>
              <w:rPr>
                <w:b/>
              </w:rPr>
              <w:t>3,975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2" w:type="dxa"/>
            <w:tcBorders/>
            <w:shd w:fill="CCEEFF" w:val="clear"/>
            <w:tcMar>
              <w:top w:w="0" w:type="dxa"/>
              <w:bottom w:w="0" w:type="dxa"/>
            </w:tcMar>
            <w:vAlign w:val="center"/>
          </w:tcPr>
          <w:p>
            <w:pPr>
              <w:pStyle w:val="TableContents"/>
              <w:bidi w:val="0"/>
              <w:spacing w:before="0" w:after="283"/>
              <w:jc w:val="left"/>
              <w:rPr/>
            </w:pPr>
            <w:r>
              <w:rPr/>
              <w:t> </w:t>
            </w:r>
          </w:p>
        </w:tc>
        <w:tc>
          <w:tcPr>
            <w:tcW w:w="968" w:type="dxa"/>
            <w:tcBorders/>
            <w:shd w:fill="CCEEFF" w:val="clear"/>
            <w:tcMar>
              <w:top w:w="0" w:type="dxa"/>
              <w:bottom w:w="0" w:type="dxa"/>
            </w:tcMar>
            <w:vAlign w:val="center"/>
          </w:tcPr>
          <w:p>
            <w:pPr>
              <w:pStyle w:val="TableContents"/>
              <w:bidi w:val="0"/>
              <w:spacing w:before="0" w:after="283"/>
              <w:jc w:val="right"/>
              <w:rPr>
                <w:b/>
              </w:rPr>
            </w:pPr>
            <w:r>
              <w:rPr>
                <w:b/>
              </w:rPr>
              <w:t>0.9</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8" w:type="dxa"/>
            <w:tcBorders/>
            <w:shd w:fill="CCEEFF" w:val="clear"/>
            <w:tcMar>
              <w:top w:w="0" w:type="dxa"/>
              <w:bottom w:w="0" w:type="dxa"/>
            </w:tcMar>
            <w:vAlign w:val="center"/>
          </w:tcPr>
          <w:p>
            <w:pPr>
              <w:pStyle w:val="TableContents"/>
              <w:bidi w:val="0"/>
              <w:spacing w:before="0" w:after="283"/>
              <w:jc w:val="left"/>
              <w:rPr/>
            </w:pPr>
            <w:r>
              <w:rPr/>
              <w:t> </w:t>
            </w:r>
          </w:p>
        </w:tc>
        <w:tc>
          <w:tcPr>
            <w:tcW w:w="1357" w:type="dxa"/>
            <w:tcBorders/>
            <w:shd w:fill="CCEEFF" w:val="clear"/>
            <w:tcMar>
              <w:top w:w="0" w:type="dxa"/>
              <w:bottom w:w="0" w:type="dxa"/>
            </w:tcMar>
            <w:vAlign w:val="center"/>
          </w:tcPr>
          <w:p>
            <w:pPr>
              <w:pStyle w:val="TableContents"/>
              <w:bidi w:val="0"/>
              <w:spacing w:before="0" w:after="283"/>
              <w:jc w:val="right"/>
              <w:rPr/>
            </w:pPr>
            <w:r>
              <w:rPr/>
              <w:t>—</w:t>
            </w:r>
          </w:p>
        </w:tc>
        <w:tc>
          <w:tcPr>
            <w:tcW w:w="115" w:type="dxa"/>
            <w:tcBorders/>
            <w:shd w:fill="CCEEFF" w:val="clear"/>
            <w:tcMar>
              <w:top w:w="0" w:type="dxa"/>
              <w:bottom w:w="0" w:type="dxa"/>
            </w:tcMar>
            <w:vAlign w:val="center"/>
          </w:tcPr>
          <w:p>
            <w:pPr>
              <w:pStyle w:val="TableContents"/>
              <w:bidi w:val="0"/>
              <w:spacing w:before="0" w:after="283"/>
              <w:jc w:val="left"/>
              <w:rPr/>
            </w:pPr>
            <w:r>
              <w:rPr/>
              <w:t> </w:t>
            </w:r>
          </w:p>
        </w:tc>
      </w:tr>
      <w:tr>
        <w:trPr/>
        <w:tc>
          <w:tcPr>
            <w:tcW w:w="1398"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2"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308" w:type="dxa"/>
            <w:tcBorders/>
            <w:shd w:fill="FFFFFF" w:val="clear"/>
            <w:tcMar>
              <w:top w:w="0" w:type="dxa"/>
              <w:bottom w:w="0" w:type="dxa"/>
            </w:tcMar>
            <w:vAlign w:val="center"/>
          </w:tcPr>
          <w:p>
            <w:pPr>
              <w:pStyle w:val="TableContents"/>
              <w:bidi w:val="0"/>
              <w:spacing w:before="0" w:after="283"/>
              <w:jc w:val="center"/>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0" w:type="dxa"/>
            <w:tcBorders/>
            <w:shd w:fill="FFFFFF" w:val="clear"/>
            <w:tcMar>
              <w:top w:w="0" w:type="dxa"/>
              <w:bottom w:w="0" w:type="dxa"/>
            </w:tcMar>
            <w:vAlign w:val="center"/>
          </w:tcPr>
          <w:p>
            <w:pPr>
              <w:pStyle w:val="TableContents"/>
              <w:bidi w:val="0"/>
              <w:spacing w:before="0" w:after="283"/>
              <w:jc w:val="right"/>
              <w:rPr/>
            </w:pPr>
            <w:r>
              <w:rPr/>
              <w:t>762</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37" w:type="dxa"/>
            <w:tcBorders/>
            <w:shd w:fill="FFFFFF" w:val="clear"/>
            <w:tcMar>
              <w:top w:w="0" w:type="dxa"/>
              <w:bottom w:w="0" w:type="dxa"/>
            </w:tcMar>
            <w:vAlign w:val="center"/>
          </w:tcPr>
          <w:p>
            <w:pPr>
              <w:pStyle w:val="TableContents"/>
              <w:bidi w:val="0"/>
              <w:spacing w:before="0" w:after="283"/>
              <w:jc w:val="left"/>
              <w:rPr/>
            </w:pPr>
            <w:r>
              <w:rPr/>
              <w:t>Bitmain S21 hydro</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2" w:type="dxa"/>
            <w:tcBorders/>
            <w:shd w:fill="FFFFFF" w:val="clear"/>
            <w:tcMar>
              <w:top w:w="0" w:type="dxa"/>
              <w:bottom w:w="0" w:type="dxa"/>
            </w:tcMar>
            <w:vAlign w:val="center"/>
          </w:tcPr>
          <w:p>
            <w:pPr>
              <w:pStyle w:val="TableContents"/>
              <w:bidi w:val="0"/>
              <w:spacing w:before="0" w:after="283"/>
              <w:jc w:val="left"/>
              <w:rPr/>
            </w:pPr>
            <w:r>
              <w:rPr/>
              <w:t> </w:t>
            </w:r>
          </w:p>
        </w:tc>
        <w:tc>
          <w:tcPr>
            <w:tcW w:w="1288" w:type="dxa"/>
            <w:tcBorders/>
            <w:shd w:fill="FFFFFF" w:val="clear"/>
            <w:tcMar>
              <w:top w:w="0" w:type="dxa"/>
              <w:bottom w:w="0" w:type="dxa"/>
            </w:tcMar>
            <w:vAlign w:val="center"/>
          </w:tcPr>
          <w:p>
            <w:pPr>
              <w:pStyle w:val="TableContents"/>
              <w:bidi w:val="0"/>
              <w:spacing w:before="0" w:after="283"/>
              <w:jc w:val="right"/>
              <w:rPr>
                <w:b/>
              </w:rPr>
            </w:pPr>
            <w:r>
              <w:rPr>
                <w:b/>
              </w:rPr>
              <w:t>762</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2" w:type="dxa"/>
            <w:tcBorders/>
            <w:shd w:fill="FFFFFF" w:val="clear"/>
            <w:tcMar>
              <w:top w:w="0" w:type="dxa"/>
              <w:bottom w:w="0" w:type="dxa"/>
            </w:tcMar>
            <w:vAlign w:val="center"/>
          </w:tcPr>
          <w:p>
            <w:pPr>
              <w:pStyle w:val="TableContents"/>
              <w:bidi w:val="0"/>
              <w:spacing w:before="0" w:after="283"/>
              <w:jc w:val="left"/>
              <w:rPr/>
            </w:pPr>
            <w:r>
              <w:rPr/>
              <w:t> </w:t>
            </w:r>
          </w:p>
        </w:tc>
        <w:tc>
          <w:tcPr>
            <w:tcW w:w="968" w:type="dxa"/>
            <w:tcBorders/>
            <w:shd w:fill="FFFFFF" w:val="clear"/>
            <w:tcMar>
              <w:top w:w="0" w:type="dxa"/>
              <w:bottom w:w="0" w:type="dxa"/>
            </w:tcMar>
            <w:vAlign w:val="center"/>
          </w:tcPr>
          <w:p>
            <w:pPr>
              <w:pStyle w:val="TableContents"/>
              <w:bidi w:val="0"/>
              <w:spacing w:before="0" w:after="283"/>
              <w:jc w:val="right"/>
              <w:rPr>
                <w:b/>
              </w:rPr>
            </w:pPr>
            <w:r>
              <w:rPr>
                <w:b/>
              </w:rPr>
              <w:t>0.3</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8" w:type="dxa"/>
            <w:tcBorders/>
            <w:shd w:fill="FFFFFF" w:val="clear"/>
            <w:tcMar>
              <w:top w:w="0" w:type="dxa"/>
              <w:bottom w:w="0" w:type="dxa"/>
            </w:tcMar>
            <w:vAlign w:val="center"/>
          </w:tcPr>
          <w:p>
            <w:pPr>
              <w:pStyle w:val="TableContents"/>
              <w:bidi w:val="0"/>
              <w:spacing w:before="0" w:after="283"/>
              <w:jc w:val="left"/>
              <w:rPr/>
            </w:pPr>
            <w:r>
              <w:rPr/>
              <w:t> </w:t>
            </w:r>
          </w:p>
        </w:tc>
        <w:tc>
          <w:tcPr>
            <w:tcW w:w="1357" w:type="dxa"/>
            <w:tcBorders/>
            <w:shd w:fill="FFFFFF" w:val="clear"/>
            <w:tcMar>
              <w:top w:w="0" w:type="dxa"/>
              <w:bottom w:w="0" w:type="dxa"/>
            </w:tcMar>
            <w:vAlign w:val="center"/>
          </w:tcPr>
          <w:p>
            <w:pPr>
              <w:pStyle w:val="TableContents"/>
              <w:bidi w:val="0"/>
              <w:spacing w:before="0" w:after="283"/>
              <w:jc w:val="right"/>
              <w:rPr/>
            </w:pPr>
            <w:r>
              <w:rPr/>
              <w:t>—</w:t>
            </w:r>
          </w:p>
        </w:tc>
        <w:tc>
          <w:tcPr>
            <w:tcW w:w="115" w:type="dxa"/>
            <w:tcBorders/>
            <w:shd w:fill="FFFFFF" w:val="clear"/>
            <w:tcMar>
              <w:top w:w="0" w:type="dxa"/>
              <w:bottom w:w="0" w:type="dxa"/>
            </w:tcMar>
            <w:vAlign w:val="center"/>
          </w:tcPr>
          <w:p>
            <w:pPr>
              <w:pStyle w:val="TableContents"/>
              <w:bidi w:val="0"/>
              <w:spacing w:before="0" w:after="283"/>
              <w:jc w:val="left"/>
              <w:rPr/>
            </w:pPr>
            <w:r>
              <w:rPr/>
              <w:t> </w:t>
            </w:r>
          </w:p>
        </w:tc>
      </w:tr>
      <w:tr>
        <w:trPr/>
        <w:tc>
          <w:tcPr>
            <w:tcW w:w="1398"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1772"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308" w:type="dxa"/>
            <w:tcBorders>
              <w:top w:val="single" w:sz="8" w:space="0" w:color="000000"/>
              <w:bottom w:val="single" w:sz="8" w:space="0" w:color="000000"/>
            </w:tcBorders>
            <w:shd w:fill="CCEEFF" w:val="clear"/>
            <w:vAlign w:val="center"/>
          </w:tcPr>
          <w:p>
            <w:pPr>
              <w:pStyle w:val="TableContents"/>
              <w:bidi w:val="0"/>
              <w:spacing w:before="0" w:after="283"/>
              <w:jc w:val="center"/>
              <w:rPr/>
            </w:pPr>
            <w:r>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860" w:type="dxa"/>
            <w:tcBorders>
              <w:top w:val="single" w:sz="8" w:space="0" w:color="000000"/>
              <w:bottom w:val="single" w:sz="8" w:space="0" w:color="000000"/>
            </w:tcBorders>
            <w:shd w:fill="CCEEFF" w:val="clear"/>
            <w:vAlign w:val="center"/>
          </w:tcPr>
          <w:p>
            <w:pPr>
              <w:pStyle w:val="TableContents"/>
              <w:bidi w:val="0"/>
              <w:spacing w:before="0" w:after="283"/>
              <w:jc w:val="right"/>
              <w:rPr/>
            </w:pPr>
            <w:r>
              <w:rPr/>
              <w:t>24,017</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1237"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112"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1288" w:type="dxa"/>
            <w:tcBorders>
              <w:top w:val="single" w:sz="8" w:space="0" w:color="000000"/>
              <w:bottom w:val="single" w:sz="8" w:space="0" w:color="000000"/>
            </w:tcBorders>
            <w:shd w:fill="CCEEFF" w:val="clear"/>
            <w:vAlign w:val="center"/>
          </w:tcPr>
          <w:p>
            <w:pPr>
              <w:pStyle w:val="TableContents"/>
              <w:bidi w:val="0"/>
              <w:spacing w:before="0" w:after="283"/>
              <w:jc w:val="right"/>
              <w:rPr>
                <w:b/>
              </w:rPr>
            </w:pPr>
            <w:r>
              <w:rPr>
                <w:b/>
              </w:rPr>
              <w:t>11,275</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132"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968" w:type="dxa"/>
            <w:tcBorders>
              <w:top w:val="single" w:sz="8" w:space="0" w:color="000000"/>
              <w:bottom w:val="single" w:sz="8" w:space="0" w:color="000000"/>
            </w:tcBorders>
            <w:shd w:fill="CCEEFF" w:val="clear"/>
            <w:vAlign w:val="center"/>
          </w:tcPr>
          <w:p>
            <w:pPr>
              <w:pStyle w:val="TableContents"/>
              <w:bidi w:val="0"/>
              <w:spacing w:before="0" w:after="283"/>
              <w:jc w:val="right"/>
              <w:rPr>
                <w:b/>
              </w:rPr>
            </w:pPr>
            <w:r>
              <w:rPr>
                <w:b/>
              </w:rPr>
              <w:t>2.7</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118"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c>
          <w:tcPr>
            <w:tcW w:w="1357" w:type="dxa"/>
            <w:tcBorders>
              <w:top w:val="single" w:sz="8" w:space="0" w:color="000000"/>
              <w:bottom w:val="single" w:sz="8" w:space="0" w:color="000000"/>
            </w:tcBorders>
            <w:shd w:fill="CCEEFF" w:val="clear"/>
            <w:vAlign w:val="center"/>
          </w:tcPr>
          <w:p>
            <w:pPr>
              <w:pStyle w:val="TableContents"/>
              <w:bidi w:val="0"/>
              <w:spacing w:before="0" w:after="283"/>
              <w:jc w:val="right"/>
              <w:rPr>
                <w:b/>
              </w:rPr>
            </w:pPr>
            <w:r>
              <w:rPr>
                <w:b/>
              </w:rPr>
              <w:t>12,742</w:t>
            </w:r>
          </w:p>
        </w:tc>
        <w:tc>
          <w:tcPr>
            <w:tcW w:w="115" w:type="dxa"/>
            <w:tcBorders>
              <w:top w:val="single" w:sz="8" w:space="0" w:color="000000"/>
              <w:bottom w:val="single" w:sz="8" w:space="0" w:color="000000"/>
            </w:tcBorders>
            <w:shd w:fill="CCEEFF" w:val="clear"/>
            <w:vAlign w:val="center"/>
          </w:tcPr>
          <w:p>
            <w:pPr>
              <w:pStyle w:val="TableContents"/>
              <w:bidi w:val="0"/>
              <w:spacing w:before="0" w:after="283"/>
              <w:jc w:val="left"/>
              <w:rPr/>
            </w:pPr>
            <w:r>
              <w:rPr/>
              <w:t> </w:t>
            </w:r>
          </w:p>
        </w:tc>
      </w:tr>
      <w:tr>
        <w:trPr/>
        <w:tc>
          <w:tcPr>
            <w:tcW w:w="1398" w:type="dxa"/>
            <w:tcBorders/>
            <w:shd w:fill="FFFFFF" w:val="clear"/>
            <w:tcMar>
              <w:top w:w="0" w:type="dxa"/>
              <w:bottom w:w="0" w:type="dxa"/>
            </w:tcMar>
            <w:vAlign w:val="center"/>
          </w:tcPr>
          <w:p>
            <w:pPr>
              <w:pStyle w:val="TableContents"/>
              <w:bidi w:val="0"/>
              <w:spacing w:before="0" w:after="283"/>
              <w:jc w:val="left"/>
              <w:rPr/>
            </w:pPr>
            <w:r>
              <w:rPr/>
              <w:t>Q1 2025</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772" w:type="dxa"/>
            <w:tcBorders/>
            <w:shd w:fill="FFFFFF" w:val="clear"/>
            <w:tcMar>
              <w:top w:w="0" w:type="dxa"/>
              <w:bottom w:w="0" w:type="dxa"/>
            </w:tcMar>
            <w:vAlign w:val="center"/>
          </w:tcPr>
          <w:p>
            <w:pPr>
              <w:pStyle w:val="TableContents"/>
              <w:bidi w:val="0"/>
              <w:spacing w:before="0" w:after="283"/>
              <w:jc w:val="left"/>
              <w:rPr/>
            </w:pPr>
            <w:r>
              <w:rPr/>
              <w:t>2025 Miners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308" w:type="dxa"/>
            <w:tcBorders/>
            <w:shd w:fill="FFFFFF" w:val="clear"/>
            <w:tcMar>
              <w:top w:w="0" w:type="dxa"/>
              <w:bottom w:w="0" w:type="dxa"/>
            </w:tcMar>
            <w:vAlign w:val="center"/>
          </w:tcPr>
          <w:p>
            <w:pPr>
              <w:pStyle w:val="TableContents"/>
              <w:bidi w:val="0"/>
              <w:spacing w:before="0" w:after="283"/>
              <w:jc w:val="center"/>
              <w:rPr/>
            </w:pPr>
            <w:r>
              <w:rPr/>
              <w:t>(v)</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0" w:type="dxa"/>
            <w:tcBorders/>
            <w:shd w:fill="FFFFFF" w:val="clear"/>
            <w:tcMar>
              <w:top w:w="0" w:type="dxa"/>
              <w:bottom w:w="0" w:type="dxa"/>
            </w:tcMar>
            <w:vAlign w:val="center"/>
          </w:tcPr>
          <w:p>
            <w:pPr>
              <w:pStyle w:val="TableContents"/>
              <w:bidi w:val="0"/>
              <w:spacing w:before="0" w:after="283"/>
              <w:jc w:val="right"/>
              <w:rPr/>
            </w:pPr>
            <w:r>
              <w:rPr/>
              <w:t>(4,160)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237" w:type="dxa"/>
            <w:tcBorders/>
            <w:shd w:fill="FFFFFF" w:val="clear"/>
            <w:tcMar>
              <w:top w:w="0" w:type="dxa"/>
              <w:bottom w:w="0" w:type="dxa"/>
            </w:tcMar>
            <w:vAlign w:val="center"/>
          </w:tcPr>
          <w:p>
            <w:pPr>
              <w:pStyle w:val="TableContents"/>
              <w:bidi w:val="0"/>
              <w:spacing w:before="0" w:after="283"/>
              <w:jc w:val="left"/>
              <w:rPr/>
            </w:pPr>
            <w:r>
              <w:rPr/>
              <w:t>Bitmain T21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2" w:type="dxa"/>
            <w:tcBorders/>
            <w:shd w:fill="FFFFFF" w:val="clear"/>
            <w:tcMar>
              <w:top w:w="0" w:type="dxa"/>
              <w:bottom w:w="0" w:type="dxa"/>
            </w:tcMar>
            <w:vAlign w:val="center"/>
          </w:tcPr>
          <w:p>
            <w:pPr>
              <w:pStyle w:val="TableContents"/>
              <w:bidi w:val="0"/>
              <w:spacing w:before="0" w:after="283"/>
              <w:jc w:val="left"/>
              <w:rPr/>
            </w:pPr>
            <w:r>
              <w:rPr/>
              <w:t> </w:t>
            </w:r>
          </w:p>
        </w:tc>
        <w:tc>
          <w:tcPr>
            <w:tcW w:w="1288" w:type="dxa"/>
            <w:tcBorders/>
            <w:shd w:fill="FFFFFF" w:val="clear"/>
            <w:tcMar>
              <w:top w:w="0" w:type="dxa"/>
              <w:bottom w:w="0" w:type="dxa"/>
            </w:tcMar>
            <w:vAlign w:val="center"/>
          </w:tcPr>
          <w:p>
            <w:pPr>
              <w:pStyle w:val="TableContents"/>
              <w:bidi w:val="0"/>
              <w:spacing w:before="0" w:after="283"/>
              <w:jc w:val="righ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2" w:type="dxa"/>
            <w:tcBorders/>
            <w:shd w:fill="FFFFFF" w:val="clear"/>
            <w:tcMar>
              <w:top w:w="0" w:type="dxa"/>
              <w:bottom w:w="0" w:type="dxa"/>
            </w:tcMar>
            <w:vAlign w:val="center"/>
          </w:tcPr>
          <w:p>
            <w:pPr>
              <w:pStyle w:val="TableContents"/>
              <w:bidi w:val="0"/>
              <w:spacing w:before="0" w:after="283"/>
              <w:jc w:val="left"/>
              <w:rPr/>
            </w:pPr>
            <w:r>
              <w:rPr/>
              <w:t> </w:t>
            </w:r>
          </w:p>
        </w:tc>
        <w:tc>
          <w:tcPr>
            <w:tcW w:w="968" w:type="dxa"/>
            <w:tcBorders/>
            <w:shd w:fill="FFFFFF" w:val="clear"/>
            <w:tcMar>
              <w:top w:w="0" w:type="dxa"/>
              <w:bottom w:w="0" w:type="dxa"/>
            </w:tcMar>
            <w:vAlign w:val="center"/>
          </w:tcPr>
          <w:p>
            <w:pPr>
              <w:pStyle w:val="TableContents"/>
              <w:bidi w:val="0"/>
              <w:spacing w:before="0" w:after="283"/>
              <w:jc w:val="righ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8" w:type="dxa"/>
            <w:tcBorders/>
            <w:shd w:fill="FFFFFF" w:val="clear"/>
            <w:tcMar>
              <w:top w:w="0" w:type="dxa"/>
              <w:bottom w:w="0" w:type="dxa"/>
            </w:tcMar>
            <w:vAlign w:val="center"/>
          </w:tcPr>
          <w:p>
            <w:pPr>
              <w:pStyle w:val="TableContents"/>
              <w:bidi w:val="0"/>
              <w:spacing w:before="0" w:after="283"/>
              <w:jc w:val="left"/>
              <w:rPr/>
            </w:pPr>
            <w:r>
              <w:rPr/>
              <w:t> </w:t>
            </w:r>
          </w:p>
        </w:tc>
        <w:tc>
          <w:tcPr>
            <w:tcW w:w="1357" w:type="dxa"/>
            <w:tcBorders/>
            <w:shd w:fill="FFFFFF" w:val="clear"/>
            <w:tcMar>
              <w:top w:w="0" w:type="dxa"/>
              <w:bottom w:w="0" w:type="dxa"/>
            </w:tcMar>
            <w:vAlign w:val="center"/>
          </w:tcPr>
          <w:p>
            <w:pPr>
              <w:pStyle w:val="TableContents"/>
              <w:bidi w:val="0"/>
              <w:spacing w:before="0" w:after="283"/>
              <w:jc w:val="right"/>
              <w:rPr>
                <w:b/>
              </w:rPr>
            </w:pPr>
            <w:r>
              <w:rPr>
                <w:b/>
              </w:rPr>
              <w:t>(4,160</w:t>
            </w:r>
          </w:p>
        </w:tc>
        <w:tc>
          <w:tcPr>
            <w:tcW w:w="115" w:type="dxa"/>
            <w:tcBorders/>
            <w:shd w:fill="FFFFFF" w:val="clear"/>
            <w:tcMar>
              <w:top w:w="0" w:type="dxa"/>
              <w:bottom w:w="0" w:type="dxa"/>
            </w:tcMar>
            <w:vAlign w:val="center"/>
          </w:tcPr>
          <w:p>
            <w:pPr>
              <w:pStyle w:val="TableContents"/>
              <w:bidi w:val="0"/>
              <w:spacing w:before="0" w:after="283"/>
              <w:jc w:val="left"/>
              <w:rPr>
                <w:b/>
              </w:rPr>
            </w:pPr>
            <w:r>
              <w:rPr>
                <w:b/>
              </w:rPr>
              <w:t>)</w:t>
            </w:r>
          </w:p>
        </w:tc>
      </w:tr>
      <w:tr>
        <w:trPr/>
        <w:tc>
          <w:tcPr>
            <w:tcW w:w="1398"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772" w:type="dxa"/>
            <w:tcBorders>
              <w:bottom w:val="single" w:sz="8" w:space="0" w:color="000000"/>
            </w:tcBorders>
            <w:shd w:fill="CCEEFF" w:val="clear"/>
            <w:tcMar>
              <w:top w:w="0" w:type="dxa"/>
            </w:tcMar>
            <w:vAlign w:val="center"/>
          </w:tcPr>
          <w:p>
            <w:pPr>
              <w:pStyle w:val="TableContents"/>
              <w:bidi w:val="0"/>
              <w:spacing w:before="0" w:after="283"/>
              <w:jc w:val="left"/>
              <w:rPr/>
            </w:pPr>
            <w:r>
              <w:rPr/>
              <w:t>Swap</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top w:w="0" w:type="dxa"/>
            </w:tcMar>
            <w:vAlign w:val="center"/>
          </w:tcPr>
          <w:p>
            <w:pPr>
              <w:pStyle w:val="TableContents"/>
              <w:bidi w:val="0"/>
              <w:spacing w:before="0" w:after="283"/>
              <w:jc w:val="center"/>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top w:w="0" w:type="dxa"/>
            </w:tcMar>
            <w:vAlign w:val="center"/>
          </w:tcPr>
          <w:p>
            <w:pPr>
              <w:pStyle w:val="TableContents"/>
              <w:bidi w:val="0"/>
              <w:spacing w:before="0" w:after="283"/>
              <w:jc w:val="right"/>
              <w:rPr/>
            </w:pPr>
            <w:r>
              <w:rPr/>
              <w:t>3,660</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top w:w="0" w:type="dxa"/>
            </w:tcMar>
            <w:vAlign w:val="center"/>
          </w:tcPr>
          <w:p>
            <w:pPr>
              <w:pStyle w:val="TableContents"/>
              <w:bidi w:val="0"/>
              <w:spacing w:before="0" w:after="283"/>
              <w:jc w:val="left"/>
              <w:rPr/>
            </w:pPr>
            <w:r>
              <w:rPr/>
              <w:t>Bitmain S21 Pro</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top w:w="0" w:type="dxa"/>
            </w:tcMar>
            <w:vAlign w:val="center"/>
          </w:tcPr>
          <w:p>
            <w:pPr>
              <w:pStyle w:val="TableContents"/>
              <w:bidi w:val="0"/>
              <w:spacing w:before="0" w:after="283"/>
              <w:jc w:val="right"/>
              <w:rPr/>
            </w:pPr>
            <w:r>
              <w:rPr/>
              <w:t>—</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top w:w="0" w:type="dxa"/>
            </w:tcMar>
            <w:vAlign w:val="center"/>
          </w:tcPr>
          <w:p>
            <w:pPr>
              <w:pStyle w:val="TableContents"/>
              <w:bidi w:val="0"/>
              <w:spacing w:before="0" w:after="283"/>
              <w:jc w:val="right"/>
              <w:rPr/>
            </w:pPr>
            <w:r>
              <w:rPr/>
              <w:t>—</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357" w:type="dxa"/>
            <w:tcBorders>
              <w:bottom w:val="single" w:sz="8" w:space="0" w:color="000000"/>
            </w:tcBorders>
            <w:shd w:fill="CCEEFF" w:val="clear"/>
            <w:tcMar>
              <w:top w:w="0" w:type="dxa"/>
            </w:tcMar>
            <w:vAlign w:val="center"/>
          </w:tcPr>
          <w:p>
            <w:pPr>
              <w:pStyle w:val="TableContents"/>
              <w:bidi w:val="0"/>
              <w:spacing w:before="0" w:after="283"/>
              <w:jc w:val="right"/>
              <w:rPr>
                <w:b/>
              </w:rPr>
            </w:pPr>
            <w:r>
              <w:rPr>
                <w:b/>
              </w:rPr>
              <w:t>3,660</w:t>
            </w:r>
          </w:p>
        </w:tc>
        <w:tc>
          <w:tcPr>
            <w:tcW w:w="115"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r>
      <w:tr>
        <w:trPr/>
        <w:tc>
          <w:tcPr>
            <w:tcW w:w="1398"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772"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top w:w="0"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top w:w="0" w:type="dxa"/>
            </w:tcMar>
            <w:vAlign w:val="center"/>
          </w:tcPr>
          <w:p>
            <w:pPr>
              <w:pStyle w:val="TableContents"/>
              <w:bidi w:val="0"/>
              <w:spacing w:before="0" w:after="283"/>
              <w:jc w:val="right"/>
              <w:rPr/>
            </w:pPr>
            <w:r>
              <w:rPr/>
              <w:t>(500)</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top w:w="0" w:type="dxa"/>
            </w:tcMar>
            <w:vAlign w:val="center"/>
          </w:tcPr>
          <w:p>
            <w:pPr>
              <w:pStyle w:val="TableContents"/>
              <w:bidi w:val="0"/>
              <w:spacing w:before="0" w:after="283"/>
              <w:jc w:val="right"/>
              <w:rPr/>
            </w:pPr>
            <w:r>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top w:w="0" w:type="dxa"/>
            </w:tcMar>
            <w:vAlign w:val="center"/>
          </w:tcPr>
          <w:p>
            <w:pPr>
              <w:pStyle w:val="TableContents"/>
              <w:bidi w:val="0"/>
              <w:spacing w:before="0" w:after="283"/>
              <w:jc w:val="right"/>
              <w:rPr/>
            </w:pPr>
            <w:r>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18"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357" w:type="dxa"/>
            <w:tcBorders>
              <w:bottom w:val="single" w:sz="8" w:space="0" w:color="000000"/>
            </w:tcBorders>
            <w:shd w:fill="FFFFFF" w:val="clear"/>
            <w:tcMar>
              <w:top w:w="0" w:type="dxa"/>
            </w:tcMar>
            <w:vAlign w:val="center"/>
          </w:tcPr>
          <w:p>
            <w:pPr>
              <w:pStyle w:val="TableContents"/>
              <w:bidi w:val="0"/>
              <w:spacing w:before="0" w:after="283"/>
              <w:jc w:val="right"/>
              <w:rPr>
                <w:b/>
              </w:rPr>
            </w:pPr>
            <w:r>
              <w:rPr>
                <w:b/>
              </w:rPr>
              <w:t>(500</w:t>
            </w:r>
          </w:p>
        </w:tc>
        <w:tc>
          <w:tcPr>
            <w:tcW w:w="115" w:type="dxa"/>
            <w:tcBorders>
              <w:bottom w:val="single" w:sz="8" w:space="0" w:color="000000"/>
            </w:tcBorders>
            <w:shd w:fill="FFFFFF" w:val="clear"/>
            <w:tcMar>
              <w:top w:w="0" w:type="dxa"/>
            </w:tcMar>
            <w:vAlign w:val="center"/>
          </w:tcPr>
          <w:p>
            <w:pPr>
              <w:pStyle w:val="TableContents"/>
              <w:bidi w:val="0"/>
              <w:spacing w:before="0" w:after="283"/>
              <w:jc w:val="left"/>
              <w:rPr>
                <w:b/>
              </w:rPr>
            </w:pPr>
            <w:r>
              <w:rPr>
                <w:b/>
              </w:rPr>
              <w:t>)</w:t>
            </w:r>
          </w:p>
        </w:tc>
      </w:tr>
      <w:tr>
        <w:trPr/>
        <w:tc>
          <w:tcPr>
            <w:tcW w:w="1398"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772"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top w:w="0" w:type="dxa"/>
            </w:tcMar>
            <w:vAlign w:val="center"/>
          </w:tcPr>
          <w:p>
            <w:pPr>
              <w:pStyle w:val="TableContents"/>
              <w:bidi w:val="0"/>
              <w:spacing w:before="0" w:after="283"/>
              <w:jc w:val="center"/>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top w:w="0" w:type="dxa"/>
            </w:tcMar>
            <w:vAlign w:val="center"/>
          </w:tcPr>
          <w:p>
            <w:pPr>
              <w:pStyle w:val="TableContents"/>
              <w:bidi w:val="0"/>
              <w:spacing w:before="0" w:after="283"/>
              <w:jc w:val="right"/>
              <w:rPr/>
            </w:pPr>
            <w:r>
              <w:rPr/>
              <w:t>87,649</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top w:w="0" w:type="dxa"/>
            </w:tcMar>
            <w:vAlign w:val="center"/>
          </w:tcPr>
          <w:p>
            <w:pPr>
              <w:pStyle w:val="TableContents"/>
              <w:bidi w:val="0"/>
              <w:spacing w:before="0" w:after="283"/>
              <w:jc w:val="right"/>
              <w:rPr>
                <w:b/>
              </w:rPr>
            </w:pPr>
            <w:r>
              <w:rPr>
                <w:b/>
              </w:rPr>
              <w:t>73,874</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top w:w="0" w:type="dxa"/>
            </w:tcMar>
            <w:vAlign w:val="center"/>
          </w:tcPr>
          <w:p>
            <w:pPr>
              <w:pStyle w:val="TableContents"/>
              <w:bidi w:val="0"/>
              <w:spacing w:before="0" w:after="283"/>
              <w:jc w:val="right"/>
              <w:rPr>
                <w:b/>
              </w:rPr>
            </w:pPr>
            <w:r>
              <w:rPr>
                <w:b/>
              </w:rPr>
              <w:t>14.8</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357" w:type="dxa"/>
            <w:tcBorders>
              <w:bottom w:val="single" w:sz="8" w:space="0" w:color="000000"/>
            </w:tcBorders>
            <w:shd w:fill="CCEEFF" w:val="clear"/>
            <w:tcMar>
              <w:top w:w="0" w:type="dxa"/>
            </w:tcMar>
            <w:vAlign w:val="center"/>
          </w:tcPr>
          <w:p>
            <w:pPr>
              <w:pStyle w:val="TableContents"/>
              <w:bidi w:val="0"/>
              <w:spacing w:before="0" w:after="283"/>
              <w:jc w:val="right"/>
              <w:rPr>
                <w:b/>
              </w:rPr>
            </w:pPr>
            <w:r>
              <w:rPr>
                <w:b/>
              </w:rPr>
              <w:t>13,775</w:t>
            </w:r>
          </w:p>
        </w:tc>
        <w:tc>
          <w:tcPr>
            <w:tcW w:w="115"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shd w:fill="FFFFFF" w:val="clear"/>
              </w:rPr>
            </w:pPr>
            <w:r>
              <w:rPr>
                <w:rFonts w:ascii="Times New Roman;Times;Serif" w:hAnsi="Times New Roman;Times;Serif"/>
                <w:position w:val="7"/>
                <w:sz w:val="16"/>
                <w:sz w:val="20"/>
                <w:shd w:fill="FFFFFF" w:val="clear"/>
              </w:rPr>
              <w:t>1</w:t>
            </w:r>
          </w:p>
        </w:tc>
        <w:tc>
          <w:tcPr>
            <w:tcW w:w="10080"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The total Hashrate from the Miners received should correspond to the total Hashrate specified in the initial agreements. The quantity of Miners received may vary based on the individual Hashrate specifications of each Miner.</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shd w:fill="FFFFFF" w:val="clear"/>
              </w:rPr>
            </w:pPr>
            <w:r>
              <w:rPr>
                <w:rFonts w:ascii="Times New Roman;Times;Serif" w:hAnsi="Times New Roman;Times;Serif"/>
                <w:position w:val="7"/>
                <w:sz w:val="16"/>
                <w:sz w:val="20"/>
                <w:shd w:fill="FFFFFF" w:val="clear"/>
              </w:rPr>
              <w:t>2</w:t>
            </w:r>
          </w:p>
        </w:tc>
        <w:tc>
          <w:tcPr>
            <w:tcW w:w="10080"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The Hashrate is based on the average Miner specifications stated in the purchase agreements and the Company’s actual realized Hashrate may differ.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UNITED STATES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Stronghold and Yguazu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Stronghold transaction and the sale of the Yguazu Data Center described below, enabled the Company to rebalance its portfolio of MW to approximately 80% in North America and 20% outside of North America and is expected to reduce the Company’s average energy costs per kWh by up to 10%. Proceeds from the transaction will be reinvested towards its 1.1 GW growth pipeline as part of the Company’s planned United States expansion for BTC and HPC/AI infrastructure, which marks a significant milestone in the Company’s transition from an international Bitcoin miner to a North American energy and compute infrastructure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of HPC/AI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engaged two separate expert consultants in HPC/AI, ASG and WWT, to conduct formal evaluations of the Company’s Data Centers and energy assets for potential partial or total conversion to HPC/AI. In parallel, ASG and WWT will conduct feasibility assessments, Data Center engineering, site map planning, construction budgeting, and help build accelerated sales and development strategies. Combined, they will support the building of the Company’s operational capabilities and market the Company’s sites to potential HPC/AI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Stronghold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2024, the Company and Stronghold entered into a Merger Agreement pursuant to which Bitfarms acquired Stronghold in a stock-for-stock merger transaction (the “</w:t>
      </w:r>
      <w:r>
        <w:rPr>
          <w:rFonts w:ascii="Times New Roman;Times;Serif" w:hAnsi="Times New Roman;Times;Serif"/>
          <w:b/>
          <w:i w:val="false"/>
          <w:caps w:val="false"/>
          <w:smallCaps w:val="false"/>
          <w:sz w:val="20"/>
        </w:rPr>
        <w:t>Stronghold Transaction</w:t>
      </w:r>
      <w:r>
        <w:rPr>
          <w:rFonts w:ascii="Times New Roman;Times;Serif" w:hAnsi="Times New Roman;Times;Serif"/>
          <w:b w:val="false"/>
          <w:i w:val="false"/>
          <w:caps w:val="false"/>
          <w:smallCaps w:val="false"/>
          <w:sz w:val="20"/>
        </w:rPr>
        <w:t>”). The Stronghold Transaction was valued at an equity value of approximately US$125.0 million plus the repayment of debt valued at approximately US$50.0 million, which is repayable at closing. The Stronghold Transaction was unanimously approved by the Board of Directors of both companies and was approved by shareholders representing a majority of the outstanding shares of Stronghold on February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Stronghold is a vertically integrated power generation and Data Center company focused on environmental remediation and reclamation services. Stronghold owns over 750 acres of land with options on over 1,100 additional acres along with two merchant power plants: the Scrubgrass and Panther Creek facilities in Pennsylvania. These two power plants are recognized by Pennsylvania as a Tier 2 Alternative Energy Source (the same category as large-scale hydroelectric power plant) for their proven and significant environmental benefits and have removed hundreds of thousands of tons of industrial waste and converted it into power, while reclaiming hundreds of acres in the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Stronghold had a Hashrate of 2.9 EH/s and 165 MW of current nameplate generated power capacity. In addition, Stronghold has 142 MW of current Pennsylvania-New Jersey-Maryland Interconnection (“</w:t>
      </w:r>
      <w:r>
        <w:rPr>
          <w:rFonts w:ascii="Times New Roman;Times;Serif" w:hAnsi="Times New Roman;Times;Serif"/>
          <w:b/>
          <w:i w:val="false"/>
          <w:caps w:val="false"/>
          <w:smallCaps w:val="false"/>
          <w:sz w:val="20"/>
        </w:rPr>
        <w:t>PJM</w:t>
      </w:r>
      <w:r>
        <w:rPr>
          <w:rFonts w:ascii="Times New Roman;Times;Serif" w:hAnsi="Times New Roman;Times;Serif"/>
          <w:b w:val="false"/>
          <w:i w:val="false"/>
          <w:caps w:val="false"/>
          <w:smallCaps w:val="false"/>
          <w:sz w:val="20"/>
        </w:rPr>
        <w:t>”) import capacity with multiple studies underway to potentially increase the total import capacity by an additional 648 MW, bringing as much as 790 MW of incremental potential power beyond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the Stronghold Transaction closed, following the receipt of Stronghold shareholders approval on February 27, 2025, applicable regulatory approvals, certain third-party consents and other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Stronghold shareholders received 2.52 shares of Bitfarms for each share of Stronghold they own. The Company issued 59,866,852 common shares and 12,893,650 warrants in connection with the consummation of the merger. In addition, approximately US$44.5 million was paid at closing to retire outstanding Stronghold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the process of determining the fair value of identifiable assets acquired and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Stronghold Transaction added up to 307 MW of power capacity, with an additional 648 MW of incremental potential power capacity, for a total of 955 MW of potential power capacity, to the Company’s operations and is aligned with the Company’s strategic objectives to diversify its operations and expand its presence in the United States. through vertical integration of power generation and energy arbitrage capabilities. This transaction solidifies Bitfarms’ role as a dominant player in the Bitcoin Mining sector and positions it well for expansion into the HPC/AI sector with two strategically located facilities with energy infrastructure and expansion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Sharon Lease Agreement 2024 to 2026 plan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Company executed a lease agreement for a site located in Sharon, Pennsylvania, United States (“</w:t>
      </w:r>
      <w:r>
        <w:rPr>
          <w:rFonts w:ascii="Times New Roman;Times;Serif" w:hAnsi="Times New Roman;Times;Serif"/>
          <w:b/>
          <w:i w:val="false"/>
          <w:caps w:val="false"/>
          <w:smallCaps w:val="false"/>
          <w:sz w:val="20"/>
        </w:rPr>
        <w:t>Sharon Lease Agreement</w:t>
      </w:r>
      <w:r>
        <w:rPr>
          <w:rFonts w:ascii="Times New Roman;Times;Serif" w:hAnsi="Times New Roman;Times;Serif"/>
          <w:b w:val="false"/>
          <w:i w:val="false"/>
          <w:caps w:val="false"/>
          <w:smallCaps w:val="false"/>
          <w:sz w:val="20"/>
        </w:rPr>
        <w:t>”), and develop up to 110 MW of power capacity. Bitfarms also signed a letter of intent to lease an additional 10 MW site near the 110 MW site, which would bring total site capacity to 120 MW. The agreement includes a five-year lease in an industrialized area, including a 11,200 square feet warehouse with options to renew for a total of 17 years along with an option to purchase at fair market value throughout the lease. The lease has variable lease payments with minimum monthly payments increasing over the term of the lease from US$33,000 to US$138,000 with annual adjustments beginning after the third year of the agreement. Prior to June 30, 2026, monthly lease payments can fluctuate based on the energized MW.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finalized the definitive lease agreement and assumed control of the property. With this transaction, the Company acquired a potential 110 MW of electricity capacity, with the transaction providing the Company with an immediate capacity increase of 12 MW of electricity. A total of 30 MW of capacity is slated to come online by the end of the second quarter of 2025 and the remaining 80 MW in 2026, when the installation of electrical infrastructure is expected to be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profit sharing plans from future hosting agreements and/or through proprietary compute power dedicated to BTC, the Mining operations are expected to increase the online Hashrate under management up to 1.6 EH/s. Fully energized for computing power dedicated to Bitcoin Mining, the site could support over 7.0 EH/s with current generation Miners. The cost of developing the 110 MW Bitcoin data center for computational power and the installation of the high voltage lines is estimated to range from US$50.0 million to US$60.0 million. A concurrent evaluation of developing all or a portion of the site for HPC/AI is in exploratory stages and may impact estimated capital expenditures and the increase in online Hashrate.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Sharon Position as of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placed deposits of $3.2 million with suppliers for construction costs and for electrical components. As of December 31, 2024, property, plant and equipment (“</w:t>
      </w:r>
      <w:r>
        <w:rPr>
          <w:rFonts w:ascii="Times New Roman;Times;Serif" w:hAnsi="Times New Roman;Times;Serif"/>
          <w:b/>
          <w:i w:val="false"/>
          <w:caps w:val="false"/>
          <w:smallCaps w:val="false"/>
          <w:sz w:val="20"/>
        </w:rPr>
        <w:t>PPE</w:t>
      </w:r>
      <w:r>
        <w:rPr>
          <w:rFonts w:ascii="Times New Roman;Times;Serif" w:hAnsi="Times New Roman;Times;Serif"/>
          <w:b w:val="false"/>
          <w:i w:val="false"/>
          <w:caps w:val="false"/>
          <w:smallCaps w:val="false"/>
          <w:sz w:val="20"/>
        </w:rPr>
        <w:t>”) included US$8.3 million related to the Sharon Data Center for facility construction and infrastructure equipment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Sharon 2025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energized 12 MW at the Sharon Data Center after installing 3,300 Miners. The Company is in the registration process for participation in Economic Demand Response and other grid support programs offered in the deregulated PJM market. Participation in these programs includes both demand response and energy arbitrage strategies that the Company plans to develop in the coming months across its PJM portfolio under Bitfarms’ energy program. This program will be critical to maximizing the value of its PJM assets through more effective control of energy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Washington State 2024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in connection with the construction of a new 6 MW Data Center on the Company’s property in Washington State, the Company elected to cancel the lease of a 5 MW Data Center in the region and transfer Miners from the leased data center to the newly constructed data center. In April 2024, the cancellation of the lease was effective. In June 2024, the Company energized a 3 MW temporary Data Center until the new 6 MW Data Center was fully constructed in October 2024. The cost of developing the 6 MW Data Center totaled US$2.1 million, including US$0.9 million paid in 2023 to the power supplier for establishing the necessary electricity 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power supplier established the electricity connection allowing the Company, subject to the completion of the civil work, to access 6 MW of hydro power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a mix of approximately 1,200 1,000 Bitmain T21 and S21 Miners 200 were installed at the current operating Data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2024, the Company installed approximately 700 additional T21 Bitmain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Washington State 2025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upgrade of a portion of its current fleet of Miners in Washington during February 2025 with new T21 Miners. The Washington location is also being evaluated by ASG and WWT for potential conversion to HPC/AI due to its strategic location near a Data Center cluster and a different tariff rate for HPC/AI Data Centers that the Company believes would reduce its anticipated energy costs at the site to below $0.03 kWh.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employed 17 team members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 PARAGUAY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Paso Pe 2024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March 2024 to June 2024, construction of the Paso Pe Data Center and the underground cable connections were completed, the 80 MW capacity transformer was received and installed, and approximately 9,500 Bitmain T21 Miners and approximately 1,800 MicroBT M53S Hydro Miners were housed within a portion of the eight Hydro Containers. Following the commissioning of the substation, in the second quarter of 2024, the Company energized the 70 MW substation and started operating four of five air cooling sites and six of eight hydro containers.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installed approximately 1,800 additional Bitmain T21 Miners, completing the Paso Pe expansion. As of July 2024, all five warehouses and eight hydro containers have been fully energized and are actively hashing. In October 2024, the Company added approximately 3,100 Bitmain T21 Miners to the Paso Pe Data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developing the expanded 50 MW air-cooled warehouses, engineering and ancillary services for the 20 MW of hydro-cooling capacity, constructing the substation capable of accommodating the total energy requirement, and the installation of the high voltage lines totaled US$27.5 million, excluding the cost of the power purchase agreement guarantees required by ANDE, the operator of Paraguay national electricity grid, to secure the monthly electricity purchase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Electricity rate update - Paso Pe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July 2024, the Company’s sustainable hydropower has been provided at a cost of approximately 4.4 cents per kWh, before VAT, following the increase in the tariff for Mining activities compared to the previous rate of 3.9 cents per kWh, before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Paso Pe position as of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placed deposits of US$0.2 million with suppliers for construction costs and for electrical components, respectively. As of December 31, 2024, PPE included US$24.5 million related to the Paso Pe Data Center for the construction and infrastructure equipment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Yguazu 2024 and 2025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the Company purchased the land for the initially planned 100 MW hydro-powered Yguazu Data Center to contribute sufficient infrastructure to achieve the Company’s growth targets and for additional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and March 2024, the Company signed purchase agreements for major long-lead equipment and significant contracts including the engineering, procurement and construction contract for the high-voltage interconnection to the ANDE substation and to the transmission line to energize the 100 MW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started construction of the Yguazu Data Center. In May 2024, the Company amended its power purchase agreement for the Yguazu Data Center to increase the contracted power from 100 MW to 200 MW commencing on January 1, 2025. In June 2024, the Company purchased land for the planned additional 100 MW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requested to delay the commissioning of the substation by 60 days, which was approved by ANDE in December 2024. The Company has a four-month trial period to ramp up usage of the substation to full capacity after it is first commissioned.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completed the build out of the electrical infrastructure for the first 100 MW. In March 2025, the construction of an additional 50 MW of the Yguazu Data Center was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Yguazu Data Center 2025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 announced that it entered into a binding letter of intent to sell its 200 MW site in Yguazu, Paraguay to HIVE (the “Yguazu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the Yguazu Sale closed with HIVE purchasing from Bitfarms its 100% ownership stake of its Yguazu, Paraguay BTC Data Center and the Company’s loan receivable from its Yguazu, Paraguay subsidiary, Zunz SA (“Backbone Yguazu”), for US$63.0 million, with Bitfarms receiving: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t>US$20.0 million of advance payment made in January 2025 upon signing the letter of intent;</w:t>
            </w:r>
          </w:p>
        </w:tc>
      </w:tr>
    </w:tbl>
    <w:tbl>
      <w:tblPr>
        <w:tblW w:w="5000" w:type="pct"/>
        <w:jc w:val="left"/>
        <w:tblInd w:w="0" w:type="dxa"/>
        <w:tblLayout w:type="fixed"/>
        <w:tblCellMar>
          <w:top w:w="0" w:type="dxa"/>
          <w:left w:w="0" w:type="dxa"/>
          <w:bottom w:w="0" w:type="dxa"/>
          <w:right w:w="0" w:type="dxa"/>
        </w:tblCellMar>
      </w:tblPr>
      <w:tblGrid>
        <w:gridCol w:w="73"/>
        <w:gridCol w:w="328"/>
        <w:gridCol w:w="9804"/>
      </w:tblGrid>
      <w:tr>
        <w:trPr/>
        <w:tc>
          <w:tcPr>
            <w:tcW w:w="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w:t>
            </w:r>
          </w:p>
        </w:tc>
        <w:tc>
          <w:tcPr>
            <w:tcW w:w="9804" w:type="dxa"/>
            <w:tcBorders/>
            <w:vAlign w:val="center"/>
          </w:tcPr>
          <w:p>
            <w:pPr>
              <w:pStyle w:val="TableContents"/>
              <w:bidi w:val="0"/>
              <w:spacing w:before="0" w:after="283"/>
              <w:jc w:val="both"/>
              <w:rPr/>
            </w:pPr>
            <w:r>
              <w:rPr/>
              <w:t>US$12.0 million upon closing of this transaction; and</w:t>
            </w:r>
          </w:p>
        </w:tc>
      </w:tr>
    </w:tbl>
    <w:tbl>
      <w:tblPr>
        <w:tblW w:w="5000" w:type="pct"/>
        <w:jc w:val="left"/>
        <w:tblInd w:w="0" w:type="dxa"/>
        <w:tblLayout w:type="fixed"/>
        <w:tblCellMar>
          <w:top w:w="0" w:type="dxa"/>
          <w:left w:w="0" w:type="dxa"/>
          <w:bottom w:w="0" w:type="dxa"/>
          <w:right w:w="0" w:type="dxa"/>
        </w:tblCellMar>
      </w:tblPr>
      <w:tblGrid>
        <w:gridCol w:w="77"/>
        <w:gridCol w:w="347"/>
        <w:gridCol w:w="9781"/>
      </w:tblGrid>
      <w:tr>
        <w:trPr/>
        <w:tc>
          <w:tcPr>
            <w:tcW w:w="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both"/>
              <w:rPr/>
            </w:pPr>
            <w:r>
              <w:rPr/>
              <w:t>US$31.0 million over 6 months following closing.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also relieved the Company of future costs totaling approximately US$22.0 assumed by HIVE for a total favorable net cash impact of approximately US$85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employed 44 team members in Paraguay including 17 employees being trained for Yguazu. As part of the sale to HIVE the Yguazu team was transferred to HIVE reducing Paraguay employees to 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5.5 CANADA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Baie-Comeau background</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April 2023, the Company entered into agreements to acquire shares of a Company that owned the right to consume 22 MW of hydro power capacity in Baie-Comeau, Quebec, and to lease a Bitcoin Data Center to install the infrastructure to operate the acquired capacity. When fully utilized, the 22 MW is expected to add over 600 PH/s. The Baie-Comeau area was home to five hydro-electricity Data Centers with over 5.4 Gigawatts of nameplate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July 2023, the Company completed the acquisition. The consideration transferred at closing totaled $2.0 million (CAD$2.6 million), of which $0.6 million (CAD$0.8 million) was paid in cash and $1.4 million (CAD$1.8 million) was paid through the issuance of 820,837 common shares of the Company. The lease agreement is for an industrial Bitcoin Data Center in Baie-Comeau for an initial term of 10 years and provided the Company with the option to purchase the Bitcoin Data Center for $2.2 million (CAD$3.0 million) with an annual adjustment at the lesser of (i) the change in the Consumer Price Index and (ii) 3% throughout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Baie-Comeau 2023 update</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Following the closing of the acquisition, the Company immediately commenced production at Baie-Comeau with an initial 3 MW online. In connection with the acquisition, the Company increased its total hashrate target to 6.3 EH/s, which was achieved on October 20,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planned to minimize development-related and build-out expenditures by relocating Miners from other Data Centers to Baie-Comeau and by applying infrastructure equipment repurposed from the December 2022 sale of the former De La Pointe Data Center. In June and August 2023, approximately 2,500 WhatsMiner M31S+ Miners were redeployed from Magog and installed at the Baie-Comeau Data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Canada 2024 update</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part of the Miner upgrade and expansion initiatives, the Company installed new Miners at its data centers in Canada during 2024 with new Bitmain T21, S21, S21 Hydro Miners and MicroBT WhatsMiner M53S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March and April 2024, the Company installed approximately 1,700 Bitmain T21 Miners and 100 MicroBT WhatsMiner M53S Miners at its Farnham data center, adding a net 0.2 EH/s after removing older, less efficient Miners. Separately, between April and June 2024, approximately 25,300 new Miners were installed at the Company’s data centers in Canada, adding a net 1.6 EH/s after removing older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March 2024, the Company entered into a sale leaseback agreement for the Garlock Data Center and received net proceeds of US$1.7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August and September 2024, the Company received from Bitmain 2,700 T21 Bitmain Miners at no additional cost and installed those Miners at the Company’s Data Centers in Canada to replace certain underperforming Miners experiencing overheating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September 2024, approximately 2,900 T21 Bitmain Miners were installed at the Company’s Magog Data Center after removing older Miners.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Baie-Comeau 2024 and 2025 update</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From May 2024 to October 2024, construction of the second 11 MW Data Center in Baie-Comeau was completed. In January 2025, the energy provider energized the additional 11 MW, increasing the Baie-Comeau Data Center total to 22 MW.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cost of developing the second 11 MW Data Center, including the leasehold improvements, construction of a new building and electrical infrastructure with a capacity up to 18 MW, totaled US$9.2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Baie-Comeau position as of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US$10.0 million of PPE at the Baie-Comeau Data Center, including infrastructure equipment that was repurposed from other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w:t>
      </w:r>
      <w:r>
        <w:rPr>
          <w:rFonts w:ascii="Times New Roman;Times;Serif" w:hAnsi="Times New Roman;Times;Serif"/>
          <w:b w:val="false"/>
          <w:i w:val="false"/>
          <w:caps w:val="false"/>
          <w:smallCaps w:val="false"/>
          <w:sz w:val="20"/>
        </w:rPr>
        <w:t>s of December 31, 2024, the Company employed 102 team members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 ARGENTINA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the Company entered into an eight-year power purchase agreement for up to 210 MW with a private Argentinian power producer in the city of Rio Cuarto, Province of Cordoba (the “</w:t>
      </w:r>
      <w:r>
        <w:rPr>
          <w:rFonts w:ascii="Times New Roman;Times;Serif" w:hAnsi="Times New Roman;Times;Serif"/>
          <w:b/>
          <w:i w:val="false"/>
          <w:caps w:val="false"/>
          <w:smallCaps w:val="false"/>
          <w:sz w:val="20"/>
        </w:rPr>
        <w:t>Power Producer</w:t>
      </w:r>
      <w:r>
        <w:rPr>
          <w:rFonts w:ascii="Times New Roman;Times;Serif" w:hAnsi="Times New Roman;Times;Serif"/>
          <w:b w:val="false"/>
          <w:i w:val="false"/>
          <w:caps w:val="false"/>
          <w:smallCaps w:val="false"/>
          <w:sz w:val="20"/>
        </w:rPr>
        <w:t>”), with an electricity cost of US$0.02 per kilowatt-hour for the first four years, up to a maximum amount of 1,103,760 megawatt hours per year (on a pro-rata basis for a consumption of 210 MW), and was subject to certain adjustments, variable pricing components and consumption limitations. The pricing on the remaining four years of the eight-year energy contract was to be determined by a formula that is largely dependent on natural gas prices. The agreement also allows for the Power Producer to renegotiate the rate if the ratio of the exchange rate under the blue-chip mechanism used in Argentina to the official exchange rate would be less than 1.50. For further details, refer to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the Company entered into an eight-year lease agreement, comprising annual payments of approximately US$0.1 million, with the Power Producer to lease land within the Power Producer’s property for the Mining Data Center’s construction and operation in the Province of Cordoba (the “</w:t>
      </w:r>
      <w:r>
        <w:rPr>
          <w:rFonts w:ascii="Times New Roman;Times;Serif" w:hAnsi="Times New Roman;Times;Serif"/>
          <w:b/>
          <w:i w:val="false"/>
          <w:caps w:val="false"/>
          <w:smallCaps w:val="false"/>
          <w:sz w:val="20"/>
        </w:rPr>
        <w:t>Rio Cuarto Data Center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Company entered a contract with PROA to provide engineering, procurement, and construction services for the Argentina Data Center. PROA specializes in utility-grade electrical infrastructure and civil construction with relevant expertise in the design and construction of electrical interconnections, high voltage electrical lines, and transformers needed for operations of the size of the planned Argentina Data Center. Pursuant to an agreement signed with LPZ Hosting S.A.S (“</w:t>
      </w:r>
      <w:r>
        <w:rPr>
          <w:rFonts w:ascii="Times New Roman;Times;Serif" w:hAnsi="Times New Roman;Times;Serif"/>
          <w:b/>
          <w:i w:val="false"/>
          <w:caps w:val="false"/>
          <w:smallCaps w:val="false"/>
          <w:sz w:val="20"/>
        </w:rPr>
        <w:t>LPZ</w:t>
      </w:r>
      <w:r>
        <w:rPr>
          <w:rFonts w:ascii="Times New Roman;Times;Serif" w:hAnsi="Times New Roman;Times;Serif"/>
          <w:b w:val="false"/>
          <w:i w:val="false"/>
          <w:caps w:val="false"/>
          <w:smallCaps w:val="false"/>
          <w:sz w:val="20"/>
        </w:rPr>
        <w:t>”), LPZ was responsible for the detail engineering, purchasing management and execution of louvers, sound and noise system, electric installation, data network installation, air conditioning system, air extraction and filter systems, racks, closed-circuit television (“</w:t>
      </w:r>
      <w:r>
        <w:rPr>
          <w:rFonts w:ascii="Times New Roman;Times;Serif" w:hAnsi="Times New Roman;Times;Serif"/>
          <w:b/>
          <w:i w:val="false"/>
          <w:caps w:val="false"/>
          <w:smallCaps w:val="false"/>
          <w:sz w:val="20"/>
        </w:rPr>
        <w:t>CCTV</w:t>
      </w:r>
      <w:r>
        <w:rPr>
          <w:rFonts w:ascii="Times New Roman;Times;Serif" w:hAnsi="Times New Roman;Times;Serif"/>
          <w:b w:val="false"/>
          <w:i w:val="false"/>
          <w:caps w:val="false"/>
          <w:smallCaps w:val="false"/>
          <w:sz w:val="20"/>
        </w:rPr>
        <w:t>”), fire detection and extinguisher system as well as installation of all low voltage works. Ingenia Grupo Consultor and Gieco S.A. (“</w:t>
      </w:r>
      <w:r>
        <w:rPr>
          <w:rFonts w:ascii="Times New Roman;Times;Serif" w:hAnsi="Times New Roman;Times;Serif"/>
          <w:b/>
          <w:i w:val="false"/>
          <w:caps w:val="false"/>
          <w:smallCaps w:val="false"/>
          <w:sz w:val="20"/>
        </w:rPr>
        <w:t>Ingenia</w:t>
      </w:r>
      <w:r>
        <w:rPr>
          <w:rFonts w:ascii="Times New Roman;Times;Serif" w:hAnsi="Times New Roman;Times;Serif"/>
          <w:b w:val="false"/>
          <w:i w:val="false"/>
          <w:caps w:val="false"/>
          <w:smallCaps w:val="false"/>
          <w:sz w:val="20"/>
        </w:rPr>
        <w:t>”) were retained as a consortium group responsible for the construction of the provisional high voltage powerline and transformer station as well as the expansion of the 132 KW public bars of the power plant. Ingenia, under the supervision of LPZ, was also selected to carry out electrical data and CCTV assembly work for the first warehouse. The Company has also engaged Dreicon S.A. as an independent engineering firm to oversee construction, quality control and project milestones for the Company’s projected buildout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Rio Cuarto Data Center, if fully developed, was expected to be built as four separate warehouse style buildings with a capacity to accommodate over 55,000 new generation Miners and be capable of producing approximately 5.5 EH/s. The first warehouse, which was included in the capacity needed to reach the corporate 5.0 EH/s target for 2022, represented approximately 50 MW of incremental infrastructure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2022, the Company announced it has initiated production in the first 10 MW module of the Rio Cuarto Data Center, increasing the total number of farms operated by the Company to ten, and the total operational hashrate to 4.1 EH/s.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2022, the Company reported that Argentina was wrestling with high inflation, currency devaluation and a significant debt burden. To alleviate concerns about a drain on the Argentina Central Bank’s foreign currency reserves, trade approval for the importation of most goods, including Mining and IT equipment, had been imposed in the Country, adversely affecting the Company’s ability to import in Argentina the additional Miners needed to operate the first warehouse at its full capacity of 50 MW. Additionally, it was also announced that the Power Producer was awaiting approval of its final operation permit. In the meantime, the Rio Cuarto Data Center was drawing power during the start-up and commissioning phase from the provincial electrical utility at a higher cost than the expected contracted cost of power under the agreement with the Power Producer. As at December 31, 2022, the adverse impact of recent geopolitical events on natural gas prices, as well as new importation restrictions, led the Company to revise the timing to fully utilize the infrastructure built in the first 50 MW warehouse and to reassess the timing of its build-out and deployment of further production Data Centers at the Rio Cuarto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 2023, the Company announced that it had completed construction of the first 50 MW warehouse in the Rio Cuarto Data Center and expected it to be fully commissioned during the first six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Management elected to postpone the development of additional infrastructure in Argentina until (i) the private Argentinian power producer would obtain an increased power permit, (ii) certain political and economic uncertainties in Argentina would be resolved or become attenuated and (iii) natural gas prices would stabilize at an acceptable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in anticipation of the power permit approval, the Company, using credits and cash, purchased over 6,200 new Bitmain and MicroBT Miners to fill out an additional 22 MW in the Argentinian Data Center. Those new Miners were installed in the third quarter of 2023 and improved the overall W/TH efficiency and increased the hashrate of the Data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confirmed the receipt of the necessary power permits by the private Argentinian power producer to expand production at its Argentina Data Center. The permits in place allowed up to 100 MW of power capacity. The Company completed testing of its Rio Cuarto substation and began to draw power from the private power producer. The Company installed 2,100 new Miners that were delivered in March and April 2023. Energizing those Miners and ending underclocking of previously installed Miners in line with improved economics increased the active capacity to 18 MW and the Company’s operational hashrate to over 5.0 EH/s.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power from the private Argentinian power producer enabled the Company to commence purchasing low-cost power under its purchase agreement at approximately US$0.03 per kWh, before VAT, on an annualized basis, or possibly less as the Company reaches full capacity at the Data Center. The Company’s cost of BTC earned at that farm decreased substantially as it actively scaled up operations at the Data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1,650 Bitmain S19 Pro Miners were purchased for Argentina at an average direct cost of US$12.98/TH, in addition to the 6,200 Miners purchased in April 2023. In addition, 2,900 MicroBT Miners were delivered, installed and energized, contributing an additional 290 PH/s and driving the Company’s operational hashrate to 5.3 EH/s as of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and September 2023, approximately 1,300 new M50 WhatsMiner Miners, 700 new S19j Pro Antminer Miners and 5,500 new S19j Pro+ Antminer Miners were imported and installed, increasing the warehouse’s capacity to 51 MW and operational hashrate to 1.5 EH/s. Approximately 600 additional M50 WhatsMiner Miners were installed in October 2023, further increasing the warehouse’s capacity to 54 MW and operational hashrate to 1.6 EH/s.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Company entered a prepaid contract with its Argentinian private power producer, to receive power at the Rio Cuarto Data Center at the rate of 2.1 cents per kWh plus VAT for the months of November 2023 through April 2024. This contract is expected to significantly lower the Company’s blended cost of power to an average of 2.5 cents per kWh plus VAT for the first year of full operations at that Data Center.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2023, the newly elected President, Javier Milei, took office. Self-described as right wing libertarian, his agenda includes pro-market policies with an aim to address budget deficits and combat high inflation rates and currency devaluation. Furthermore, the new administration announced measures to ease import restrictions and provide an incentive to attract foreign direct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Company started to update its Rio Cuarto Data Center with the installation of approximately 1,300 Bitmain T21 Miners. Additional Miners would be installed in the upcoming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retained the option, subject to the receipt of additional government approvals, to expand the Rio Cuarto operation to the full contracted amount of 210 MW. Due to the ongoing national political and economic uncertainty, the Company believed a higher expected return could be achieved from expanding and further developing its other locations. The Company monitored general macroeconomic conditions and the evolution of the new government administration’s economic program in assessing its expansion plans in the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employed 35 team members in Argentina.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has neither declared nor paid any dividends on its common shares since its incorporation. When permitted to do so, the Board may declare dividends at its discretion but does not anticipate paying dividends in the near future. The Board will determine if, and when, to declare and pay dividends in the future from funds properly applicable to the payment of dividends based on Bitfarms’ financial position at the relevant time. The Board expects to retain earnings to finance future growth of Bitfarms and its subsidiaries. All of the Bitfarms shares are entitled to an equal share in any dividends declared and paid on a per share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DESCRIPTION OF 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authorized share capital consists of an unlimited number of Bitfarms shares. As of March 26, 2025, there are 553,644,380 issued and outstanding Bitfarms shares. Each Bitfarms share entitles the holder to one vote per Bitfarms share and to receive equally any dividends declared by Bitfarms and the remaining property and assets of Bitfarms in the event Bitfarms undergoes a liquidation, dissolution, or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2020, shareholders approved an amendment to the articles of incorporation of the Company to authorize the issuance of class A preferred shares. As of March 26, 2025, there were no preferred shares outstanding.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MARKET FOR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TRADING PRICE AND VOLUME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Bitfarms Shares are traded on the TSX and Nasdaq under the symbol “BITF”. The following table sets out the price range and aggregate volumes traded or quoted monthly on the TSX and the Nasdaq Exchange for the year ended December 31, 2024.</w:t>
      </w:r>
    </w:p>
    <w:p>
      <w:pPr>
        <w:pStyle w:val="TextBody"/>
        <w:bidi w:val="0"/>
        <w:spacing w:before="0" w:after="0"/>
        <w:ind w:left="0" w:right="0" w:hanging="0"/>
        <w:jc w:val="left"/>
        <w:rPr>
          <w:caps w:val="false"/>
          <w:smallCaps w:val="false"/>
        </w:rPr>
      </w:pPr>
      <w:r>
        <w:rPr>
          <w:caps w:val="false"/>
          <w:smallCaps w:val="false"/>
        </w:rPr>
        <w:t> </w:t>
      </w:r>
    </w:p>
    <w:tbl>
      <w:tblPr>
        <w:tblW w:w="9841" w:type="dxa"/>
        <w:jc w:val="left"/>
        <w:tblInd w:w="0" w:type="dxa"/>
        <w:tblLayout w:type="fixed"/>
        <w:tblCellMar>
          <w:top w:w="0" w:type="dxa"/>
          <w:left w:w="0" w:type="dxa"/>
          <w:bottom w:w="0" w:type="dxa"/>
          <w:right w:w="0" w:type="dxa"/>
        </w:tblCellMar>
      </w:tblPr>
      <w:tblGrid>
        <w:gridCol w:w="1580"/>
        <w:gridCol w:w="60"/>
        <w:gridCol w:w="151"/>
        <w:gridCol w:w="1113"/>
        <w:gridCol w:w="60"/>
        <w:gridCol w:w="60"/>
        <w:gridCol w:w="147"/>
        <w:gridCol w:w="1087"/>
        <w:gridCol w:w="60"/>
        <w:gridCol w:w="60"/>
        <w:gridCol w:w="60"/>
        <w:gridCol w:w="1220"/>
        <w:gridCol w:w="60"/>
        <w:gridCol w:w="60"/>
        <w:gridCol w:w="137"/>
        <w:gridCol w:w="1022"/>
        <w:gridCol w:w="60"/>
        <w:gridCol w:w="60"/>
        <w:gridCol w:w="135"/>
        <w:gridCol w:w="994"/>
        <w:gridCol w:w="60"/>
        <w:gridCol w:w="60"/>
        <w:gridCol w:w="60"/>
        <w:gridCol w:w="1400"/>
        <w:gridCol w:w="75"/>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018" w:type="dxa"/>
            <w:gridSpan w:val="10"/>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TSX</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88" w:type="dxa"/>
            <w:gridSpan w:val="10"/>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Nasdaq</w:t>
            </w:r>
          </w:p>
        </w:tc>
        <w:tc>
          <w:tcPr>
            <w:tcW w:w="7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r>
      <w:tr>
        <w:trPr/>
        <w:tc>
          <w:tcPr>
            <w:tcW w:w="1580" w:type="dxa"/>
            <w:tcBorders>
              <w:bottom w:val="single" w:sz="8" w:space="0" w:color="000000"/>
            </w:tcBorders>
            <w:tcMar>
              <w:bottom w:w="28" w:type="dxa"/>
            </w:tcMar>
            <w:vAlign w:val="center"/>
          </w:tcPr>
          <w:p>
            <w:pPr>
              <w:pStyle w:val="TableContents"/>
              <w:bidi w:val="0"/>
              <w:spacing w:before="0" w:after="283"/>
              <w:jc w:val="left"/>
              <w:rPr>
                <w:b/>
              </w:rPr>
            </w:pPr>
            <w:r>
              <w:rPr>
                <w:b/>
              </w:rPr>
              <w:t>Month</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 (CAD)</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 (CAD)</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Volume</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 (US$)</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 (US$)</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Volume</w:t>
            </w:r>
          </w:p>
        </w:tc>
        <w:tc>
          <w:tcPr>
            <w:tcW w:w="7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580" w:type="dxa"/>
            <w:tcBorders/>
            <w:shd w:fill="CCEEFF" w:val="clear"/>
            <w:vAlign w:val="center"/>
          </w:tcPr>
          <w:p>
            <w:pPr>
              <w:pStyle w:val="TableContents"/>
              <w:bidi w:val="0"/>
              <w:spacing w:before="0" w:after="283"/>
              <w:jc w:val="left"/>
              <w:rPr/>
            </w:pPr>
            <w:r>
              <w:rPr/>
              <w:t>January 2024</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94,076,600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519,958,700</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February 2024</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137,207,000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603,354,700</w:t>
            </w:r>
          </w:p>
        </w:tc>
        <w:tc>
          <w:tcPr>
            <w:tcW w:w="7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March 2024</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87,355,100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523,025,100</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April 2024</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53,645,400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391,870,100</w:t>
            </w:r>
          </w:p>
        </w:tc>
        <w:tc>
          <w:tcPr>
            <w:tcW w:w="7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May 2024</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61,740,500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394.214.800</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June 2024</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92,630,400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532,901,900</w:t>
            </w:r>
          </w:p>
        </w:tc>
        <w:tc>
          <w:tcPr>
            <w:tcW w:w="7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July 2024</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78,971,600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519,509,900</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August 2024</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60,412,900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368,725,200</w:t>
            </w:r>
          </w:p>
        </w:tc>
        <w:tc>
          <w:tcPr>
            <w:tcW w:w="7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September 2024</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49,992,100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293,274,900</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October 2024</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62,025,200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559,689,200</w:t>
            </w:r>
          </w:p>
        </w:tc>
        <w:tc>
          <w:tcPr>
            <w:tcW w:w="7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November 2024</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112,729,200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976,201,500</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December 2024</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103,371,100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1,033,519,900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 ESCROWED SECURITIES AND SECURITIES SUBJECT TO CONTRACTUAL RESTRICTION ON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detailed hereof, as of March 26, 2025, there are no securities of the Company which are currently held in escrow or subject to a contractual restriction on transfer. The investors in the November 2023 private </w:t>
      </w:r>
      <w:r>
        <w:rPr>
          <w:rFonts w:ascii="Times New Roman;Times;Serif" w:hAnsi="Times New Roman;Times;Serif"/>
          <w:b/>
          <w:i w:val="false"/>
          <w:caps w:val="false"/>
          <w:smallCaps w:val="false"/>
          <w:sz w:val="20"/>
        </w:rPr>
        <w:t xml:space="preserve">placement </w:t>
      </w:r>
      <w:r>
        <w:rPr>
          <w:rFonts w:ascii="Times New Roman;Times;Serif" w:hAnsi="Times New Roman;Times;Serif"/>
          <w:b w:val="false"/>
          <w:i w:val="false"/>
          <w:caps w:val="false"/>
          <w:smallCaps w:val="false"/>
          <w:sz w:val="20"/>
        </w:rPr>
        <w:t>with H.C. Wainwright &amp; Co. agreed to not sell, pledge or otherwise transfer the shares, the warrants or any shares issuable upon exercise of the warrants other than (a) to the Company or (b) outside of the U.S. in an offshore transaction. See Section 6 of the Qualified Institutional Buyer Letter delivered by each of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 PRIOR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164"/>
        <w:gridCol w:w="60"/>
        <w:gridCol w:w="1112"/>
        <w:gridCol w:w="60"/>
        <w:gridCol w:w="7809"/>
      </w:tblGrid>
      <w:tr>
        <w:trPr/>
        <w:tc>
          <w:tcPr>
            <w:tcW w:w="1164" w:type="dxa"/>
            <w:tcBorders>
              <w:top w:val="single" w:sz="8" w:space="0" w:color="000000"/>
              <w:bottom w:val="single" w:sz="8" w:space="0" w:color="000000"/>
            </w:tcBorders>
            <w:shd w:fill="FFFFFF" w:val="clear"/>
            <w:vAlign w:val="center"/>
          </w:tcPr>
          <w:p>
            <w:pPr>
              <w:pStyle w:val="TableContents"/>
              <w:bidi w:val="0"/>
              <w:spacing w:before="0" w:after="283"/>
              <w:jc w:val="left"/>
              <w:rPr>
                <w:b/>
              </w:rPr>
            </w:pPr>
            <w:r>
              <w:rPr>
                <w:b/>
              </w:rPr>
              <w:t>Date</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center"/>
              <w:rPr/>
            </w:pPr>
            <w:r>
              <w:rPr/>
              <w:t> </w:t>
            </w:r>
          </w:p>
        </w:tc>
        <w:tc>
          <w:tcPr>
            <w:tcW w:w="1112" w:type="dxa"/>
            <w:tcBorders>
              <w:top w:val="single" w:sz="8" w:space="0" w:color="000000"/>
              <w:bottom w:val="single" w:sz="8" w:space="0" w:color="000000"/>
            </w:tcBorders>
            <w:shd w:fill="FFFFFF" w:val="clear"/>
            <w:vAlign w:val="center"/>
          </w:tcPr>
          <w:p>
            <w:pPr>
              <w:pStyle w:val="TableContents"/>
              <w:bidi w:val="0"/>
              <w:spacing w:before="0" w:after="283"/>
              <w:jc w:val="center"/>
              <w:rPr>
                <w:b/>
              </w:rPr>
            </w:pPr>
            <w:r>
              <w:rPr>
                <w:b/>
              </w:rPr>
              <w:t>Type</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center"/>
              <w:rPr/>
            </w:pPr>
            <w:r>
              <w:rPr/>
              <w:t> </w:t>
            </w:r>
          </w:p>
        </w:tc>
        <w:tc>
          <w:tcPr>
            <w:tcW w:w="7809" w:type="dxa"/>
            <w:tcBorders>
              <w:top w:val="single" w:sz="8" w:space="0" w:color="000000"/>
              <w:bottom w:val="single" w:sz="8" w:space="0" w:color="000000"/>
            </w:tcBorders>
            <w:shd w:fill="FFFFFF" w:val="clear"/>
            <w:vAlign w:val="center"/>
          </w:tcPr>
          <w:p>
            <w:pPr>
              <w:pStyle w:val="TableContents"/>
              <w:bidi w:val="0"/>
              <w:spacing w:before="0" w:after="283"/>
              <w:jc w:val="center"/>
              <w:rPr>
                <w:b/>
              </w:rPr>
            </w:pPr>
            <w:r>
              <w:rPr>
                <w:b/>
              </w:rPr>
              <w:t>Description</w:t>
            </w:r>
          </w:p>
        </w:tc>
      </w:tr>
      <w:tr>
        <w:trPr/>
        <w:tc>
          <w:tcPr>
            <w:tcW w:w="1164" w:type="dxa"/>
            <w:tcBorders/>
            <w:shd w:fill="CCEEFF" w:val="clear"/>
            <w:tcMar>
              <w:top w:w="0" w:type="dxa"/>
              <w:bottom w:w="0" w:type="dxa"/>
            </w:tcMar>
            <w:vAlign w:val="center"/>
          </w:tcPr>
          <w:p>
            <w:pPr>
              <w:pStyle w:val="TableContents"/>
              <w:bidi w:val="0"/>
              <w:spacing w:before="0" w:after="283"/>
              <w:jc w:val="left"/>
              <w:rPr/>
            </w:pPr>
            <w:r>
              <w:rPr/>
              <w:t>March 28,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12" w:type="dxa"/>
            <w:tcBorders/>
            <w:shd w:fill="CCEEFF" w:val="clear"/>
            <w:tcMar>
              <w:top w:w="0" w:type="dxa"/>
              <w:bottom w:w="0" w:type="dxa"/>
            </w:tcMar>
            <w:vAlign w:val="center"/>
          </w:tcPr>
          <w:p>
            <w:pPr>
              <w:pStyle w:val="TableContents"/>
              <w:bidi w:val="0"/>
              <w:spacing w:before="0" w:after="283"/>
              <w:jc w:val="center"/>
              <w:rPr/>
            </w:pPr>
            <w:r>
              <w:rPr/>
              <w:t>Restricted share units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809" w:type="dxa"/>
            <w:tcBorders/>
            <w:shd w:fill="CCEEFF" w:val="clear"/>
            <w:tcMar>
              <w:top w:w="0" w:type="dxa"/>
              <w:bottom w:w="0" w:type="dxa"/>
            </w:tcMar>
            <w:vAlign w:val="center"/>
          </w:tcPr>
          <w:p>
            <w:pPr>
              <w:pStyle w:val="TableContents"/>
              <w:bidi w:val="0"/>
              <w:spacing w:before="0" w:after="283"/>
              <w:jc w:val="both"/>
              <w:rPr/>
            </w:pPr>
            <w:r>
              <w:rPr/>
              <w:t>The Board approved the grant of 175,000 RSUs to C-Suite executives of the Company to receive 175,000 Common Shares vesting as to one-half (½) on the first date in which the Company’s trading blackout period for reporting first quarter 2024 be concluded and trading be allowed; and one-quarter (¼) on each six month anniversary of the date of grant.</w:t>
            </w:r>
          </w:p>
        </w:tc>
      </w:tr>
      <w:tr>
        <w:trPr/>
        <w:tc>
          <w:tcPr>
            <w:tcW w:w="1164" w:type="dxa"/>
            <w:tcBorders/>
            <w:shd w:fill="FFFFFF" w:val="clear"/>
            <w:tcMar>
              <w:top w:w="0" w:type="dxa"/>
              <w:bottom w:w="0" w:type="dxa"/>
            </w:tcMar>
            <w:vAlign w:val="center"/>
          </w:tcPr>
          <w:p>
            <w:pPr>
              <w:pStyle w:val="TableContents"/>
              <w:bidi w:val="0"/>
              <w:spacing w:before="0" w:after="283"/>
              <w:jc w:val="left"/>
              <w:rPr/>
            </w:pPr>
            <w:r>
              <w:rPr/>
              <w:t>May 22,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12" w:type="dxa"/>
            <w:tcBorders/>
            <w:shd w:fill="FFFFFF" w:val="clear"/>
            <w:tcMar>
              <w:top w:w="0" w:type="dxa"/>
              <w:bottom w:w="0" w:type="dxa"/>
            </w:tcMar>
            <w:vAlign w:val="center"/>
          </w:tcPr>
          <w:p>
            <w:pPr>
              <w:pStyle w:val="TableContents"/>
              <w:bidi w:val="0"/>
              <w:spacing w:before="0" w:after="283"/>
              <w:jc w:val="center"/>
              <w:rPr/>
            </w:pPr>
            <w:r>
              <w:rPr/>
              <w:t>Stock options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809" w:type="dxa"/>
            <w:tcBorders/>
            <w:shd w:fill="FFFFFF" w:val="clear"/>
            <w:tcMar>
              <w:top w:w="0" w:type="dxa"/>
              <w:bottom w:w="0" w:type="dxa"/>
            </w:tcMar>
            <w:vAlign w:val="center"/>
          </w:tcPr>
          <w:p>
            <w:pPr>
              <w:pStyle w:val="TableContents"/>
              <w:bidi w:val="0"/>
              <w:spacing w:before="0" w:after="283"/>
              <w:jc w:val="both"/>
              <w:rPr/>
            </w:pPr>
            <w:r>
              <w:rPr/>
              <w:t>The Board approved a stock option grant of 330,000 Options to officers and employees of the Company to purchase 330,000 Common Shares at an exercise price of CAD$2.55 per share, with a term of five years from the date of the grant. Options vest one quarter on the date of grant and one quarter on each six month anniversary of the date of grant.</w:t>
            </w:r>
          </w:p>
        </w:tc>
      </w:tr>
      <w:tr>
        <w:trPr/>
        <w:tc>
          <w:tcPr>
            <w:tcW w:w="1164" w:type="dxa"/>
            <w:tcBorders/>
            <w:shd w:fill="CCEEFF" w:val="clear"/>
            <w:tcMar>
              <w:top w:w="0" w:type="dxa"/>
              <w:bottom w:w="0" w:type="dxa"/>
            </w:tcMar>
            <w:vAlign w:val="center"/>
          </w:tcPr>
          <w:p>
            <w:pPr>
              <w:pStyle w:val="TableContents"/>
              <w:bidi w:val="0"/>
              <w:spacing w:before="0" w:after="283"/>
              <w:jc w:val="left"/>
              <w:rPr/>
            </w:pPr>
            <w:r>
              <w:rPr/>
              <w:t>July 9,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12" w:type="dxa"/>
            <w:tcBorders/>
            <w:shd w:fill="CCEEFF" w:val="clear"/>
            <w:tcMar>
              <w:top w:w="0" w:type="dxa"/>
              <w:bottom w:w="0" w:type="dxa"/>
            </w:tcMar>
            <w:vAlign w:val="center"/>
          </w:tcPr>
          <w:p>
            <w:pPr>
              <w:pStyle w:val="TableContents"/>
              <w:bidi w:val="0"/>
              <w:spacing w:before="0" w:after="283"/>
              <w:jc w:val="center"/>
              <w:rPr/>
            </w:pPr>
            <w:r>
              <w:rPr/>
              <w:t>Restricted share units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809" w:type="dxa"/>
            <w:tcBorders/>
            <w:shd w:fill="CCEEFF" w:val="clear"/>
            <w:tcMar>
              <w:top w:w="0" w:type="dxa"/>
              <w:bottom w:w="0" w:type="dxa"/>
            </w:tcMar>
            <w:vAlign w:val="center"/>
          </w:tcPr>
          <w:p>
            <w:pPr>
              <w:pStyle w:val="TableContents"/>
              <w:bidi w:val="0"/>
              <w:spacing w:before="0" w:after="283"/>
              <w:jc w:val="both"/>
              <w:rPr/>
            </w:pPr>
            <w:r>
              <w:rPr/>
              <w:t>The Company issued an aggregate of 531,000 RSUs to C-Suite executives of the Company to receive a total of 531,000 Common Shares vesting as follows (i) 100,000 RSUs, representing the total granting to one individual, shall vest on the three-month anniversary of the date of grant, and (ii) 431,000 RSUs, representing the total grant of another individual, shall vest as to one-third (1/3) on the three-month anniversary of the date of grant, and one-third (1/3) on each six month thereafter.</w:t>
            </w:r>
          </w:p>
        </w:tc>
      </w:tr>
      <w:tr>
        <w:trPr/>
        <w:tc>
          <w:tcPr>
            <w:tcW w:w="1164" w:type="dxa"/>
            <w:tcBorders/>
            <w:shd w:fill="FFFFFF" w:val="clear"/>
            <w:tcMar>
              <w:top w:w="0" w:type="dxa"/>
              <w:bottom w:w="0" w:type="dxa"/>
            </w:tcMar>
            <w:vAlign w:val="center"/>
          </w:tcPr>
          <w:p>
            <w:pPr>
              <w:pStyle w:val="TableContents"/>
              <w:bidi w:val="0"/>
              <w:spacing w:before="0" w:after="283"/>
              <w:jc w:val="left"/>
              <w:rPr/>
            </w:pPr>
            <w:r>
              <w:rPr/>
              <w:t>August 23,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12" w:type="dxa"/>
            <w:tcBorders/>
            <w:shd w:fill="FFFFFF" w:val="clear"/>
            <w:tcMar>
              <w:top w:w="0" w:type="dxa"/>
              <w:bottom w:w="0" w:type="dxa"/>
            </w:tcMar>
            <w:vAlign w:val="center"/>
          </w:tcPr>
          <w:p>
            <w:pPr>
              <w:pStyle w:val="TableContents"/>
              <w:bidi w:val="0"/>
              <w:spacing w:before="0" w:after="283"/>
              <w:jc w:val="center"/>
              <w:rPr/>
            </w:pPr>
            <w:r>
              <w:rPr/>
              <w:t>Stock options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809" w:type="dxa"/>
            <w:tcBorders/>
            <w:shd w:fill="FFFFFF" w:val="clear"/>
            <w:tcMar>
              <w:top w:w="0" w:type="dxa"/>
              <w:bottom w:w="0" w:type="dxa"/>
            </w:tcMar>
            <w:vAlign w:val="center"/>
          </w:tcPr>
          <w:p>
            <w:pPr>
              <w:pStyle w:val="TableContents"/>
              <w:bidi w:val="0"/>
              <w:spacing w:before="0" w:after="283"/>
              <w:jc w:val="both"/>
              <w:rPr/>
            </w:pPr>
            <w:r>
              <w:rPr/>
              <w:t>The Board approved a stock option grant of 400,000 Options to officers and directors of the Company to purchase 400,000 Common Shares at an exercise price of CAD$3.07 per share, with a term of five years from the date of the grant. Options vest as follow: (i) 150,000 options will vest as one quarter (1/4) on December 27, 2024 and one quarter (1/4) every six months thereafter, and (ii) 250,000 options will vest as one quarter on the date of grant and one quarter on each six month anniversary of the date of grant.</w:t>
            </w:r>
          </w:p>
        </w:tc>
      </w:tr>
      <w:tr>
        <w:trPr/>
        <w:tc>
          <w:tcPr>
            <w:tcW w:w="1164" w:type="dxa"/>
            <w:tcBorders/>
            <w:shd w:fill="CCEEFF" w:val="clear"/>
            <w:tcMar>
              <w:top w:w="0" w:type="dxa"/>
              <w:bottom w:w="0" w:type="dxa"/>
            </w:tcMar>
            <w:vAlign w:val="center"/>
          </w:tcPr>
          <w:p>
            <w:pPr>
              <w:pStyle w:val="TableContents"/>
              <w:bidi w:val="0"/>
              <w:spacing w:before="0" w:after="283"/>
              <w:jc w:val="left"/>
              <w:rPr/>
            </w:pPr>
            <w:r>
              <w:rPr/>
              <w:t>September 5,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12" w:type="dxa"/>
            <w:tcBorders/>
            <w:shd w:fill="CCEEFF" w:val="clear"/>
            <w:tcMar>
              <w:top w:w="0" w:type="dxa"/>
              <w:bottom w:w="0" w:type="dxa"/>
            </w:tcMar>
            <w:vAlign w:val="center"/>
          </w:tcPr>
          <w:p>
            <w:pPr>
              <w:pStyle w:val="TableContents"/>
              <w:bidi w:val="0"/>
              <w:spacing w:before="0" w:after="283"/>
              <w:jc w:val="center"/>
              <w:rPr/>
            </w:pPr>
            <w:r>
              <w:rPr/>
              <w:t>Stock options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809" w:type="dxa"/>
            <w:tcBorders/>
            <w:shd w:fill="CCEEFF" w:val="clear"/>
            <w:tcMar>
              <w:top w:w="0" w:type="dxa"/>
              <w:bottom w:w="0" w:type="dxa"/>
            </w:tcMar>
            <w:vAlign w:val="center"/>
          </w:tcPr>
          <w:p>
            <w:pPr>
              <w:pStyle w:val="TableContents"/>
              <w:bidi w:val="0"/>
              <w:spacing w:before="0" w:after="283"/>
              <w:jc w:val="both"/>
              <w:rPr/>
            </w:pPr>
            <w:r>
              <w:rPr/>
              <w:t>The Board approved a stock option grant of 480,000 Options to officers of the Company to purchase 480,000 Common Shares at an exercise price of CAD$2,62 per share with a term of five years from the date of the grant. Options vest as one quarter on the date of grant and one quarter on each six month anniversary of the date of grant.</w:t>
            </w:r>
          </w:p>
        </w:tc>
      </w:tr>
      <w:tr>
        <w:trPr/>
        <w:tc>
          <w:tcPr>
            <w:tcW w:w="1164" w:type="dxa"/>
            <w:tcBorders/>
            <w:shd w:fill="FFFFFF" w:val="clear"/>
            <w:tcMar>
              <w:top w:w="0" w:type="dxa"/>
              <w:bottom w:w="0" w:type="dxa"/>
            </w:tcMar>
            <w:vAlign w:val="center"/>
          </w:tcPr>
          <w:p>
            <w:pPr>
              <w:pStyle w:val="TableContents"/>
              <w:bidi w:val="0"/>
              <w:spacing w:before="0" w:after="283"/>
              <w:jc w:val="left"/>
              <w:rPr/>
            </w:pPr>
            <w:r>
              <w:rPr/>
              <w:t>September 30,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12" w:type="dxa"/>
            <w:tcBorders/>
            <w:shd w:fill="FFFFFF" w:val="clear"/>
            <w:tcMar>
              <w:top w:w="0" w:type="dxa"/>
              <w:bottom w:w="0" w:type="dxa"/>
            </w:tcMar>
            <w:vAlign w:val="center"/>
          </w:tcPr>
          <w:p>
            <w:pPr>
              <w:pStyle w:val="TableContents"/>
              <w:bidi w:val="0"/>
              <w:spacing w:before="0" w:after="283"/>
              <w:jc w:val="center"/>
              <w:rPr/>
            </w:pPr>
            <w:r>
              <w:rPr/>
              <w:t>Stock options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809" w:type="dxa"/>
            <w:tcBorders/>
            <w:shd w:fill="FFFFFF" w:val="clear"/>
            <w:tcMar>
              <w:top w:w="0" w:type="dxa"/>
              <w:bottom w:w="0" w:type="dxa"/>
            </w:tcMar>
            <w:vAlign w:val="center"/>
          </w:tcPr>
          <w:p>
            <w:pPr>
              <w:pStyle w:val="TableContents"/>
              <w:bidi w:val="0"/>
              <w:spacing w:before="0" w:after="283"/>
              <w:jc w:val="both"/>
              <w:rPr/>
            </w:pPr>
            <w:r>
              <w:rPr/>
              <w:t>The Board approved a stock option grant of 7,200,000 Options to then current employees of the Company to purchase 7,200,000 Common Shares at an exercise price of CAD$3.03 per share, with a term of five years from the date of the grant. Options vest one quarter on the date of grant and one quarter on each six month anniversary of the date of grant.</w:t>
            </w:r>
          </w:p>
        </w:tc>
      </w:tr>
      <w:tr>
        <w:trPr/>
        <w:tc>
          <w:tcPr>
            <w:tcW w:w="1164" w:type="dxa"/>
            <w:tcBorders/>
            <w:shd w:fill="CCEEFF" w:val="clear"/>
            <w:tcMar>
              <w:top w:w="0" w:type="dxa"/>
              <w:bottom w:w="0" w:type="dxa"/>
            </w:tcMar>
            <w:vAlign w:val="center"/>
          </w:tcPr>
          <w:p>
            <w:pPr>
              <w:pStyle w:val="TableContents"/>
              <w:bidi w:val="0"/>
              <w:spacing w:before="0" w:after="283"/>
              <w:jc w:val="left"/>
              <w:rPr/>
            </w:pPr>
            <w:r>
              <w:rPr/>
              <w:t>December 18,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12" w:type="dxa"/>
            <w:tcBorders/>
            <w:shd w:fill="CCEEFF" w:val="clear"/>
            <w:tcMar>
              <w:top w:w="0" w:type="dxa"/>
              <w:bottom w:w="0" w:type="dxa"/>
            </w:tcMar>
            <w:vAlign w:val="center"/>
          </w:tcPr>
          <w:p>
            <w:pPr>
              <w:pStyle w:val="TableContents"/>
              <w:bidi w:val="0"/>
              <w:spacing w:before="0" w:after="283"/>
              <w:jc w:val="center"/>
              <w:rPr/>
            </w:pPr>
            <w:r>
              <w:rPr/>
              <w:t>Stock options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809" w:type="dxa"/>
            <w:tcBorders/>
            <w:shd w:fill="CCEEFF" w:val="clear"/>
            <w:tcMar>
              <w:top w:w="0" w:type="dxa"/>
              <w:bottom w:w="0" w:type="dxa"/>
            </w:tcMar>
            <w:vAlign w:val="center"/>
          </w:tcPr>
          <w:p>
            <w:pPr>
              <w:pStyle w:val="TableContents"/>
              <w:bidi w:val="0"/>
              <w:spacing w:before="0" w:after="283"/>
              <w:jc w:val="both"/>
              <w:rPr/>
            </w:pPr>
            <w:r>
              <w:rPr/>
              <w:t>The Board approved a stock option grant of 600,000 options to independent directors of the Company to purchase 600,000 Common Shares at an exercise price of CAD$2.60 per share, with a term of five years from the date of the grant. Options vest one quarter on the date of grant and one quarter on each six month anniversary of the date of grant.</w:t>
            </w:r>
          </w:p>
        </w:tc>
      </w:tr>
    </w:tbl>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2"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DIRECTORS AND OFFICERS</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 NAME, OCCUPATION AND SECURITY 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the name of each director and officer, province or state of residence, position held with each corporation, current principal occupation, and the number and percentage of securities beneficially owned, directly or indirectly as at March 26,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230"/>
        <w:gridCol w:w="60"/>
        <w:gridCol w:w="6482"/>
        <w:gridCol w:w="60"/>
        <w:gridCol w:w="1127"/>
        <w:gridCol w:w="60"/>
        <w:gridCol w:w="76"/>
        <w:gridCol w:w="1033"/>
        <w:gridCol w:w="77"/>
      </w:tblGrid>
      <w:tr>
        <w:trPr/>
        <w:tc>
          <w:tcPr>
            <w:tcW w:w="1230" w:type="dxa"/>
            <w:tcBorders>
              <w:top w:val="single" w:sz="8" w:space="0" w:color="000000"/>
              <w:bottom w:val="single" w:sz="8" w:space="0" w:color="000000"/>
            </w:tcBorders>
            <w:vAlign w:val="center"/>
          </w:tcPr>
          <w:p>
            <w:pPr>
              <w:pStyle w:val="TableContents"/>
              <w:bidi w:val="0"/>
              <w:spacing w:before="0" w:after="283"/>
              <w:jc w:val="left"/>
              <w:rPr>
                <w:b/>
              </w:rPr>
            </w:pPr>
            <w:r>
              <w:rPr>
                <w:b/>
              </w:rPr>
              <w:t>Name, and</w:t>
              <w:br/>
              <w:t>Province &amp;</w:t>
              <w:br/>
              <w:t>Country of</w:t>
              <w:br/>
              <w:t>Residence</w:t>
            </w:r>
          </w:p>
        </w:tc>
        <w:tc>
          <w:tcPr>
            <w:tcW w:w="60" w:type="dxa"/>
            <w:tcBorders>
              <w:top w:val="single" w:sz="8" w:space="0" w:color="000000"/>
              <w:bottom w:val="single" w:sz="8" w:space="0" w:color="000000"/>
            </w:tcBorders>
            <w:vAlign w:val="center"/>
          </w:tcPr>
          <w:p>
            <w:pPr>
              <w:pStyle w:val="TableContents"/>
              <w:bidi w:val="0"/>
              <w:spacing w:before="0" w:after="283"/>
              <w:jc w:val="center"/>
              <w:rPr/>
            </w:pPr>
            <w:r>
              <w:rPr/>
              <w:t> </w:t>
            </w:r>
          </w:p>
        </w:tc>
        <w:tc>
          <w:tcPr>
            <w:tcW w:w="6482"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Occupation During the Last Five Years</w:t>
            </w:r>
            <w:r>
              <w:rPr>
                <w:rFonts w:ascii="Times New Roman;Times;Serif" w:hAnsi="Times New Roman;Times;Serif"/>
                <w:b/>
                <w:position w:val="7"/>
                <w:sz w:val="16"/>
                <w:sz w:val="20"/>
              </w:rPr>
              <w:t>(1)</w:t>
            </w:r>
          </w:p>
        </w:tc>
        <w:tc>
          <w:tcPr>
            <w:tcW w:w="60" w:type="dxa"/>
            <w:tcBorders>
              <w:top w:val="single" w:sz="8" w:space="0" w:color="000000"/>
              <w:bottom w:val="single" w:sz="8" w:space="0" w:color="000000"/>
            </w:tcBorders>
            <w:vAlign w:val="center"/>
          </w:tcPr>
          <w:p>
            <w:pPr>
              <w:pStyle w:val="TableContents"/>
              <w:bidi w:val="0"/>
              <w:spacing w:before="0" w:after="283"/>
              <w:jc w:val="center"/>
              <w:rPr/>
            </w:pPr>
            <w:r>
              <w:rPr/>
              <w:t> </w:t>
            </w:r>
          </w:p>
        </w:tc>
        <w:tc>
          <w:tcPr>
            <w:tcW w:w="1127" w:type="dxa"/>
            <w:tcBorders>
              <w:top w:val="single" w:sz="8" w:space="0" w:color="000000"/>
              <w:bottom w:val="single" w:sz="8" w:space="0" w:color="000000"/>
            </w:tcBorders>
            <w:vAlign w:val="center"/>
          </w:tcPr>
          <w:p>
            <w:pPr>
              <w:pStyle w:val="TableContents"/>
              <w:bidi w:val="0"/>
              <w:spacing w:before="0" w:after="283"/>
              <w:jc w:val="center"/>
              <w:rPr>
                <w:b/>
              </w:rPr>
            </w:pPr>
            <w:r>
              <w:rPr>
                <w:b/>
              </w:rPr>
              <w:t>Director or</w:t>
              <w:br/>
              <w:t>Officer Since</w:t>
            </w:r>
          </w:p>
        </w:tc>
        <w:tc>
          <w:tcPr>
            <w:tcW w:w="60" w:type="dxa"/>
            <w:tcBorders>
              <w:top w:val="single" w:sz="8" w:space="0" w:color="000000"/>
              <w:bottom w:val="single" w:sz="8" w:space="0" w:color="000000"/>
            </w:tcBorders>
            <w:vAlign w:val="center"/>
          </w:tcPr>
          <w:p>
            <w:pPr>
              <w:pStyle w:val="TableContents"/>
              <w:bidi w:val="0"/>
              <w:spacing w:before="0" w:after="283"/>
              <w:jc w:val="center"/>
              <w:rPr/>
            </w:pPr>
            <w:r>
              <w:rPr/>
              <w:t> </w:t>
            </w:r>
          </w:p>
        </w:tc>
        <w:tc>
          <w:tcPr>
            <w:tcW w:w="1109" w:type="dxa"/>
            <w:gridSpan w:val="2"/>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Shares</w:t>
              <w:br/>
              <w:t>Owned or Controlled</w:t>
            </w:r>
            <w:r>
              <w:rPr>
                <w:rFonts w:ascii="Times New Roman;Times;Serif" w:hAnsi="Times New Roman;Times;Serif"/>
                <w:b/>
                <w:position w:val="7"/>
                <w:sz w:val="16"/>
                <w:sz w:val="20"/>
              </w:rPr>
              <w:t>(1)</w:t>
            </w:r>
          </w:p>
        </w:tc>
        <w:tc>
          <w:tcPr>
            <w:tcW w:w="77" w:type="dxa"/>
            <w:tcBorders>
              <w:top w:val="single" w:sz="8" w:space="0" w:color="000000"/>
              <w:bottom w:val="single" w:sz="8" w:space="0" w:color="000000"/>
            </w:tcBorders>
            <w:vAlign w:val="center"/>
          </w:tcPr>
          <w:p>
            <w:pPr>
              <w:pStyle w:val="TableContents"/>
              <w:bidi w:val="0"/>
              <w:spacing w:before="0" w:after="283"/>
              <w:jc w:val="center"/>
              <w:rPr/>
            </w:pPr>
            <w:r>
              <w:rPr/>
              <w:t> </w:t>
            </w:r>
          </w:p>
        </w:tc>
      </w:tr>
      <w:tr>
        <w:trPr/>
        <w:tc>
          <w:tcPr>
            <w:tcW w:w="1230"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J. Gagnon</w:t>
            </w:r>
            <w:r>
              <w:rPr>
                <w:rFonts w:ascii="Times New Roman;Times;Serif" w:hAnsi="Times New Roman;Times;Serif"/>
                <w:b w:val="false"/>
                <w:i w:val="false"/>
                <w:caps w:val="false"/>
                <w:smallCaps w:val="false"/>
                <w:position w:val="7"/>
                <w:sz w:val="16"/>
                <w:sz w:val="20"/>
              </w:rPr>
              <w:t xml:space="preserve">(8) </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Kowloon City, Hong Kong SAR</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482" w:type="dxa"/>
            <w:tcBorders/>
            <w:shd w:fill="CCEEFF" w:val="clear"/>
            <w:tcMar>
              <w:top w:w="0" w:type="dxa"/>
              <w:bottom w:w="0" w:type="dxa"/>
            </w:tcMar>
            <w:vAlign w:val="center"/>
          </w:tcPr>
          <w:p>
            <w:pPr>
              <w:pStyle w:val="TableContents"/>
              <w:bidi w:val="0"/>
              <w:spacing w:before="0" w:after="283"/>
              <w:jc w:val="both"/>
              <w:rPr/>
            </w:pPr>
            <w:r>
              <w:rPr/>
              <w:t>Chief Executive Officer of the Company ( 2024-present), Director of the Company (2024-present); Chief Mining Officer of the Company (2021– 2024); Director of mining operations of the Company ( 2019– 2021); Chief Technology Officer of LuTech Ltd. (2018–2019); Chief Mining Officer of Island Computer Ltd. (2016–2019).</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27" w:type="dxa"/>
            <w:tcBorders/>
            <w:shd w:fill="CCEEFF" w:val="clear"/>
            <w:tcMar>
              <w:top w:w="0" w:type="dxa"/>
              <w:bottom w:w="0" w:type="dxa"/>
            </w:tcMar>
            <w:vAlign w:val="center"/>
          </w:tcPr>
          <w:p>
            <w:pPr>
              <w:pStyle w:val="TableContents"/>
              <w:bidi w:val="0"/>
              <w:spacing w:before="0" w:after="283"/>
              <w:jc w:val="center"/>
              <w:rPr/>
            </w:pPr>
            <w:r>
              <w:rPr/>
              <w:t>June 1, 2021</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6" w:type="dxa"/>
            <w:tcBorders/>
            <w:shd w:fill="CCEEFF" w:val="clear"/>
            <w:tcMar>
              <w:top w:w="0" w:type="dxa"/>
              <w:bottom w:w="0" w:type="dxa"/>
            </w:tcMar>
            <w:vAlign w:val="center"/>
          </w:tcPr>
          <w:p>
            <w:pPr>
              <w:pStyle w:val="TableContents"/>
              <w:bidi w:val="0"/>
              <w:spacing w:before="0" w:after="283"/>
              <w:jc w:val="left"/>
              <w:rPr/>
            </w:pPr>
            <w:r>
              <w:rPr/>
              <w:t> </w:t>
            </w:r>
          </w:p>
        </w:tc>
        <w:tc>
          <w:tcPr>
            <w:tcW w:w="1033" w:type="dxa"/>
            <w:tcBorders/>
            <w:shd w:fill="CCEEFF" w:val="clear"/>
            <w:tcMar>
              <w:top w:w="0" w:type="dxa"/>
              <w:bottom w:w="0" w:type="dxa"/>
            </w:tcMar>
            <w:vAlign w:val="center"/>
          </w:tcPr>
          <w:p>
            <w:pPr>
              <w:pStyle w:val="TableContents"/>
              <w:bidi w:val="0"/>
              <w:spacing w:before="0" w:after="283"/>
              <w:jc w:val="right"/>
              <w:rPr/>
            </w:pPr>
            <w:r>
              <w:rPr/>
              <w:t>150,000</w:t>
            </w:r>
          </w:p>
        </w:tc>
        <w:tc>
          <w:tcPr>
            <w:tcW w:w="77" w:type="dxa"/>
            <w:tcBorders/>
            <w:shd w:fill="CCEEFF" w:val="clear"/>
            <w:tcMar>
              <w:top w:w="0" w:type="dxa"/>
              <w:bottom w:w="0" w:type="dxa"/>
            </w:tcMar>
            <w:vAlign w:val="center"/>
          </w:tcPr>
          <w:p>
            <w:pPr>
              <w:pStyle w:val="TableContents"/>
              <w:bidi w:val="0"/>
              <w:spacing w:before="0" w:after="283"/>
              <w:jc w:val="left"/>
              <w:rPr/>
            </w:pPr>
            <w:r>
              <w:rPr/>
              <w:t> </w:t>
            </w:r>
          </w:p>
        </w:tc>
      </w:tr>
      <w:tr>
        <w:trPr/>
        <w:tc>
          <w:tcPr>
            <w:tcW w:w="123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Howlett</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Ontario, Canada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482" w:type="dxa"/>
            <w:tcBorders/>
            <w:shd w:fill="FFFFFF" w:val="clear"/>
            <w:tcMar>
              <w:top w:w="0" w:type="dxa"/>
              <w:bottom w:w="0" w:type="dxa"/>
            </w:tcMar>
            <w:vAlign w:val="center"/>
          </w:tcPr>
          <w:p>
            <w:pPr>
              <w:pStyle w:val="TableContents"/>
              <w:bidi w:val="0"/>
              <w:spacing w:before="0" w:after="283"/>
              <w:jc w:val="both"/>
              <w:rPr/>
            </w:pPr>
            <w:r>
              <w:rPr/>
              <w:t>Chairman of the Board of Directors of the Company (2024-present); Lead Director of the Company (2020–2024); Chairman of Hemlo Explorers Inc. (2024-present); President and CEO of Hemlo Explorers Inc. (2020–2024); President and CEO of Voyageur Mineral Explorers Inc. (2020–2021); Director of Nighthawk Gold Inc. (2016–2024); President and CEO of Dundee Sustainable Technologies Inc. (2016–2020); President and CEO of Copper Road Resources Inc . (2014–2021).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27" w:type="dxa"/>
            <w:tcBorders/>
            <w:shd w:fill="FFFFFF" w:val="clear"/>
            <w:tcMar>
              <w:top w:w="0" w:type="dxa"/>
              <w:bottom w:w="0" w:type="dxa"/>
            </w:tcMar>
            <w:vAlign w:val="center"/>
          </w:tcPr>
          <w:p>
            <w:pPr>
              <w:pStyle w:val="TableContents"/>
              <w:bidi w:val="0"/>
              <w:spacing w:before="0" w:after="283"/>
              <w:jc w:val="center"/>
              <w:rPr/>
            </w:pPr>
            <w:r>
              <w:rPr/>
              <w:t>April 17, 2020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6" w:type="dxa"/>
            <w:tcBorders/>
            <w:shd w:fill="FFFFFF" w:val="clear"/>
            <w:tcMar>
              <w:top w:w="0" w:type="dxa"/>
              <w:bottom w:w="0" w:type="dxa"/>
            </w:tcMar>
            <w:vAlign w:val="center"/>
          </w:tcPr>
          <w:p>
            <w:pPr>
              <w:pStyle w:val="TableContents"/>
              <w:bidi w:val="0"/>
              <w:spacing w:before="0" w:after="283"/>
              <w:jc w:val="left"/>
              <w:rPr/>
            </w:pPr>
            <w:r>
              <w:rPr/>
              <w:t> </w:t>
            </w:r>
          </w:p>
        </w:tc>
        <w:tc>
          <w:tcPr>
            <w:tcW w:w="1033" w:type="dxa"/>
            <w:tcBorders/>
            <w:shd w:fill="FFFFFF" w:val="clear"/>
            <w:tcMar>
              <w:top w:w="0" w:type="dxa"/>
              <w:bottom w:w="0" w:type="dxa"/>
            </w:tcMar>
            <w:vAlign w:val="center"/>
          </w:tcPr>
          <w:p>
            <w:pPr>
              <w:pStyle w:val="TableContents"/>
              <w:bidi w:val="0"/>
              <w:spacing w:before="0" w:after="283"/>
              <w:jc w:val="right"/>
              <w:rPr/>
            </w:pPr>
            <w:r>
              <w:rPr/>
              <w:t>20,000</w:t>
            </w:r>
          </w:p>
        </w:tc>
        <w:tc>
          <w:tcPr>
            <w:tcW w:w="77" w:type="dxa"/>
            <w:tcBorders/>
            <w:shd w:fill="FFFFFF" w:val="clear"/>
            <w:tcMar>
              <w:top w:w="0" w:type="dxa"/>
              <w:bottom w:w="0" w:type="dxa"/>
            </w:tcMar>
            <w:vAlign w:val="center"/>
          </w:tcPr>
          <w:p>
            <w:pPr>
              <w:pStyle w:val="TableContents"/>
              <w:bidi w:val="0"/>
              <w:spacing w:before="0" w:after="283"/>
              <w:jc w:val="left"/>
              <w:rPr/>
            </w:pPr>
            <w:r>
              <w:rPr/>
              <w:t> </w:t>
            </w:r>
          </w:p>
        </w:tc>
      </w:tr>
      <w:tr>
        <w:trPr/>
        <w:tc>
          <w:tcPr>
            <w:tcW w:w="1230"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Edith M. Hofmeister</w:t>
            </w:r>
            <w:r>
              <w:rPr>
                <w:rFonts w:ascii="Times New Roman;Times;Serif" w:hAnsi="Times New Roman;Times;Serif"/>
                <w:b w:val="false"/>
                <w:i w:val="false"/>
                <w:caps w:val="false"/>
                <w:smallCaps w:val="false"/>
                <w:position w:val="7"/>
                <w:sz w:val="16"/>
                <w:sz w:val="20"/>
              </w:rPr>
              <w:t>(2)(5)(6)(9)</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California, USA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482" w:type="dxa"/>
            <w:tcBorders/>
            <w:shd w:fill="CCEEFF" w:val="clear"/>
            <w:tcMar>
              <w:top w:w="0" w:type="dxa"/>
              <w:bottom w:w="0" w:type="dxa"/>
            </w:tcMar>
            <w:vAlign w:val="center"/>
          </w:tcPr>
          <w:p>
            <w:pPr>
              <w:pStyle w:val="TableContents"/>
              <w:bidi w:val="0"/>
              <w:spacing w:before="0" w:after="283"/>
              <w:jc w:val="both"/>
              <w:rPr/>
            </w:pPr>
            <w:r>
              <w:rPr/>
              <w:t>Independent Director of the Company (2022–present); Director of Osisko Gold Royalties (2022–present); Director of Prime Mining Corp (2021–present); Director of STLLR/Nighthawk Gold Inc. (2022-2024); and Executive Vice-President &amp; General Counsel of Tahoe Resources (2010–2019).  Chair, Business and Human Rights Committee</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27" w:type="dxa"/>
            <w:tcBorders/>
            <w:shd w:fill="CCEEFF" w:val="clear"/>
            <w:tcMar>
              <w:top w:w="0" w:type="dxa"/>
              <w:bottom w:w="0" w:type="dxa"/>
            </w:tcMar>
            <w:vAlign w:val="center"/>
          </w:tcPr>
          <w:p>
            <w:pPr>
              <w:pStyle w:val="TableContents"/>
              <w:bidi w:val="0"/>
              <w:spacing w:before="0" w:after="283"/>
              <w:jc w:val="center"/>
              <w:rPr/>
            </w:pPr>
            <w:r>
              <w:rPr/>
              <w:t>November 16, 2022</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6" w:type="dxa"/>
            <w:tcBorders/>
            <w:shd w:fill="CCEEFF" w:val="clear"/>
            <w:tcMar>
              <w:top w:w="0" w:type="dxa"/>
              <w:bottom w:w="0" w:type="dxa"/>
            </w:tcMar>
            <w:vAlign w:val="center"/>
          </w:tcPr>
          <w:p>
            <w:pPr>
              <w:pStyle w:val="TableContents"/>
              <w:bidi w:val="0"/>
              <w:spacing w:before="0" w:after="283"/>
              <w:jc w:val="left"/>
              <w:rPr/>
            </w:pPr>
            <w:r>
              <w:rPr/>
              <w:t> </w:t>
            </w:r>
          </w:p>
        </w:tc>
        <w:tc>
          <w:tcPr>
            <w:tcW w:w="1033" w:type="dxa"/>
            <w:tcBorders/>
            <w:shd w:fill="CCEEFF" w:val="clear"/>
            <w:tcMar>
              <w:top w:w="0" w:type="dxa"/>
              <w:bottom w:w="0" w:type="dxa"/>
            </w:tcMar>
            <w:vAlign w:val="center"/>
          </w:tcPr>
          <w:p>
            <w:pPr>
              <w:pStyle w:val="TableContents"/>
              <w:bidi w:val="0"/>
              <w:spacing w:before="0" w:after="283"/>
              <w:jc w:val="right"/>
              <w:rPr/>
            </w:pPr>
            <w:r>
              <w:rPr/>
              <w:t>11,316</w:t>
            </w:r>
          </w:p>
        </w:tc>
        <w:tc>
          <w:tcPr>
            <w:tcW w:w="77" w:type="dxa"/>
            <w:tcBorders/>
            <w:shd w:fill="CCEEFF" w:val="clear"/>
            <w:tcMar>
              <w:top w:w="0" w:type="dxa"/>
              <w:bottom w:w="0" w:type="dxa"/>
            </w:tcMar>
            <w:vAlign w:val="center"/>
          </w:tcPr>
          <w:p>
            <w:pPr>
              <w:pStyle w:val="TableContents"/>
              <w:bidi w:val="0"/>
              <w:spacing w:before="0" w:after="283"/>
              <w:jc w:val="left"/>
              <w:rPr/>
            </w:pPr>
            <w:r>
              <w:rPr/>
              <w:t> </w:t>
            </w:r>
          </w:p>
        </w:tc>
      </w:tr>
      <w:tr>
        <w:trPr/>
        <w:tc>
          <w:tcPr>
            <w:tcW w:w="123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Fanny Philip</w:t>
            </w:r>
            <w:r>
              <w:rPr>
                <w:rFonts w:ascii="Times New Roman;Times;Serif" w:hAnsi="Times New Roman;Times;Serif"/>
                <w:b w:val="false"/>
                <w:i w:val="false"/>
                <w:caps w:val="false"/>
                <w:smallCaps w:val="false"/>
                <w:position w:val="7"/>
                <w:sz w:val="16"/>
                <w:sz w:val="20"/>
              </w:rPr>
              <w:t>(3)(4)(7)(8)</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Gironde, France</w:t>
            </w:r>
          </w:p>
          <w:p>
            <w:pPr>
              <w:pStyle w:val="TableContents"/>
              <w:bidi w:val="0"/>
              <w:spacing w:before="0" w:after="0"/>
              <w:ind w:left="62" w:right="0" w:hanging="0"/>
              <w:jc w:val="left"/>
              <w:rPr>
                <w:caps w:val="false"/>
                <w:smallCaps w:val="false"/>
                <w:position w:val="8"/>
                <w:sz w:val="19"/>
              </w:rPr>
            </w:pPr>
            <w:r>
              <w:rPr>
                <w:caps w:val="false"/>
                <w:smallCaps w:val="false"/>
                <w:position w:val="8"/>
                <w:sz w:val="19"/>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482" w:type="dxa"/>
            <w:tcBorders/>
            <w:shd w:fill="FFFFFF" w:val="clear"/>
            <w:tcMar>
              <w:top w:w="0" w:type="dxa"/>
              <w:bottom w:w="0" w:type="dxa"/>
            </w:tcMar>
            <w:vAlign w:val="center"/>
          </w:tcPr>
          <w:p>
            <w:pPr>
              <w:pStyle w:val="TableContents"/>
              <w:bidi w:val="0"/>
              <w:spacing w:before="0" w:after="283"/>
              <w:jc w:val="both"/>
              <w:rPr/>
            </w:pPr>
            <w:r>
              <w:rPr/>
              <w:t>Independent Director of the Company (Jun 2024–present); President of MTI Conseils Inc. (2021-present); General Director (2021-present) and Director of Administration and Finance (2020-2021) of SOVIAGO; Chief Operating Officer (2022–2024), Chief Financial Officer (2020 – 2021), Vice President of Finance (2021), of SATO Technologies Corp.; Associate Partner of Bois Montpetit S.E.N.C.R.L. (2018 – 2020); Manager at Raymond Chabot Grant Thornton (2009-2018)</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27" w:type="dxa"/>
            <w:tcBorders/>
            <w:shd w:fill="FFFFFF" w:val="clear"/>
            <w:tcMar>
              <w:top w:w="0" w:type="dxa"/>
              <w:bottom w:w="0" w:type="dxa"/>
            </w:tcMar>
            <w:vAlign w:val="center"/>
          </w:tcPr>
          <w:p>
            <w:pPr>
              <w:pStyle w:val="TableContents"/>
              <w:bidi w:val="0"/>
              <w:spacing w:before="0" w:after="283"/>
              <w:jc w:val="center"/>
              <w:rPr/>
            </w:pPr>
            <w:r>
              <w:rPr/>
              <w:t>June 27,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6" w:type="dxa"/>
            <w:tcBorders/>
            <w:shd w:fill="FFFFFF" w:val="clear"/>
            <w:tcMar>
              <w:top w:w="0" w:type="dxa"/>
              <w:bottom w:w="0" w:type="dxa"/>
            </w:tcMar>
            <w:vAlign w:val="center"/>
          </w:tcPr>
          <w:p>
            <w:pPr>
              <w:pStyle w:val="TableContents"/>
              <w:bidi w:val="0"/>
              <w:spacing w:before="0" w:after="283"/>
              <w:jc w:val="left"/>
              <w:rPr/>
            </w:pPr>
            <w:r>
              <w:rPr/>
              <w:t> </w:t>
            </w:r>
          </w:p>
        </w:tc>
        <w:tc>
          <w:tcPr>
            <w:tcW w:w="1033" w:type="dxa"/>
            <w:tcBorders/>
            <w:shd w:fill="FFFFFF" w:val="clear"/>
            <w:tcMar>
              <w:top w:w="0" w:type="dxa"/>
              <w:bottom w:w="0" w:type="dxa"/>
            </w:tcMar>
            <w:vAlign w:val="center"/>
          </w:tcPr>
          <w:p>
            <w:pPr>
              <w:pStyle w:val="TableContents"/>
              <w:bidi w:val="0"/>
              <w:spacing w:before="0" w:after="283"/>
              <w:jc w:val="right"/>
              <w:rPr/>
            </w:pPr>
            <w:r>
              <w:rPr/>
              <w:t>2,000</w:t>
            </w:r>
          </w:p>
        </w:tc>
        <w:tc>
          <w:tcPr>
            <w:tcW w:w="77" w:type="dxa"/>
            <w:tcBorders/>
            <w:shd w:fill="FFFF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10205" w:type="dxa"/>
        <w:jc w:val="left"/>
        <w:tblInd w:w="0" w:type="dxa"/>
        <w:tblLayout w:type="fixed"/>
        <w:tblCellMar>
          <w:top w:w="28" w:type="dxa"/>
          <w:left w:w="0" w:type="dxa"/>
          <w:bottom w:w="28" w:type="dxa"/>
          <w:right w:w="0" w:type="dxa"/>
        </w:tblCellMar>
      </w:tblPr>
      <w:tblGrid>
        <w:gridCol w:w="1325"/>
        <w:gridCol w:w="60"/>
        <w:gridCol w:w="6448"/>
        <w:gridCol w:w="60"/>
        <w:gridCol w:w="1097"/>
        <w:gridCol w:w="60"/>
        <w:gridCol w:w="86"/>
        <w:gridCol w:w="990"/>
        <w:gridCol w:w="79"/>
      </w:tblGrid>
      <w:tr>
        <w:trPr/>
        <w:tc>
          <w:tcPr>
            <w:tcW w:w="1325" w:type="dxa"/>
            <w:tcBorders>
              <w:top w:val="single" w:sz="8" w:space="0" w:color="000000"/>
              <w:bottom w:val="single" w:sz="8" w:space="0" w:color="000000"/>
            </w:tcBorders>
            <w:vAlign w:val="center"/>
          </w:tcPr>
          <w:p>
            <w:pPr>
              <w:pStyle w:val="TableContents"/>
              <w:bidi w:val="0"/>
              <w:spacing w:before="0" w:after="283"/>
              <w:jc w:val="left"/>
              <w:rPr>
                <w:b/>
              </w:rPr>
            </w:pPr>
            <w:r>
              <w:rPr>
                <w:b/>
              </w:rPr>
              <w:t>Name, and</w:t>
              <w:br/>
              <w:t>Province &amp;</w:t>
              <w:br/>
              <w:t>Country of</w:t>
              <w:br/>
              <w:t>Residence</w:t>
            </w:r>
          </w:p>
        </w:tc>
        <w:tc>
          <w:tcPr>
            <w:tcW w:w="60" w:type="dxa"/>
            <w:tcBorders>
              <w:top w:val="single" w:sz="8" w:space="0" w:color="000000"/>
              <w:bottom w:val="single" w:sz="8" w:space="0" w:color="000000"/>
            </w:tcBorders>
            <w:vAlign w:val="center"/>
          </w:tcPr>
          <w:p>
            <w:pPr>
              <w:pStyle w:val="TableContents"/>
              <w:bidi w:val="0"/>
              <w:spacing w:before="0" w:after="283"/>
              <w:jc w:val="center"/>
              <w:rPr/>
            </w:pPr>
            <w:r>
              <w:rPr/>
              <w:t> </w:t>
            </w:r>
          </w:p>
        </w:tc>
        <w:tc>
          <w:tcPr>
            <w:tcW w:w="6448"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Occupation During the Last Five Years</w:t>
            </w:r>
            <w:r>
              <w:rPr>
                <w:rFonts w:ascii="Times New Roman;Times;Serif" w:hAnsi="Times New Roman;Times;Serif"/>
                <w:b/>
                <w:position w:val="7"/>
                <w:sz w:val="16"/>
                <w:sz w:val="20"/>
              </w:rPr>
              <w:t>(1)</w:t>
            </w:r>
          </w:p>
        </w:tc>
        <w:tc>
          <w:tcPr>
            <w:tcW w:w="60" w:type="dxa"/>
            <w:tcBorders>
              <w:top w:val="single" w:sz="8" w:space="0" w:color="000000"/>
              <w:bottom w:val="single" w:sz="8" w:space="0" w:color="000000"/>
            </w:tcBorders>
            <w:vAlign w:val="center"/>
          </w:tcPr>
          <w:p>
            <w:pPr>
              <w:pStyle w:val="TableContents"/>
              <w:bidi w:val="0"/>
              <w:spacing w:before="0" w:after="283"/>
              <w:jc w:val="center"/>
              <w:rPr/>
            </w:pPr>
            <w:r>
              <w:rPr/>
              <w:t> </w:t>
            </w:r>
          </w:p>
        </w:tc>
        <w:tc>
          <w:tcPr>
            <w:tcW w:w="1097" w:type="dxa"/>
            <w:tcBorders>
              <w:top w:val="single" w:sz="8" w:space="0" w:color="000000"/>
              <w:bottom w:val="single" w:sz="8" w:space="0" w:color="000000"/>
            </w:tcBorders>
            <w:vAlign w:val="center"/>
          </w:tcPr>
          <w:p>
            <w:pPr>
              <w:pStyle w:val="TableContents"/>
              <w:bidi w:val="0"/>
              <w:spacing w:before="0" w:after="283"/>
              <w:jc w:val="center"/>
              <w:rPr>
                <w:b/>
              </w:rPr>
            </w:pPr>
            <w:r>
              <w:rPr>
                <w:b/>
              </w:rPr>
              <w:t>Director or</w:t>
              <w:br/>
              <w:t>Officer Since</w:t>
            </w:r>
          </w:p>
        </w:tc>
        <w:tc>
          <w:tcPr>
            <w:tcW w:w="60" w:type="dxa"/>
            <w:tcBorders>
              <w:top w:val="single" w:sz="8" w:space="0" w:color="000000"/>
              <w:bottom w:val="single" w:sz="8" w:space="0" w:color="000000"/>
            </w:tcBorders>
            <w:vAlign w:val="center"/>
          </w:tcPr>
          <w:p>
            <w:pPr>
              <w:pStyle w:val="TableContents"/>
              <w:bidi w:val="0"/>
              <w:spacing w:before="0" w:after="283"/>
              <w:jc w:val="center"/>
              <w:rPr/>
            </w:pPr>
            <w:r>
              <w:rPr/>
              <w:t> </w:t>
            </w:r>
          </w:p>
        </w:tc>
        <w:tc>
          <w:tcPr>
            <w:tcW w:w="1076" w:type="dxa"/>
            <w:gridSpan w:val="2"/>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Shares</w:t>
              <w:br/>
              <w:t>Owned or Controlled</w:t>
            </w:r>
            <w:r>
              <w:rPr>
                <w:rFonts w:ascii="Times New Roman;Times;Serif" w:hAnsi="Times New Roman;Times;Serif"/>
                <w:b/>
                <w:position w:val="7"/>
                <w:sz w:val="16"/>
                <w:sz w:val="20"/>
              </w:rPr>
              <w:t>(1)</w:t>
            </w:r>
          </w:p>
        </w:tc>
        <w:tc>
          <w:tcPr>
            <w:tcW w:w="79" w:type="dxa"/>
            <w:tcBorders>
              <w:top w:val="single" w:sz="8" w:space="0" w:color="000000"/>
              <w:bottom w:val="single" w:sz="8" w:space="0" w:color="000000"/>
            </w:tcBorders>
            <w:vAlign w:val="center"/>
          </w:tcPr>
          <w:p>
            <w:pPr>
              <w:pStyle w:val="TableContents"/>
              <w:bidi w:val="0"/>
              <w:spacing w:before="0" w:after="283"/>
              <w:jc w:val="center"/>
              <w:rPr/>
            </w:pPr>
            <w:r>
              <w:rPr/>
              <w:t> </w:t>
            </w:r>
          </w:p>
        </w:tc>
      </w:tr>
      <w:tr>
        <w:trPr/>
        <w:tc>
          <w:tcPr>
            <w:tcW w:w="1325"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L. Freedman</w:t>
            </w:r>
            <w:r>
              <w:rPr>
                <w:rFonts w:ascii="Times New Roman;Times;Serif" w:hAnsi="Times New Roman;Times;Serif"/>
                <w:b w:val="false"/>
                <w:i w:val="false"/>
                <w:caps w:val="false"/>
                <w:smallCaps w:val="false"/>
                <w:position w:val="7"/>
                <w:sz w:val="16"/>
                <w:sz w:val="20"/>
              </w:rPr>
              <w:t>(4) (6)</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Toronto, Canada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448" w:type="dxa"/>
            <w:tcBorders/>
            <w:shd w:fill="CCEEFF" w:val="clear"/>
            <w:tcMar>
              <w:top w:w="0" w:type="dxa"/>
              <w:bottom w:w="0" w:type="dxa"/>
            </w:tcMar>
            <w:vAlign w:val="center"/>
          </w:tcPr>
          <w:p>
            <w:pPr>
              <w:pStyle w:val="TableContents"/>
              <w:bidi w:val="0"/>
              <w:spacing w:before="0" w:after="283"/>
              <w:jc w:val="both"/>
              <w:rPr/>
            </w:pPr>
            <w:r>
              <w:rPr/>
              <w:t>Independent Director of the Company (2024–present); Corporate Director of Irish Residential Properties REIT (2024-present); Corporate Director of American Hotel Income Properties REIT (2023-present); Corporate Director - Lead Independent of Mandalay Resources Corporation (2016-present); Corporate Director of Canaccord Genuity Group Inc. (2023-2024); and Corporate Director of Park Lawn Corporation (2020-2022). Currently Partner and Head of Canada for Longacre Square Partners. Partner and Advisor Ewing Morris Partners (2022-2024). Previously CEO of Kingsdale Advisors (2017-2021)</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097" w:type="dxa"/>
            <w:tcBorders/>
            <w:shd w:fill="CCEEFF" w:val="clear"/>
            <w:tcMar>
              <w:top w:w="0" w:type="dxa"/>
              <w:bottom w:w="0" w:type="dxa"/>
            </w:tcMar>
            <w:vAlign w:val="center"/>
          </w:tcPr>
          <w:p>
            <w:pPr>
              <w:pStyle w:val="TableContents"/>
              <w:bidi w:val="0"/>
              <w:spacing w:before="0" w:after="283"/>
              <w:jc w:val="center"/>
              <w:rPr/>
            </w:pPr>
            <w:r>
              <w:rPr/>
              <w:t>September 23,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 w:type="dxa"/>
            <w:tcBorders/>
            <w:shd w:fill="CCEEFF" w:val="clear"/>
            <w:tcMar>
              <w:top w:w="0" w:type="dxa"/>
              <w:bottom w:w="0" w:type="dxa"/>
            </w:tcMar>
            <w:vAlign w:val="center"/>
          </w:tcPr>
          <w:p>
            <w:pPr>
              <w:pStyle w:val="TableContents"/>
              <w:bidi w:val="0"/>
              <w:spacing w:before="0" w:after="283"/>
              <w:jc w:val="left"/>
              <w:rPr/>
            </w:pPr>
            <w:r>
              <w:rPr/>
              <w:t> </w:t>
            </w:r>
          </w:p>
        </w:tc>
        <w:tc>
          <w:tcPr>
            <w:tcW w:w="9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9" w:type="dxa"/>
            <w:tcBorders/>
            <w:shd w:fill="CCEEFF" w:val="clear"/>
            <w:tcMar>
              <w:top w:w="0" w:type="dxa"/>
              <w:bottom w:w="0" w:type="dxa"/>
            </w:tcMar>
            <w:vAlign w:val="center"/>
          </w:tcPr>
          <w:p>
            <w:pPr>
              <w:pStyle w:val="TableContents"/>
              <w:bidi w:val="0"/>
              <w:spacing w:before="0" w:after="283"/>
              <w:jc w:val="left"/>
              <w:rPr/>
            </w:pPr>
            <w:r>
              <w:rPr/>
              <w:t> </w:t>
            </w:r>
          </w:p>
        </w:tc>
      </w:tr>
      <w:tr>
        <w:trPr/>
        <w:tc>
          <w:tcPr>
            <w:tcW w:w="1325"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J. Chang</w:t>
            </w:r>
            <w:r>
              <w:rPr>
                <w:rFonts w:ascii="Times New Roman;Times;Serif" w:hAnsi="Times New Roman;Times;Serif"/>
                <w:b w:val="false"/>
                <w:i w:val="false"/>
                <w:caps w:val="false"/>
                <w:smallCaps w:val="false"/>
                <w:position w:val="7"/>
                <w:sz w:val="16"/>
                <w:sz w:val="20"/>
              </w:rPr>
              <w:t>(8)</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Jersey, USA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448" w:type="dxa"/>
            <w:tcBorders/>
            <w:shd w:fill="FFFFFF" w:val="clear"/>
            <w:tcMar>
              <w:top w:w="0" w:type="dxa"/>
              <w:bottom w:w="0" w:type="dxa"/>
            </w:tcMar>
            <w:vAlign w:val="center"/>
          </w:tcPr>
          <w:p>
            <w:pPr>
              <w:pStyle w:val="TableContents"/>
              <w:bidi w:val="0"/>
              <w:spacing w:before="0" w:after="283"/>
              <w:jc w:val="both"/>
              <w:rPr/>
            </w:pPr>
            <w:r>
              <w:rPr/>
              <w:t>Independent Director of the Company (2024-present); Co-founder of Lynx Collective (2023-present); Startup Advisor &amp; Investor (2021-present); and Chief operating officer of Paxos Trust Company, LLC (2014-2021).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097" w:type="dxa"/>
            <w:tcBorders/>
            <w:shd w:fill="FFFFFF" w:val="clear"/>
            <w:tcMar>
              <w:top w:w="0" w:type="dxa"/>
              <w:bottom w:w="0" w:type="dxa"/>
            </w:tcMar>
            <w:vAlign w:val="center"/>
          </w:tcPr>
          <w:p>
            <w:pPr>
              <w:pStyle w:val="TableContents"/>
              <w:bidi w:val="0"/>
              <w:spacing w:before="0" w:after="283"/>
              <w:jc w:val="center"/>
              <w:rPr/>
            </w:pPr>
            <w:r>
              <w:rPr/>
              <w:t>November 20,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jc w:val="left"/>
              <w:rPr/>
            </w:pPr>
            <w:r>
              <w:rPr/>
              <w:t> </w:t>
            </w:r>
          </w:p>
        </w:tc>
        <w:tc>
          <w:tcPr>
            <w:tcW w:w="9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9" w:type="dxa"/>
            <w:tcBorders/>
            <w:shd w:fill="FFFFFF" w:val="clear"/>
            <w:tcMar>
              <w:top w:w="0" w:type="dxa"/>
              <w:bottom w:w="0" w:type="dxa"/>
            </w:tcMar>
            <w:vAlign w:val="center"/>
          </w:tcPr>
          <w:p>
            <w:pPr>
              <w:pStyle w:val="TableContents"/>
              <w:bidi w:val="0"/>
              <w:spacing w:before="0" w:after="283"/>
              <w:ind w:left="0" w:right="0" w:hanging="0"/>
              <w:jc w:val="left"/>
              <w:rPr/>
            </w:pPr>
            <w:r>
              <w:rPr/>
              <w:t> </w:t>
            </w:r>
          </w:p>
        </w:tc>
      </w:tr>
      <w:tr>
        <w:trPr/>
        <w:tc>
          <w:tcPr>
            <w:tcW w:w="1325" w:type="dxa"/>
            <w:tcBorders/>
            <w:shd w:fill="CCEEFF" w:val="clear"/>
            <w:tcMar>
              <w:top w:w="0" w:type="dxa"/>
              <w:bottom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P. Lucas,</w:t>
              <w:br/>
            </w:r>
            <w:r>
              <w:rPr>
                <w:rFonts w:ascii="Times New Roman;Times;Serif" w:hAnsi="Times New Roman;Times;Serif"/>
                <w:b w:val="false"/>
                <w:i/>
                <w:caps w:val="false"/>
                <w:smallCaps w:val="false"/>
                <w:sz w:val="20"/>
              </w:rPr>
              <w:t>Massachusetts, USA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448" w:type="dxa"/>
            <w:tcBorders/>
            <w:shd w:fill="CCEEFF" w:val="clear"/>
            <w:tcMar>
              <w:top w:w="0" w:type="dxa"/>
              <w:bottom w:w="0" w:type="dxa"/>
            </w:tcMar>
            <w:vAlign w:val="center"/>
          </w:tcPr>
          <w:p>
            <w:pPr>
              <w:pStyle w:val="TableContents"/>
              <w:bidi w:val="0"/>
              <w:spacing w:before="0" w:after="283"/>
              <w:jc w:val="both"/>
              <w:rPr/>
            </w:pPr>
            <w:r>
              <w:rPr/>
              <w:t>Chief Financial Officer of the Company (2021-present), Managing Director of Mackinac Partners (2020-2021); Principal CFI Associates (2020); President and Chief Financial Officer of eMagin Corporation (NYSE) (2015-2020).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097" w:type="dxa"/>
            <w:tcBorders/>
            <w:shd w:fill="CCEEFF" w:val="clear"/>
            <w:tcMar>
              <w:top w:w="0" w:type="dxa"/>
              <w:bottom w:w="0" w:type="dxa"/>
            </w:tcMar>
            <w:vAlign w:val="center"/>
          </w:tcPr>
          <w:p>
            <w:pPr>
              <w:pStyle w:val="TableContents"/>
              <w:bidi w:val="0"/>
              <w:spacing w:before="0" w:after="283"/>
              <w:jc w:val="center"/>
              <w:rPr/>
            </w:pPr>
            <w:r>
              <w:rPr/>
              <w:t>June 3, 2021</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 w:type="dxa"/>
            <w:tcBorders/>
            <w:shd w:fill="CCEEFF" w:val="clear"/>
            <w:tcMar>
              <w:top w:w="0" w:type="dxa"/>
              <w:bottom w:w="0" w:type="dxa"/>
            </w:tcMar>
            <w:vAlign w:val="center"/>
          </w:tcPr>
          <w:p>
            <w:pPr>
              <w:pStyle w:val="TableContents"/>
              <w:bidi w:val="0"/>
              <w:spacing w:before="0" w:after="283"/>
              <w:jc w:val="left"/>
              <w:rPr/>
            </w:pPr>
            <w:r>
              <w:rPr/>
              <w:t> </w:t>
            </w:r>
          </w:p>
        </w:tc>
        <w:tc>
          <w:tcPr>
            <w:tcW w:w="990" w:type="dxa"/>
            <w:tcBorders/>
            <w:shd w:fill="CCEEFF" w:val="clear"/>
            <w:tcMar>
              <w:top w:w="0" w:type="dxa"/>
              <w:bottom w:w="0" w:type="dxa"/>
            </w:tcMar>
            <w:vAlign w:val="center"/>
          </w:tcPr>
          <w:p>
            <w:pPr>
              <w:pStyle w:val="TableContents"/>
              <w:bidi w:val="0"/>
              <w:spacing w:before="0" w:after="283"/>
              <w:jc w:val="right"/>
              <w:rPr/>
            </w:pPr>
            <w:r>
              <w:rPr/>
              <w:t>93,334</w:t>
            </w:r>
          </w:p>
        </w:tc>
        <w:tc>
          <w:tcPr>
            <w:tcW w:w="79" w:type="dxa"/>
            <w:tcBorders/>
            <w:shd w:fill="CCEEFF" w:val="clear"/>
            <w:tcMar>
              <w:top w:w="0" w:type="dxa"/>
              <w:bottom w:w="0" w:type="dxa"/>
            </w:tcMar>
            <w:vAlign w:val="center"/>
          </w:tcPr>
          <w:p>
            <w:pPr>
              <w:pStyle w:val="TableContents"/>
              <w:bidi w:val="0"/>
              <w:spacing w:before="0" w:after="283"/>
              <w:ind w:left="0" w:right="0" w:hanging="0"/>
              <w:jc w:val="left"/>
              <w:rPr/>
            </w:pPr>
            <w:r>
              <w:rPr/>
              <w:t> </w:t>
            </w:r>
          </w:p>
        </w:tc>
      </w:tr>
      <w:tr>
        <w:trPr/>
        <w:tc>
          <w:tcPr>
            <w:tcW w:w="1325" w:type="dxa"/>
            <w:tcBorders/>
            <w:shd w:fill="FFFFFF" w:val="clear"/>
            <w:tcMar>
              <w:top w:w="0" w:type="dxa"/>
              <w:bottom w:w="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Damian L. Polla </w:t>
              <w:br/>
            </w:r>
            <w:r>
              <w:rPr>
                <w:rFonts w:ascii="Times New Roman;Times;Serif" w:hAnsi="Times New Roman;Times;Serif"/>
                <w:b w:val="false"/>
                <w:i/>
                <w:caps w:val="false"/>
                <w:smallCaps w:val="false"/>
                <w:sz w:val="20"/>
              </w:rPr>
              <w:t>Buenos Aires, Argentina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448" w:type="dxa"/>
            <w:tcBorders/>
            <w:shd w:fill="FFFFFF" w:val="clear"/>
            <w:tcMar>
              <w:top w:w="0" w:type="dxa"/>
              <w:bottom w:w="0" w:type="dxa"/>
            </w:tcMar>
            <w:vAlign w:val="center"/>
          </w:tcPr>
          <w:p>
            <w:pPr>
              <w:pStyle w:val="TableContents"/>
              <w:bidi w:val="0"/>
              <w:spacing w:before="0" w:after="283"/>
              <w:jc w:val="both"/>
              <w:rPr/>
            </w:pPr>
            <w:r>
              <w:rPr/>
              <w:t>General Manager, LATAM of the Company (2021 – present); Corporate Finance Director of Molino Cañuelas SACIFIA (2018-2021) and Head of Structured Finance – Latam of Haitong Bank NY Branch (2016-2018).</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097" w:type="dxa"/>
            <w:tcBorders/>
            <w:shd w:fill="FFFFFF" w:val="clear"/>
            <w:tcMar>
              <w:top w:w="0" w:type="dxa"/>
              <w:bottom w:w="0" w:type="dxa"/>
            </w:tcMar>
            <w:vAlign w:val="center"/>
          </w:tcPr>
          <w:p>
            <w:pPr>
              <w:pStyle w:val="TableContents"/>
              <w:bidi w:val="0"/>
              <w:spacing w:before="0" w:after="283"/>
              <w:jc w:val="center"/>
              <w:rPr/>
            </w:pPr>
            <w:r>
              <w:rPr/>
              <w:t>April 14, 2021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jc w:val="left"/>
              <w:rPr/>
            </w:pPr>
            <w:r>
              <w:rPr/>
              <w:t> </w:t>
            </w:r>
          </w:p>
        </w:tc>
        <w:tc>
          <w:tcPr>
            <w:tcW w:w="990" w:type="dxa"/>
            <w:tcBorders/>
            <w:shd w:fill="FFFFFF" w:val="clear"/>
            <w:tcMar>
              <w:top w:w="0" w:type="dxa"/>
              <w:bottom w:w="0" w:type="dxa"/>
            </w:tcMar>
            <w:vAlign w:val="center"/>
          </w:tcPr>
          <w:p>
            <w:pPr>
              <w:pStyle w:val="TableContents"/>
              <w:bidi w:val="0"/>
              <w:spacing w:before="0" w:after="283"/>
              <w:jc w:val="right"/>
              <w:rPr/>
            </w:pPr>
            <w:r>
              <w:rPr/>
              <w:t>50,000</w:t>
            </w:r>
          </w:p>
        </w:tc>
        <w:tc>
          <w:tcPr>
            <w:tcW w:w="79" w:type="dxa"/>
            <w:tcBorders/>
            <w:shd w:fill="FFFFFF" w:val="clear"/>
            <w:tcMar>
              <w:top w:w="0" w:type="dxa"/>
              <w:bottom w:w="0" w:type="dxa"/>
            </w:tcMar>
            <w:vAlign w:val="center"/>
          </w:tcPr>
          <w:p>
            <w:pPr>
              <w:pStyle w:val="TableContents"/>
              <w:bidi w:val="0"/>
              <w:spacing w:before="0" w:after="283"/>
              <w:jc w:val="left"/>
              <w:rPr/>
            </w:pPr>
            <w:r>
              <w:rPr/>
              <w:t> </w:t>
            </w:r>
          </w:p>
        </w:tc>
      </w:tr>
      <w:tr>
        <w:trPr/>
        <w:tc>
          <w:tcPr>
            <w:tcW w:w="132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 Keen</w:t>
              <w:br/>
            </w:r>
            <w:r>
              <w:rPr>
                <w:rFonts w:ascii="Times New Roman;Times;Serif" w:hAnsi="Times New Roman;Times;Serif"/>
                <w:b w:val="false"/>
                <w:i/>
                <w:caps w:val="false"/>
                <w:smallCaps w:val="false"/>
                <w:sz w:val="20"/>
              </w:rPr>
              <w:t>Québec, Canada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448" w:type="dxa"/>
            <w:tcBorders/>
            <w:shd w:fill="CCEEFF" w:val="clear"/>
            <w:tcMar>
              <w:top w:w="0" w:type="dxa"/>
              <w:bottom w:w="0" w:type="dxa"/>
            </w:tcMar>
            <w:vAlign w:val="center"/>
          </w:tcPr>
          <w:p>
            <w:pPr>
              <w:pStyle w:val="TableContents"/>
              <w:bidi w:val="0"/>
              <w:spacing w:before="0" w:after="283"/>
              <w:jc w:val="both"/>
              <w:rPr/>
            </w:pPr>
            <w:r>
              <w:rPr/>
              <w:t>Senior Vice-President, Human Resources of the Company (Sep. 2024-present); Vice-President, Human Resources of the Company (2022-2024); Head of Talent &amp; Culture of EQ Care/Telus Health (2020-2021); Global HR Director of Straumann Group (2019-2020); Head of Human Resources of Sterlite Power Brazil (2017-2019) and Region Human Resources Leader, LATAM of Fieldcore/GE (2007-2017).</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097" w:type="dxa"/>
            <w:tcBorders/>
            <w:shd w:fill="CCEEFF" w:val="clear"/>
            <w:tcMar>
              <w:top w:w="0" w:type="dxa"/>
              <w:bottom w:w="0" w:type="dxa"/>
            </w:tcMar>
            <w:vAlign w:val="center"/>
          </w:tcPr>
          <w:p>
            <w:pPr>
              <w:pStyle w:val="TableContents"/>
              <w:bidi w:val="0"/>
              <w:spacing w:before="0" w:after="283"/>
              <w:jc w:val="center"/>
              <w:rPr/>
            </w:pPr>
            <w:r>
              <w:rPr/>
              <w:t>January 10, 2022</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 w:type="dxa"/>
            <w:tcBorders/>
            <w:shd w:fill="CCEEFF" w:val="clear"/>
            <w:tcMar>
              <w:top w:w="0" w:type="dxa"/>
              <w:bottom w:w="0" w:type="dxa"/>
            </w:tcMar>
            <w:vAlign w:val="center"/>
          </w:tcPr>
          <w:p>
            <w:pPr>
              <w:pStyle w:val="TableContents"/>
              <w:bidi w:val="0"/>
              <w:spacing w:before="0" w:after="283"/>
              <w:jc w:val="left"/>
              <w:rPr/>
            </w:pPr>
            <w:r>
              <w:rPr/>
              <w:t> </w:t>
            </w:r>
          </w:p>
        </w:tc>
        <w:tc>
          <w:tcPr>
            <w:tcW w:w="9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9" w:type="dxa"/>
            <w:tcBorders/>
            <w:shd w:fill="CCEEFF" w:val="clear"/>
            <w:tcMar>
              <w:top w:w="0" w:type="dxa"/>
              <w:bottom w:w="0" w:type="dxa"/>
            </w:tcMar>
            <w:vAlign w:val="center"/>
          </w:tcPr>
          <w:p>
            <w:pPr>
              <w:pStyle w:val="TableContents"/>
              <w:bidi w:val="0"/>
              <w:spacing w:before="0" w:after="283"/>
              <w:jc w:val="left"/>
              <w:rPr/>
            </w:pPr>
            <w:r>
              <w:rPr/>
              <w:t> </w:t>
            </w:r>
          </w:p>
        </w:tc>
      </w:tr>
      <w:tr>
        <w:trPr/>
        <w:tc>
          <w:tcPr>
            <w:tcW w:w="132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Philippe Fortier</w:t>
              <w:br/>
            </w:r>
            <w:r>
              <w:rPr>
                <w:rFonts w:ascii="Times New Roman;Times;Serif" w:hAnsi="Times New Roman;Times;Serif"/>
                <w:b w:val="false"/>
                <w:i/>
                <w:caps w:val="false"/>
                <w:smallCaps w:val="false"/>
                <w:sz w:val="20"/>
              </w:rPr>
              <w:t>Québec, Canada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448" w:type="dxa"/>
            <w:tcBorders/>
            <w:shd w:fill="FFFFFF" w:val="clear"/>
            <w:tcMar>
              <w:top w:w="0" w:type="dxa"/>
              <w:bottom w:w="0" w:type="dxa"/>
            </w:tcMar>
            <w:vAlign w:val="center"/>
          </w:tcPr>
          <w:p>
            <w:pPr>
              <w:pStyle w:val="TableContents"/>
              <w:bidi w:val="0"/>
              <w:spacing w:before="0" w:after="283"/>
              <w:jc w:val="both"/>
              <w:rPr/>
            </w:pPr>
            <w:r>
              <w:rPr/>
              <w:t>Executive Vice President, Corporate Development of the Company (2024-present); Senior Vice President, Corporate Development of the Company (2023-2024); Vice President-Corporate Development of the Company (2022-2023); Vice President, Special Projects of the Company (2022); President of Gestion PF Holdings (2019-2021);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097" w:type="dxa"/>
            <w:tcBorders/>
            <w:shd w:fill="FFFFFF" w:val="clear"/>
            <w:tcMar>
              <w:top w:w="0" w:type="dxa"/>
              <w:bottom w:w="0" w:type="dxa"/>
            </w:tcMar>
            <w:vAlign w:val="center"/>
          </w:tcPr>
          <w:p>
            <w:pPr>
              <w:pStyle w:val="TableContents"/>
              <w:bidi w:val="0"/>
              <w:spacing w:before="0" w:after="283"/>
              <w:jc w:val="center"/>
              <w:rPr/>
            </w:pPr>
            <w:r>
              <w:rPr/>
              <w:t>January 17, 2022</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jc w:val="left"/>
              <w:rPr/>
            </w:pPr>
            <w:r>
              <w:rPr/>
              <w:t> </w:t>
            </w:r>
          </w:p>
        </w:tc>
        <w:tc>
          <w:tcPr>
            <w:tcW w:w="990" w:type="dxa"/>
            <w:tcBorders/>
            <w:shd w:fill="FFFFFF" w:val="clear"/>
            <w:tcMar>
              <w:top w:w="0" w:type="dxa"/>
              <w:bottom w:w="0" w:type="dxa"/>
            </w:tcMar>
            <w:vAlign w:val="center"/>
          </w:tcPr>
          <w:p>
            <w:pPr>
              <w:pStyle w:val="TableContents"/>
              <w:bidi w:val="0"/>
              <w:spacing w:before="0" w:after="283"/>
              <w:jc w:val="right"/>
              <w:rPr/>
            </w:pPr>
            <w:r>
              <w:rPr/>
              <w:t>40,000</w:t>
            </w:r>
          </w:p>
        </w:tc>
        <w:tc>
          <w:tcPr>
            <w:tcW w:w="79" w:type="dxa"/>
            <w:tcBorders/>
            <w:shd w:fill="FFFFFF" w:val="clear"/>
            <w:tcMar>
              <w:top w:w="0" w:type="dxa"/>
              <w:bottom w:w="0" w:type="dxa"/>
            </w:tcMar>
            <w:vAlign w:val="center"/>
          </w:tcPr>
          <w:p>
            <w:pPr>
              <w:pStyle w:val="TableContents"/>
              <w:bidi w:val="0"/>
              <w:spacing w:before="0" w:after="283"/>
              <w:jc w:val="left"/>
              <w:rPr/>
            </w:pPr>
            <w:r>
              <w:rPr/>
              <w:t> </w:t>
            </w:r>
          </w:p>
        </w:tc>
      </w:tr>
      <w:tr>
        <w:trPr/>
        <w:tc>
          <w:tcPr>
            <w:tcW w:w="132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Marc-André Ammann</w:t>
              <w:br/>
            </w:r>
            <w:r>
              <w:rPr>
                <w:rFonts w:ascii="Times New Roman;Times;Serif" w:hAnsi="Times New Roman;Times;Serif"/>
                <w:b w:val="false"/>
                <w:i/>
                <w:caps w:val="false"/>
                <w:smallCaps w:val="false"/>
                <w:sz w:val="20"/>
              </w:rPr>
              <w:t>Québec, Canada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448" w:type="dxa"/>
            <w:tcBorders/>
            <w:shd w:fill="CCEEFF" w:val="clear"/>
            <w:tcMar>
              <w:top w:w="0" w:type="dxa"/>
              <w:bottom w:w="0" w:type="dxa"/>
            </w:tcMar>
            <w:vAlign w:val="center"/>
          </w:tcPr>
          <w:p>
            <w:pPr>
              <w:pStyle w:val="TableContents"/>
              <w:bidi w:val="0"/>
              <w:spacing w:before="0" w:after="283"/>
              <w:jc w:val="both"/>
              <w:rPr/>
            </w:pPr>
            <w:r>
              <w:rPr/>
              <w:t>Senior Vice President, Finance &amp; Accounting of the Company (2024-present); Vice President, Finance &amp; Accounting of the Company (2022–2024); Vice President, Finance &amp; Corporate Controller of Sharethrough (2021-2022); Director of Financial Reporting of Minerai de Fer Québec (2019-2021); Senior Manager, Corporate Accounting &amp; Regulatory Reporting of Canadian National Railway (2017–2019).</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097" w:type="dxa"/>
            <w:tcBorders/>
            <w:shd w:fill="CCEEFF" w:val="clear"/>
            <w:tcMar>
              <w:top w:w="0" w:type="dxa"/>
              <w:bottom w:w="0" w:type="dxa"/>
            </w:tcMar>
            <w:vAlign w:val="center"/>
          </w:tcPr>
          <w:p>
            <w:pPr>
              <w:pStyle w:val="TableContents"/>
              <w:bidi w:val="0"/>
              <w:spacing w:before="0" w:after="283"/>
              <w:jc w:val="center"/>
              <w:rPr/>
            </w:pPr>
            <w:r>
              <w:rPr/>
              <w:t>May 16, 2022</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 w:type="dxa"/>
            <w:tcBorders/>
            <w:shd w:fill="CCEEFF" w:val="clear"/>
            <w:tcMar>
              <w:top w:w="0" w:type="dxa"/>
              <w:bottom w:w="0" w:type="dxa"/>
            </w:tcMar>
            <w:vAlign w:val="center"/>
          </w:tcPr>
          <w:p>
            <w:pPr>
              <w:pStyle w:val="TableContents"/>
              <w:bidi w:val="0"/>
              <w:spacing w:before="0" w:after="283"/>
              <w:jc w:val="left"/>
              <w:rPr/>
            </w:pPr>
            <w:r>
              <w:rPr/>
              <w:t> </w:t>
            </w:r>
          </w:p>
        </w:tc>
        <w:tc>
          <w:tcPr>
            <w:tcW w:w="9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9" w:type="dxa"/>
            <w:tcBorders/>
            <w:shd w:fill="CCEE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10205" w:type="dxa"/>
        <w:jc w:val="left"/>
        <w:tblInd w:w="0" w:type="dxa"/>
        <w:tblLayout w:type="fixed"/>
        <w:tblCellMar>
          <w:top w:w="28" w:type="dxa"/>
          <w:left w:w="0" w:type="dxa"/>
          <w:bottom w:w="28" w:type="dxa"/>
          <w:right w:w="0" w:type="dxa"/>
        </w:tblCellMar>
      </w:tblPr>
      <w:tblGrid>
        <w:gridCol w:w="1383"/>
        <w:gridCol w:w="60"/>
        <w:gridCol w:w="6288"/>
        <w:gridCol w:w="60"/>
        <w:gridCol w:w="1143"/>
        <w:gridCol w:w="60"/>
        <w:gridCol w:w="91"/>
        <w:gridCol w:w="1043"/>
        <w:gridCol w:w="77"/>
      </w:tblGrid>
      <w:tr>
        <w:trPr/>
        <w:tc>
          <w:tcPr>
            <w:tcW w:w="1383" w:type="dxa"/>
            <w:tcBorders>
              <w:top w:val="single" w:sz="8" w:space="0" w:color="000000"/>
              <w:bottom w:val="single" w:sz="8" w:space="0" w:color="000000"/>
            </w:tcBorders>
            <w:vAlign w:val="center"/>
          </w:tcPr>
          <w:p>
            <w:pPr>
              <w:pStyle w:val="TableContents"/>
              <w:bidi w:val="0"/>
              <w:spacing w:before="0" w:after="283"/>
              <w:jc w:val="left"/>
              <w:rPr>
                <w:b/>
              </w:rPr>
            </w:pPr>
            <w:r>
              <w:rPr>
                <w:b/>
              </w:rPr>
              <w:t>Name, and</w:t>
              <w:br/>
              <w:t>Province &amp;</w:t>
              <w:br/>
              <w:t>Country of</w:t>
              <w:br/>
              <w:t>Residence</w:t>
            </w:r>
          </w:p>
        </w:tc>
        <w:tc>
          <w:tcPr>
            <w:tcW w:w="60" w:type="dxa"/>
            <w:tcBorders>
              <w:top w:val="single" w:sz="8" w:space="0" w:color="000000"/>
              <w:bottom w:val="single" w:sz="8" w:space="0" w:color="000000"/>
            </w:tcBorders>
            <w:vAlign w:val="center"/>
          </w:tcPr>
          <w:p>
            <w:pPr>
              <w:pStyle w:val="TableContents"/>
              <w:bidi w:val="0"/>
              <w:spacing w:before="0" w:after="283"/>
              <w:jc w:val="center"/>
              <w:rPr/>
            </w:pPr>
            <w:r>
              <w:rPr/>
              <w:t> </w:t>
            </w:r>
          </w:p>
        </w:tc>
        <w:tc>
          <w:tcPr>
            <w:tcW w:w="6288"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Occupation During the Last Five Years</w:t>
            </w:r>
            <w:r>
              <w:rPr>
                <w:rFonts w:ascii="Times New Roman;Times;Serif" w:hAnsi="Times New Roman;Times;Serif"/>
                <w:b/>
                <w:position w:val="7"/>
                <w:sz w:val="16"/>
                <w:sz w:val="20"/>
              </w:rPr>
              <w:t>(1)</w:t>
            </w:r>
          </w:p>
        </w:tc>
        <w:tc>
          <w:tcPr>
            <w:tcW w:w="60" w:type="dxa"/>
            <w:tcBorders>
              <w:top w:val="single" w:sz="8" w:space="0" w:color="000000"/>
              <w:bottom w:val="single" w:sz="8" w:space="0" w:color="000000"/>
            </w:tcBorders>
            <w:vAlign w:val="center"/>
          </w:tcPr>
          <w:p>
            <w:pPr>
              <w:pStyle w:val="TableContents"/>
              <w:bidi w:val="0"/>
              <w:spacing w:before="0" w:after="283"/>
              <w:jc w:val="center"/>
              <w:rPr/>
            </w:pPr>
            <w:r>
              <w:rPr/>
              <w:t> </w:t>
            </w:r>
          </w:p>
        </w:tc>
        <w:tc>
          <w:tcPr>
            <w:tcW w:w="1143" w:type="dxa"/>
            <w:tcBorders>
              <w:top w:val="single" w:sz="8" w:space="0" w:color="000000"/>
              <w:bottom w:val="single" w:sz="8" w:space="0" w:color="000000"/>
            </w:tcBorders>
            <w:vAlign w:val="center"/>
          </w:tcPr>
          <w:p>
            <w:pPr>
              <w:pStyle w:val="TableContents"/>
              <w:bidi w:val="0"/>
              <w:spacing w:before="0" w:after="283"/>
              <w:jc w:val="center"/>
              <w:rPr>
                <w:b/>
              </w:rPr>
            </w:pPr>
            <w:r>
              <w:rPr>
                <w:b/>
              </w:rPr>
              <w:t>Director or</w:t>
              <w:br/>
              <w:t>Officer Since</w:t>
            </w:r>
          </w:p>
        </w:tc>
        <w:tc>
          <w:tcPr>
            <w:tcW w:w="60" w:type="dxa"/>
            <w:tcBorders>
              <w:top w:val="single" w:sz="8" w:space="0" w:color="000000"/>
              <w:bottom w:val="single" w:sz="8" w:space="0" w:color="000000"/>
            </w:tcBorders>
            <w:vAlign w:val="center"/>
          </w:tcPr>
          <w:p>
            <w:pPr>
              <w:pStyle w:val="TableContents"/>
              <w:bidi w:val="0"/>
              <w:spacing w:before="0" w:after="283"/>
              <w:jc w:val="center"/>
              <w:rPr/>
            </w:pPr>
            <w:r>
              <w:rPr/>
              <w:t> </w:t>
            </w:r>
          </w:p>
        </w:tc>
        <w:tc>
          <w:tcPr>
            <w:tcW w:w="1134" w:type="dxa"/>
            <w:gridSpan w:val="2"/>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Shares</w:t>
              <w:br/>
              <w:t>Owned or Controlled</w:t>
            </w:r>
            <w:r>
              <w:rPr>
                <w:rFonts w:ascii="Times New Roman;Times;Serif" w:hAnsi="Times New Roman;Times;Serif"/>
                <w:b/>
                <w:position w:val="7"/>
                <w:sz w:val="16"/>
                <w:sz w:val="20"/>
              </w:rPr>
              <w:t>(1)</w:t>
            </w:r>
          </w:p>
        </w:tc>
        <w:tc>
          <w:tcPr>
            <w:tcW w:w="77" w:type="dxa"/>
            <w:tcBorders>
              <w:top w:val="single" w:sz="8" w:space="0" w:color="000000"/>
              <w:bottom w:val="single" w:sz="8" w:space="0" w:color="000000"/>
            </w:tcBorders>
            <w:vAlign w:val="center"/>
          </w:tcPr>
          <w:p>
            <w:pPr>
              <w:pStyle w:val="TableContents"/>
              <w:bidi w:val="0"/>
              <w:spacing w:before="0" w:after="283"/>
              <w:jc w:val="center"/>
              <w:rPr/>
            </w:pPr>
            <w:r>
              <w:rPr/>
              <w:t> </w:t>
            </w:r>
          </w:p>
        </w:tc>
      </w:tr>
      <w:tr>
        <w:trPr/>
        <w:tc>
          <w:tcPr>
            <w:tcW w:w="1383"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T. Magrath</w:t>
              <w:br/>
            </w:r>
            <w:r>
              <w:rPr>
                <w:rFonts w:ascii="Times New Roman;Times;Serif" w:hAnsi="Times New Roman;Times;Serif"/>
                <w:b w:val="false"/>
                <w:i/>
                <w:caps w:val="false"/>
                <w:smallCaps w:val="false"/>
                <w:sz w:val="20"/>
              </w:rPr>
              <w:t>Ontario, Canada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288" w:type="dxa"/>
            <w:tcBorders/>
            <w:shd w:fill="CCEEFF" w:val="clear"/>
            <w:tcMar>
              <w:top w:w="0" w:type="dxa"/>
              <w:bottom w:w="0" w:type="dxa"/>
            </w:tcMar>
            <w:vAlign w:val="center"/>
          </w:tcPr>
          <w:p>
            <w:pPr>
              <w:pStyle w:val="TableContents"/>
              <w:bidi w:val="0"/>
              <w:spacing w:before="0" w:after="283"/>
              <w:jc w:val="both"/>
              <w:rPr/>
            </w:pPr>
            <w:r>
              <w:rPr/>
              <w:t>Vice President, Taxation of the Company (Sep. 2024-present); Vice President, Taxation &amp; Sustainability of the Company (2022–Sep. 2024); Senior Finance Director, Taxation of Huawei Technologies (2017-2022) and Director, Taxation of AstraZeneca R&amp;D (2009-2017).</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43" w:type="dxa"/>
            <w:tcBorders/>
            <w:shd w:fill="CCEEFF" w:val="clear"/>
            <w:tcMar>
              <w:top w:w="0" w:type="dxa"/>
              <w:bottom w:w="0" w:type="dxa"/>
            </w:tcMar>
            <w:vAlign w:val="center"/>
          </w:tcPr>
          <w:p>
            <w:pPr>
              <w:pStyle w:val="TableContents"/>
              <w:bidi w:val="0"/>
              <w:spacing w:before="0" w:after="283"/>
              <w:jc w:val="center"/>
              <w:rPr/>
            </w:pPr>
            <w:r>
              <w:rPr/>
              <w:t>May 23, 2022</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1043" w:type="dxa"/>
            <w:tcBorders/>
            <w:shd w:fill="CCEEFF" w:val="clear"/>
            <w:tcMar>
              <w:top w:w="0" w:type="dxa"/>
              <w:bottom w:w="0" w:type="dxa"/>
            </w:tcMar>
            <w:vAlign w:val="center"/>
          </w:tcPr>
          <w:p>
            <w:pPr>
              <w:pStyle w:val="TableContents"/>
              <w:bidi w:val="0"/>
              <w:spacing w:before="0" w:after="283"/>
              <w:jc w:val="right"/>
              <w:rPr/>
            </w:pPr>
            <w:r>
              <w:rPr/>
              <w:t>10,822</w:t>
            </w:r>
          </w:p>
        </w:tc>
        <w:tc>
          <w:tcPr>
            <w:tcW w:w="77" w:type="dxa"/>
            <w:tcBorders/>
            <w:shd w:fill="CCEEFF" w:val="clear"/>
            <w:tcMar>
              <w:top w:w="0" w:type="dxa"/>
              <w:bottom w:w="0" w:type="dxa"/>
            </w:tcMar>
            <w:vAlign w:val="center"/>
          </w:tcPr>
          <w:p>
            <w:pPr>
              <w:pStyle w:val="TableContents"/>
              <w:bidi w:val="0"/>
              <w:spacing w:before="0" w:after="283"/>
              <w:jc w:val="left"/>
              <w:rPr/>
            </w:pPr>
            <w:r>
              <w:rPr/>
              <w:t> </w:t>
            </w:r>
          </w:p>
        </w:tc>
      </w:tr>
      <w:tr>
        <w:trPr/>
        <w:tc>
          <w:tcPr>
            <w:tcW w:w="1383"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Jeffrey (Jung Feng) Gao </w:t>
              <w:br/>
            </w:r>
            <w:r>
              <w:rPr>
                <w:rFonts w:ascii="Times New Roman;Times;Serif" w:hAnsi="Times New Roman;Times;Serif"/>
                <w:i/>
              </w:rPr>
              <w:t>Victoria, Australia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288" w:type="dxa"/>
            <w:tcBorders/>
            <w:shd w:fill="FFFFFF" w:val="clear"/>
            <w:tcMar>
              <w:top w:w="0" w:type="dxa"/>
              <w:bottom w:w="0" w:type="dxa"/>
            </w:tcMar>
            <w:vAlign w:val="center"/>
          </w:tcPr>
          <w:p>
            <w:pPr>
              <w:pStyle w:val="TableContents"/>
              <w:bidi w:val="0"/>
              <w:spacing w:before="0" w:after="283"/>
              <w:jc w:val="both"/>
              <w:rPr/>
            </w:pPr>
            <w:r>
              <w:rPr/>
              <w:t>Vice President, Global Risk Management of the Company (2023-present) and Chief Executive Officer of Cypherpunk Holdings Inc. (2021-2022). Lecturer at Kaplan Business School (2019-2025)</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43" w:type="dxa"/>
            <w:tcBorders/>
            <w:shd w:fill="FFFFFF" w:val="clear"/>
            <w:tcMar>
              <w:top w:w="0" w:type="dxa"/>
              <w:bottom w:w="0" w:type="dxa"/>
            </w:tcMar>
            <w:vAlign w:val="center"/>
          </w:tcPr>
          <w:p>
            <w:pPr>
              <w:pStyle w:val="TableContents"/>
              <w:bidi w:val="0"/>
              <w:spacing w:before="0" w:after="283"/>
              <w:jc w:val="center"/>
              <w:rPr/>
            </w:pPr>
            <w:r>
              <w:rPr/>
              <w:t>January 1, 2023</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1" w:type="dxa"/>
            <w:tcBorders/>
            <w:shd w:fill="FFFFFF" w:val="clear"/>
            <w:tcMar>
              <w:top w:w="0" w:type="dxa"/>
              <w:bottom w:w="0" w:type="dxa"/>
            </w:tcMar>
            <w:vAlign w:val="center"/>
          </w:tcPr>
          <w:p>
            <w:pPr>
              <w:pStyle w:val="TableContents"/>
              <w:bidi w:val="0"/>
              <w:spacing w:before="0" w:after="283"/>
              <w:jc w:val="left"/>
              <w:rPr/>
            </w:pPr>
            <w:r>
              <w:rPr/>
              <w:t> </w:t>
            </w:r>
          </w:p>
        </w:tc>
        <w:tc>
          <w:tcPr>
            <w:tcW w:w="1043"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7" w:type="dxa"/>
            <w:tcBorders/>
            <w:shd w:fill="FFFFFF" w:val="clear"/>
            <w:tcMar>
              <w:top w:w="0" w:type="dxa"/>
              <w:bottom w:w="0" w:type="dxa"/>
            </w:tcMar>
            <w:vAlign w:val="center"/>
          </w:tcPr>
          <w:p>
            <w:pPr>
              <w:pStyle w:val="TableContents"/>
              <w:bidi w:val="0"/>
              <w:spacing w:before="0" w:after="283"/>
              <w:jc w:val="left"/>
              <w:rPr/>
            </w:pPr>
            <w:r>
              <w:rPr/>
              <w:t> </w:t>
            </w:r>
          </w:p>
        </w:tc>
      </w:tr>
      <w:tr>
        <w:trPr/>
        <w:tc>
          <w:tcPr>
            <w:tcW w:w="1383"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H. Krumme</w:t>
              <w:br/>
            </w:r>
            <w:r>
              <w:rPr>
                <w:rFonts w:ascii="Times New Roman;Times;Serif" w:hAnsi="Times New Roman;Times;Serif"/>
                <w:i/>
              </w:rPr>
              <w:t>Florida, USA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288" w:type="dxa"/>
            <w:tcBorders/>
            <w:shd w:fill="CCEEFF" w:val="clear"/>
            <w:tcMar>
              <w:top w:w="0" w:type="dxa"/>
              <w:bottom w:w="0" w:type="dxa"/>
            </w:tcMar>
            <w:vAlign w:val="center"/>
          </w:tcPr>
          <w:p>
            <w:pPr>
              <w:pStyle w:val="TableContents"/>
              <w:bidi w:val="0"/>
              <w:spacing w:before="0" w:after="283"/>
              <w:jc w:val="both"/>
              <w:rPr/>
            </w:pPr>
            <w:r>
              <w:rPr/>
              <w:t>Senior Vice-President, Head of Investor Relations (2023-present); Global Head of Investor Relations of Galderma ( 2022- 2022); VP, Head of Investor Relations of PPD Inc. ( 2020-2020) and SVP, Head of Investor Relations of Nuance Communications (2019-2022).</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43" w:type="dxa"/>
            <w:tcBorders/>
            <w:shd w:fill="CCEEFF" w:val="clear"/>
            <w:tcMar>
              <w:top w:w="0" w:type="dxa"/>
              <w:bottom w:w="0" w:type="dxa"/>
            </w:tcMar>
            <w:vAlign w:val="center"/>
          </w:tcPr>
          <w:p>
            <w:pPr>
              <w:pStyle w:val="TableContents"/>
              <w:bidi w:val="0"/>
              <w:spacing w:before="0" w:after="283"/>
              <w:jc w:val="center"/>
              <w:rPr/>
            </w:pPr>
            <w:r>
              <w:rPr/>
              <w:t>December 29, 2023</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1043"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7" w:type="dxa"/>
            <w:tcBorders/>
            <w:shd w:fill="CCEEFF" w:val="clear"/>
            <w:tcMar>
              <w:top w:w="0" w:type="dxa"/>
              <w:bottom w:w="0" w:type="dxa"/>
            </w:tcMar>
            <w:vAlign w:val="center"/>
          </w:tcPr>
          <w:p>
            <w:pPr>
              <w:pStyle w:val="TableContents"/>
              <w:bidi w:val="0"/>
              <w:spacing w:before="0" w:after="283"/>
              <w:jc w:val="left"/>
              <w:rPr/>
            </w:pPr>
            <w:r>
              <w:rPr/>
              <w:t> </w:t>
            </w:r>
          </w:p>
        </w:tc>
      </w:tr>
      <w:tr>
        <w:trPr/>
        <w:tc>
          <w:tcPr>
            <w:tcW w:w="1383"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Guillaume Reeves </w:t>
              <w:br/>
            </w:r>
            <w:r>
              <w:rPr>
                <w:rFonts w:ascii="Times New Roman;Times;Serif" w:hAnsi="Times New Roman;Times;Serif"/>
                <w:i/>
              </w:rPr>
              <w:t>Quebec, Canada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288" w:type="dxa"/>
            <w:tcBorders/>
            <w:shd w:fill="FFFFFF" w:val="clear"/>
            <w:tcMar>
              <w:top w:w="0" w:type="dxa"/>
              <w:bottom w:w="0" w:type="dxa"/>
            </w:tcMar>
            <w:vAlign w:val="center"/>
          </w:tcPr>
          <w:p>
            <w:pPr>
              <w:pStyle w:val="TableContents"/>
              <w:bidi w:val="0"/>
              <w:spacing w:before="0" w:after="283"/>
              <w:jc w:val="left"/>
              <w:rPr/>
            </w:pPr>
            <w:r>
              <w:rPr/>
              <w:t>Vice President, Information Technology (2023-present); Director of Information Technology (2017-2023).</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43" w:type="dxa"/>
            <w:tcBorders/>
            <w:shd w:fill="FFFFFF" w:val="clear"/>
            <w:tcMar>
              <w:top w:w="0" w:type="dxa"/>
              <w:bottom w:w="0" w:type="dxa"/>
            </w:tcMar>
            <w:vAlign w:val="center"/>
          </w:tcPr>
          <w:p>
            <w:pPr>
              <w:pStyle w:val="TableContents"/>
              <w:bidi w:val="0"/>
              <w:spacing w:before="0" w:after="283"/>
              <w:jc w:val="center"/>
              <w:rPr/>
            </w:pPr>
            <w:r>
              <w:rPr/>
              <w:t>December 22, 2023</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1" w:type="dxa"/>
            <w:tcBorders/>
            <w:shd w:fill="FFFFFF" w:val="clear"/>
            <w:tcMar>
              <w:top w:w="0" w:type="dxa"/>
              <w:bottom w:w="0" w:type="dxa"/>
            </w:tcMar>
            <w:vAlign w:val="center"/>
          </w:tcPr>
          <w:p>
            <w:pPr>
              <w:pStyle w:val="TableContents"/>
              <w:bidi w:val="0"/>
              <w:spacing w:before="0" w:after="283"/>
              <w:jc w:val="left"/>
              <w:rPr/>
            </w:pPr>
            <w:r>
              <w:rPr/>
              <w:t> </w:t>
            </w:r>
          </w:p>
        </w:tc>
        <w:tc>
          <w:tcPr>
            <w:tcW w:w="1043"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7" w:type="dxa"/>
            <w:tcBorders/>
            <w:shd w:fill="FFFFFF" w:val="clear"/>
            <w:tcMar>
              <w:top w:w="0" w:type="dxa"/>
              <w:bottom w:w="0" w:type="dxa"/>
            </w:tcMar>
            <w:vAlign w:val="center"/>
          </w:tcPr>
          <w:p>
            <w:pPr>
              <w:pStyle w:val="TableContents"/>
              <w:bidi w:val="0"/>
              <w:spacing w:before="0" w:after="283"/>
              <w:jc w:val="left"/>
              <w:rPr/>
            </w:pPr>
            <w:r>
              <w:rPr/>
              <w:t> </w:t>
            </w:r>
          </w:p>
        </w:tc>
      </w:tr>
      <w:tr>
        <w:trPr/>
        <w:tc>
          <w:tcPr>
            <w:tcW w:w="1383"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Liam D. Wilson</w:t>
              <w:br/>
            </w:r>
            <w:r>
              <w:rPr>
                <w:rFonts w:ascii="Times New Roman;Times;Serif" w:hAnsi="Times New Roman;Times;Serif"/>
                <w:b w:val="false"/>
                <w:i/>
                <w:caps w:val="false"/>
                <w:smallCaps w:val="false"/>
                <w:sz w:val="20"/>
              </w:rPr>
              <w:t>Tennessee, USA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288" w:type="dxa"/>
            <w:tcBorders/>
            <w:shd w:fill="CCEEFF" w:val="clear"/>
            <w:tcMar>
              <w:top w:w="0" w:type="dxa"/>
              <w:bottom w:w="0" w:type="dxa"/>
            </w:tcMar>
            <w:vAlign w:val="center"/>
          </w:tcPr>
          <w:p>
            <w:pPr>
              <w:pStyle w:val="TableContents"/>
              <w:bidi w:val="0"/>
              <w:spacing w:before="0" w:after="283"/>
              <w:jc w:val="both"/>
              <w:rPr/>
            </w:pPr>
            <w:r>
              <w:rPr/>
              <w:t>Chief Operating Officer of the Company (2024–Present); Chief operating officer of Mawson Infrastructure Group Inc. (2019-2023); and Group Operations Manager of Whitehouse Group (2018-2019).</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43" w:type="dxa"/>
            <w:tcBorders/>
            <w:shd w:fill="CCEEFF" w:val="clear"/>
            <w:tcMar>
              <w:top w:w="0" w:type="dxa"/>
              <w:bottom w:w="0" w:type="dxa"/>
            </w:tcMar>
            <w:vAlign w:val="center"/>
          </w:tcPr>
          <w:p>
            <w:pPr>
              <w:pStyle w:val="TableContents"/>
              <w:bidi w:val="0"/>
              <w:spacing w:before="0" w:after="283"/>
              <w:jc w:val="center"/>
              <w:rPr/>
            </w:pPr>
            <w:r>
              <w:rPr/>
              <w:t>August 19,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1043"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7" w:type="dxa"/>
            <w:tcBorders/>
            <w:shd w:fill="CCEEFF" w:val="clear"/>
            <w:tcMar>
              <w:top w:w="0" w:type="dxa"/>
              <w:bottom w:w="0" w:type="dxa"/>
            </w:tcMar>
            <w:vAlign w:val="center"/>
          </w:tcPr>
          <w:p>
            <w:pPr>
              <w:pStyle w:val="TableContents"/>
              <w:bidi w:val="0"/>
              <w:spacing w:before="0" w:after="283"/>
              <w:jc w:val="left"/>
              <w:rPr/>
            </w:pPr>
            <w:r>
              <w:rPr/>
              <w:t> </w:t>
            </w:r>
          </w:p>
        </w:tc>
      </w:tr>
      <w:tr>
        <w:trPr/>
        <w:tc>
          <w:tcPr>
            <w:tcW w:w="1383"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Alexander B. Brammer </w:t>
              <w:br/>
            </w:r>
            <w:r>
              <w:rPr>
                <w:rFonts w:ascii="Times New Roman;Times;Serif" w:hAnsi="Times New Roman;Times;Serif"/>
                <w:b w:val="false"/>
                <w:i/>
                <w:caps w:val="false"/>
                <w:smallCaps w:val="false"/>
                <w:sz w:val="20"/>
              </w:rPr>
              <w:t>North Carolina, USA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288" w:type="dxa"/>
            <w:tcBorders/>
            <w:shd w:fill="FFFFFF" w:val="clear"/>
            <w:tcMar>
              <w:top w:w="0" w:type="dxa"/>
              <w:bottom w:w="0" w:type="dxa"/>
            </w:tcMar>
            <w:vAlign w:val="center"/>
          </w:tcPr>
          <w:p>
            <w:pPr>
              <w:pStyle w:val="TableContents"/>
              <w:bidi w:val="0"/>
              <w:spacing w:before="0" w:after="283"/>
              <w:jc w:val="both"/>
              <w:rPr/>
            </w:pPr>
            <w:r>
              <w:rPr/>
              <w:t>SVP, Global Mining Operations of the Company (Sep. 2024–Present); Senior Director, Digital Strategy &amp; Asset Optimization of Talen Energy &amp; Nautilus Bitcoin Mining (2022- 2024); VP of Business Development of Luxor Technology Corp. (2021-2022); and Infantry Company Commander, Platoon Leader, Fireteam Leader and Gunner of United States Army (2005-2021).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43" w:type="dxa"/>
            <w:tcBorders/>
            <w:shd w:fill="FFFFFF" w:val="clear"/>
            <w:tcMar>
              <w:top w:w="0" w:type="dxa"/>
              <w:bottom w:w="0" w:type="dxa"/>
            </w:tcMar>
            <w:vAlign w:val="center"/>
          </w:tcPr>
          <w:p>
            <w:pPr>
              <w:pStyle w:val="TableContents"/>
              <w:bidi w:val="0"/>
              <w:spacing w:before="0" w:after="283"/>
              <w:jc w:val="center"/>
              <w:rPr/>
            </w:pPr>
            <w:r>
              <w:rPr/>
              <w:t>September 9,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1" w:type="dxa"/>
            <w:tcBorders/>
            <w:shd w:fill="FFFFFF" w:val="clear"/>
            <w:tcMar>
              <w:top w:w="0" w:type="dxa"/>
              <w:bottom w:w="0" w:type="dxa"/>
            </w:tcMar>
            <w:vAlign w:val="center"/>
          </w:tcPr>
          <w:p>
            <w:pPr>
              <w:pStyle w:val="TableContents"/>
              <w:bidi w:val="0"/>
              <w:spacing w:before="0" w:after="283"/>
              <w:jc w:val="left"/>
              <w:rPr/>
            </w:pPr>
            <w:r>
              <w:rPr/>
              <w:t> </w:t>
            </w:r>
          </w:p>
        </w:tc>
        <w:tc>
          <w:tcPr>
            <w:tcW w:w="1043"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7" w:type="dxa"/>
            <w:tcBorders/>
            <w:shd w:fill="FFFFFF" w:val="clear"/>
            <w:tcMar>
              <w:top w:w="0" w:type="dxa"/>
              <w:bottom w:w="0" w:type="dxa"/>
            </w:tcMar>
            <w:vAlign w:val="center"/>
          </w:tcPr>
          <w:p>
            <w:pPr>
              <w:pStyle w:val="TableContents"/>
              <w:bidi w:val="0"/>
              <w:spacing w:before="0" w:after="283"/>
              <w:jc w:val="left"/>
              <w:rPr/>
            </w:pPr>
            <w:r>
              <w:rPr/>
              <w:t> </w:t>
            </w:r>
          </w:p>
        </w:tc>
      </w:tr>
      <w:tr>
        <w:trPr/>
        <w:tc>
          <w:tcPr>
            <w:tcW w:w="1383" w:type="dxa"/>
            <w:tcBorders/>
            <w:shd w:fill="CCEEFF" w:val="clear"/>
            <w:tcMar>
              <w:top w:w="0" w:type="dxa"/>
              <w:bottom w:w="0" w:type="dxa"/>
            </w:tcMar>
            <w:vAlign w:val="center"/>
          </w:tcPr>
          <w:p>
            <w:pPr>
              <w:pStyle w:val="TableContents"/>
              <w:bidi w:val="0"/>
              <w:spacing w:before="0" w:after="283"/>
              <w:jc w:val="left"/>
              <w:rPr>
                <w:i/>
              </w:rPr>
            </w:pPr>
            <w:r>
              <w:rPr>
                <w:i/>
              </w:rPr>
              <w:t xml:space="preserve">Rachel R. Silverstein </w:t>
              <w:br/>
              <w:t>Nevada, USA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288" w:type="dxa"/>
            <w:tcBorders/>
            <w:shd w:fill="CCEEFF" w:val="clear"/>
            <w:tcMar>
              <w:top w:w="0" w:type="dxa"/>
              <w:bottom w:w="0" w:type="dxa"/>
            </w:tcMar>
            <w:vAlign w:val="center"/>
          </w:tcPr>
          <w:p>
            <w:pPr>
              <w:pStyle w:val="TableContents"/>
              <w:bidi w:val="0"/>
              <w:spacing w:before="0" w:after="283"/>
              <w:jc w:val="both"/>
              <w:rPr/>
            </w:pPr>
            <w:r>
              <w:rPr/>
              <w:t>General Counsel-North America of the Company ( 2025 to present);US General Counsel of the Company (2024-2025); Co-Founder/Partner of Firm 21m PLLC (2023-present); General Counsel and SVP of Compliance/Corporate Secretary of CleanSpark, Inc.(2020-2023); and Corporate Counsel of Zappos Family of Companies (2016- 2020).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43" w:type="dxa"/>
            <w:tcBorders/>
            <w:shd w:fill="CCEEFF" w:val="clear"/>
            <w:tcMar>
              <w:top w:w="0" w:type="dxa"/>
              <w:bottom w:w="0" w:type="dxa"/>
            </w:tcMar>
            <w:vAlign w:val="center"/>
          </w:tcPr>
          <w:p>
            <w:pPr>
              <w:pStyle w:val="TableContents"/>
              <w:bidi w:val="0"/>
              <w:spacing w:before="0" w:after="283"/>
              <w:jc w:val="center"/>
              <w:rPr/>
            </w:pPr>
            <w:r>
              <w:rPr/>
              <w:t>November 1, 2024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1043" w:type="dxa"/>
            <w:tcBorders/>
            <w:shd w:fill="CCEEFF" w:val="clear"/>
            <w:tcMar>
              <w:top w:w="0" w:type="dxa"/>
              <w:bottom w:w="0" w:type="dxa"/>
            </w:tcMar>
            <w:vAlign w:val="center"/>
          </w:tcPr>
          <w:p>
            <w:pPr>
              <w:pStyle w:val="TableContents"/>
              <w:bidi w:val="0"/>
              <w:spacing w:before="0" w:after="283"/>
              <w:jc w:val="right"/>
              <w:rPr/>
            </w:pPr>
            <w:r>
              <w:rPr/>
              <w:t>1,390</w:t>
            </w:r>
          </w:p>
        </w:tc>
        <w:tc>
          <w:tcPr>
            <w:tcW w:w="77" w:type="dxa"/>
            <w:tcBorders/>
            <w:shd w:fill="CCEEFF" w:val="clear"/>
            <w:tcMar>
              <w:top w:w="0" w:type="dxa"/>
              <w:bottom w:w="0" w:type="dxa"/>
            </w:tcMar>
            <w:vAlign w:val="center"/>
          </w:tcPr>
          <w:p>
            <w:pPr>
              <w:pStyle w:val="TableContents"/>
              <w:bidi w:val="0"/>
              <w:spacing w:before="0" w:after="283"/>
              <w:jc w:val="left"/>
              <w:rPr/>
            </w:pPr>
            <w:r>
              <w:rPr/>
              <w:t> </w:t>
            </w:r>
          </w:p>
        </w:tc>
      </w:tr>
      <w:tr>
        <w:trPr/>
        <w:tc>
          <w:tcPr>
            <w:tcW w:w="1383" w:type="dxa"/>
            <w:tcBorders/>
            <w:shd w:fill="FFFFFF" w:val="clear"/>
            <w:tcMar>
              <w:top w:w="0" w:type="dxa"/>
              <w:bottom w:w="0" w:type="dxa"/>
            </w:tcMar>
            <w:vAlign w:val="center"/>
          </w:tcPr>
          <w:p>
            <w:pPr>
              <w:pStyle w:val="TableContents"/>
              <w:bidi w:val="0"/>
              <w:spacing w:before="0" w:after="283"/>
              <w:jc w:val="left"/>
              <w:rPr/>
            </w:pPr>
            <w:r>
              <w:rPr/>
              <w:t>Marieve Rodrigue, Quebec, Canada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288" w:type="dxa"/>
            <w:tcBorders/>
            <w:shd w:fill="FFFFFF" w:val="clear"/>
            <w:tcMar>
              <w:top w:w="0" w:type="dxa"/>
              <w:bottom w:w="0" w:type="dxa"/>
            </w:tcMar>
            <w:vAlign w:val="center"/>
          </w:tcPr>
          <w:p>
            <w:pPr>
              <w:pStyle w:val="TableContents"/>
              <w:bidi w:val="0"/>
              <w:spacing w:before="0" w:after="283"/>
              <w:jc w:val="both"/>
              <w:rPr/>
            </w:pPr>
            <w:r>
              <w:rPr/>
              <w:t>Canada General Counsel and Corporate Secretary (2025 -present); Canada General Counsel of the Company(2024 -2025) ; Chief Legal and Corporate Officer Greentone Enterprises inc. (2019- 2024)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43" w:type="dxa"/>
            <w:tcBorders/>
            <w:shd w:fill="FFFFFF" w:val="clear"/>
            <w:tcMar>
              <w:top w:w="0" w:type="dxa"/>
              <w:bottom w:w="0" w:type="dxa"/>
            </w:tcMar>
            <w:vAlign w:val="center"/>
          </w:tcPr>
          <w:p>
            <w:pPr>
              <w:pStyle w:val="TableContents"/>
              <w:bidi w:val="0"/>
              <w:spacing w:before="0" w:after="283"/>
              <w:jc w:val="center"/>
              <w:rPr/>
            </w:pPr>
            <w:r>
              <w:rPr/>
              <w:t>February 19, 2025</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1" w:type="dxa"/>
            <w:tcBorders/>
            <w:shd w:fill="FFFFFF" w:val="clear"/>
            <w:tcMar>
              <w:top w:w="0" w:type="dxa"/>
              <w:bottom w:w="0" w:type="dxa"/>
            </w:tcMar>
            <w:vAlign w:val="center"/>
          </w:tcPr>
          <w:p>
            <w:pPr>
              <w:pStyle w:val="TableContents"/>
              <w:bidi w:val="0"/>
              <w:spacing w:before="0" w:after="283"/>
              <w:jc w:val="left"/>
              <w:rPr/>
            </w:pPr>
            <w:r>
              <w:rPr/>
              <w:t> </w:t>
            </w:r>
          </w:p>
        </w:tc>
        <w:tc>
          <w:tcPr>
            <w:tcW w:w="1043"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7" w:type="dxa"/>
            <w:tcBorders/>
            <w:shd w:fill="FFFFFF" w:val="clear"/>
            <w:tcMar>
              <w:top w:w="0" w:type="dxa"/>
              <w:bottom w:w="0" w:type="dxa"/>
            </w:tcMar>
            <w:vAlign w:val="center"/>
          </w:tcPr>
          <w:p>
            <w:pPr>
              <w:pStyle w:val="TableContents"/>
              <w:bidi w:val="0"/>
              <w:spacing w:before="0" w:after="283"/>
              <w:jc w:val="left"/>
              <w:rPr/>
            </w:pPr>
            <w:r>
              <w:rPr/>
              <w:t> </w:t>
            </w:r>
          </w:p>
        </w:tc>
      </w:tr>
      <w:tr>
        <w:trPr/>
        <w:tc>
          <w:tcPr>
            <w:tcW w:w="1383" w:type="dxa"/>
            <w:tcBorders/>
            <w:shd w:fill="CCEEFF" w:val="clear"/>
            <w:tcMar>
              <w:top w:w="0" w:type="dxa"/>
              <w:bottom w:w="0" w:type="dxa"/>
            </w:tcMar>
            <w:vAlign w:val="center"/>
          </w:tcPr>
          <w:p>
            <w:pPr>
              <w:pStyle w:val="TableContents"/>
              <w:bidi w:val="0"/>
              <w:spacing w:before="0" w:after="283"/>
              <w:jc w:val="left"/>
              <w:rPr/>
            </w:pPr>
            <w:r>
              <w:rPr/>
              <w:t>Craig Hibbard, Pittsburgh,  USA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288" w:type="dxa"/>
            <w:tcBorders/>
            <w:shd w:fill="CCEEFF" w:val="clear"/>
            <w:tcMar>
              <w:top w:w="0" w:type="dxa"/>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Infrastructure (2025- present); Chief Development Officer, Mawson Infrastructure Group Inc. (2021 -2025); General Manager, Iris Capital (2017-2021); Property Partnership Australia (2010-2017)</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43" w:type="dxa"/>
            <w:tcBorders/>
            <w:shd w:fill="CCEEFF" w:val="clear"/>
            <w:tcMar>
              <w:top w:w="0" w:type="dxa"/>
              <w:bottom w:w="0" w:type="dxa"/>
            </w:tcMar>
            <w:vAlign w:val="center"/>
          </w:tcPr>
          <w:p>
            <w:pPr>
              <w:pStyle w:val="TableContents"/>
              <w:bidi w:val="0"/>
              <w:spacing w:before="0" w:after="283"/>
              <w:jc w:val="center"/>
              <w:rPr/>
            </w:pPr>
            <w:r>
              <w:rPr/>
              <w:t>March 3, 2025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1" w:type="dxa"/>
            <w:tcBorders/>
            <w:shd w:fill="CCEEFF" w:val="clear"/>
            <w:tcMar>
              <w:top w:w="0" w:type="dxa"/>
              <w:bottom w:w="0" w:type="dxa"/>
            </w:tcMar>
            <w:vAlign w:val="center"/>
          </w:tcPr>
          <w:p>
            <w:pPr>
              <w:pStyle w:val="TableContents"/>
              <w:bidi w:val="0"/>
              <w:spacing w:before="0" w:after="283"/>
              <w:jc w:val="left"/>
              <w:rPr/>
            </w:pPr>
            <w:r>
              <w:rPr/>
              <w:t> </w:t>
            </w:r>
          </w:p>
        </w:tc>
        <w:tc>
          <w:tcPr>
            <w:tcW w:w="1043"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7" w:type="dxa"/>
            <w:tcBorders/>
            <w:shd w:fill="CCEEFF" w:val="clear"/>
            <w:tcMar>
              <w:top w:w="0" w:type="dxa"/>
              <w:bottom w:w="0" w:type="dxa"/>
            </w:tcMar>
            <w:vAlign w:val="center"/>
          </w:tcPr>
          <w:p>
            <w:pPr>
              <w:pStyle w:val="TableContents"/>
              <w:bidi w:val="0"/>
              <w:spacing w:before="0" w:after="283"/>
              <w:jc w:val="left"/>
              <w:rPr/>
            </w:pPr>
            <w:r>
              <w:rPr/>
              <w:t> </w:t>
            </w:r>
          </w:p>
        </w:tc>
      </w:tr>
      <w:tr>
        <w:trPr/>
        <w:tc>
          <w:tcPr>
            <w:tcW w:w="1383" w:type="dxa"/>
            <w:tcBorders/>
            <w:shd w:fill="FFFFFF" w:val="clear"/>
            <w:tcMar>
              <w:top w:w="0" w:type="dxa"/>
              <w:bottom w:w="0" w:type="dxa"/>
            </w:tcMar>
            <w:vAlign w:val="center"/>
          </w:tcPr>
          <w:p>
            <w:pPr>
              <w:pStyle w:val="TableContents"/>
              <w:bidi w:val="0"/>
              <w:spacing w:before="0" w:after="283"/>
              <w:jc w:val="left"/>
              <w:rPr/>
            </w:pPr>
            <w:r>
              <w:rPr/>
              <w:t>James Bond, Texas, USA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288" w:type="dxa"/>
            <w:tcBorders/>
            <w:shd w:fill="FFFFFF" w:val="clear"/>
            <w:tcMar>
              <w:top w:w="0" w:type="dxa"/>
              <w:bottom w:w="0" w:type="dxa"/>
            </w:tcMar>
            <w:vAlign w:val="center"/>
          </w:tcPr>
          <w:p>
            <w:pPr>
              <w:pStyle w:val="TableContents"/>
              <w:bidi w:val="0"/>
              <w:spacing w:before="0" w:after="283"/>
              <w:jc w:val="both"/>
              <w:rPr/>
            </w:pPr>
            <w:r>
              <w:rPr/>
              <w:t>SVP HPC (2025 to present); Sr. Manager, North America HPC/AI Product Category &amp; GMT (2020 - 2024), Hewlett Packard Enterprise (2011-2020)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43" w:type="dxa"/>
            <w:tcBorders/>
            <w:shd w:fill="FFFFFF" w:val="clear"/>
            <w:tcMar>
              <w:top w:w="0" w:type="dxa"/>
              <w:bottom w:w="0" w:type="dxa"/>
            </w:tcMar>
            <w:vAlign w:val="center"/>
          </w:tcPr>
          <w:p>
            <w:pPr>
              <w:pStyle w:val="TableContents"/>
              <w:bidi w:val="0"/>
              <w:spacing w:before="0" w:after="283"/>
              <w:jc w:val="center"/>
              <w:rPr/>
            </w:pPr>
            <w:r>
              <w:rPr/>
              <w:t>March 24, 2025</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1" w:type="dxa"/>
            <w:tcBorders/>
            <w:shd w:fill="FFFFFF" w:val="clear"/>
            <w:tcMar>
              <w:top w:w="0" w:type="dxa"/>
              <w:bottom w:w="0" w:type="dxa"/>
            </w:tcMar>
            <w:vAlign w:val="center"/>
          </w:tcPr>
          <w:p>
            <w:pPr>
              <w:pStyle w:val="TableContents"/>
              <w:bidi w:val="0"/>
              <w:spacing w:before="0" w:after="283"/>
              <w:jc w:val="left"/>
              <w:rPr/>
            </w:pPr>
            <w:r>
              <w:rPr/>
              <w:t> </w:t>
            </w:r>
          </w:p>
        </w:tc>
        <w:tc>
          <w:tcPr>
            <w:tcW w:w="1043"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77" w:type="dxa"/>
            <w:tcBorders/>
            <w:shd w:fill="FFFF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about principal occupation, business or employment, not being within the knowledge of the Company, has been furnished by respective persons set forth above. The information with respect to the Common Shares beneficially owned, controlled or directed is not within the direct knowledge of the Company and has been obtained from the System for Electronic Disclosure by Insiders (“</w:t>
            </w:r>
            <w:r>
              <w:rPr>
                <w:rFonts w:ascii="Times New Roman;Times;Serif" w:hAnsi="Times New Roman;Times;Serif"/>
                <w:b/>
                <w:sz w:val="20"/>
              </w:rPr>
              <w:t>SEDI</w:t>
            </w:r>
            <w:r>
              <w:rPr>
                <w:rFonts w:ascii="Times New Roman;Times;Serif" w:hAnsi="Times New Roman;Times;Serif"/>
                <w:sz w:val="20"/>
              </w:rPr>
              <w:t>”) or furnished by the respective individuals. This table does not include Common Shares underlying unexercised stock options, unvested RSUs and warrants.</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Audit Committee.</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 of the Audit Committee.</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Governance &amp; Nominating Committee</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 </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 of the Governance &amp; Nominating Committee</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(6) </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Compensation Committee</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(7) </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 of the Compensation Committee</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(8) </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Environmental &amp; Social Responsibility Committee</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 of the Environmental &amp; Social Responsibility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2025, the directors and executive officers of the Company, as a group, beneficially owned, directly or indirectly, or exercised control or direction over 378,862 common shares, representing 0.068% of the total issued and outstanding common shares before giving effect to the exercise of rights, options, or warrants to purchase or otherwise receive Common Shares held by such directors and executive officers. The statement as to the number of Common Shares beneficially owned, directly or indirectly, or over which control or direction is exercised by the directors and executive officers of the Company as a group is based upon information obtained from SEDI or furnished by the directors and executive officers themselves.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 BIOGRAPHY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Benjamin J. Gagnon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(Ben) Gagnon serves as the Chief Executive Officer, as a director of the Corporation, and as a member of the Environmental and Social Responsibility Committee. Mr. Gagnon started his career at Bitfarms as Director of Business Development in 2019 and was promoted to the Director of Mining Operations in 2020 and Chief Mining Officer in 2021. Mr. Gagnon is a proven strategy and people focused on executive on the Bitcoin Mining space. At Bitfarms, he has overseen the development and execution of the Corporation’s growth strategy, which has driven organic growth, captured market share in Bitcoin Mining and diversified and strengthened the Corporation’s energy assets. Mr. Gagnon brings in a deep familiarity with all aspects of operations at Bitfarms, having worked intimately with every department, as well as extensive leadership experience from previous executive roles with cryptocurrency Mining companies. His successful track record overseeing the growth of Bitfarms’ Mining operations and integration of new technologies amidst a rapidly evolving landscape has been critical to Bitfarms’ value creation strategy, which includes diversification into synergistic new areas like energy generation, heat recycling, energy trading and HPC (high performance computing) for AI, as well as execution of strategies related to the 2028 halving event. Prior to joining Bitfarms, Mr. Gagnon founded and operated two Bitcoin Mining companies, holding roles as Chief Executive Officer, Chief Mining Officer and Chief Technology Officer. Mr. Gagnon earned his M.Sc. in Internet Computing from Hong Kong University and has a B.Sc. in Economic Consulting and International Business from the Kelley School of Business at Indiana University. In addition, Mr. Gagnon currently serves as co-chair of the Canadian Blockchain Consortium’s Infrastructure Committee (formerly Mining Committee) and is a lead analyst for the Bitcoin Mining Council.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Brian M. Howlett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Howlett serves as the independent Chair of the Board, Chair of the Special Committee (as defined below), and a member of the Audit Committee. Mr. Howlett is a seasoned public company senior executive with more than thirty-five years of experience in operational and financial leadership. His extensive service as senior officer and director of public companies equips him with valuable insights to oversee Bitfarms’ operations. As a Chartered Public Accountant (CPA), he also contribu</w:t>
      </w:r>
      <w:r>
        <w:rPr>
          <w:rFonts w:ascii="Times New Roman;Times;Serif" w:hAnsi="Times New Roman;Times;Serif"/>
          <w:b w:val="false"/>
          <w:i w:val="false"/>
          <w:caps w:val="false"/>
          <w:smallCaps w:val="false"/>
          <w:sz w:val="20"/>
          <w:shd w:fill="FFFFFF" w:val="clear"/>
        </w:rPr>
        <w:t>tes to the Board’s oversight of financial reporting, internal controls and risk management. Mr. Howlett also serves on the board of several junior Mining companies and has formerly served as C-Executive and board members in several publicly listed companies, inclu</w:t>
      </w:r>
      <w:r>
        <w:rPr>
          <w:rFonts w:ascii="Times New Roman;Times;Serif" w:hAnsi="Times New Roman;Times;Serif"/>
          <w:b w:val="false"/>
          <w:i w:val="false"/>
          <w:caps w:val="false"/>
          <w:smallCaps w:val="false"/>
          <w:sz w:val="20"/>
        </w:rPr>
        <w:t>ding Dundee Sustainable Technologies Inc. and Superior Copper Corporation, among others. Mr. Howlett graduated in 1982 with a B. Comm. in Finance from Concordia University and received his CMA designation in 1989 which became a Chartered Professional Accountant designation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Edith M. Hofmeister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Edith Hofmeister serves as an independent director of the Corporation, Chair of the Governance and Nominating Committee and the Environmental and Social Responsibility Committee and a member of the Audit Committee, Compensation Committee and Special Committee. Ms. Hofmeister brings over 25 years of legal, corporate governance and sustainability expertise, with a strong track record of overseeing transformative growth at multinational companies. Having lived or worked in Latin America since 2010, she contributes to the Board her extensive LATAM business experience, due diligence, transactional, risk, anti-corruption and legal compliance expertise. She also served as Executive Vice President Corporate Affairs and General Counsel for Canadian Tahoe Resources where she led the Legal, Sustainability and Government Affairs departments and helped grow Tahoe from a junior exploration company to a midcap precious metals producer with a US$3.2 billion market cap. She was a best Canadian General Counsel finalist in the category of ESG and led Tahoe’s achievement of best governance award (for a mid-cap Mining company) by the Canadian Society of Corporate Secretaries. Since 2006, Ms. Hofmeister has worked alongside rural and indigenous communities in India, Peru, Guatemala, Mexico and Canada to enhance food, work and water security. Ms. Hofmeister serves as the Chair of the International Bar Association’s Business and Human Rights Committee, a group dedicated to promoting high ESG standards in multi-national corporations. She has written and spoken extensively on how corporations can effectively implement the United Nations Guiding Principles on Business and Human Rights to promote respect for human rights and the environment in business operations. Ms. Hofmeister received a Bachelor of Arts degree in international relations from UCLA, a Master of Arts degree in international peace studies from the University of Notre Dame and a Juris Doctor degree from the University of San Francisco.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Fanny Philip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Fanny Philip serves as an independent director of the Corporation, Chair of the Audit Committee and Compensation Committee, and member of the Governance and Nominating Committee, the Environmental and Social Responsibility Committee, and the Special Committee. Ms. Philip is a CPA auditor and recognized leader Digital Assets, Energy and Infrastructure ecosystem since 2019, and contributes to the Board her deep expertise in finance, public accounting, audit, and strategic mergers and acquisitions. Her extensive knowledge of the North American and European energy sectors, mining and AI provide valuable perspectives to the Board’s oversight of the Corporation’s expansion strategies. She is the founder and president of MTI Conseils Inc., an accounting firm that provides outsourced accounting, advisory services and Chief Financial Officer services. Ms. Philip brings over 10 years of assurance and accounting expertise mainly in audit and public issues. Formerly, she was the Chief Operating Officer of SATO Technologies Corp. (TSXV: SATO, OTCQB: CCPU.F) and the Chief Financial Officer and VP Finance of Canada Computational Unlimited Inc. As a former C-suite Executive at a publicly traded company and recognized leader, she engages extensively in education and industry representation, advocating for regulatory changes and fostering a deeper understanding of the sector’s complexities among stakeholders, especially on reporting and financial matters. She is, since 2022, a member of the Infrastructure Committee (formerly Mining Committee) of the Canadian Blockchain Consortium and the President of its Québec Chapter. She was rewarded as one of the ’‘Most Inspirational Women in Web3 &amp; AI’’ (2024) by Forbes Web3, 100 Davos Women and World Leaders in Data and AI. She currently serves as General Director at SOVIAGO, where she oversees financial reporting and compliance, and she has been instrumental in various strategic acquisitions and in securing various public funding mainly from the European Regional Development Fund. Ms. Philip graduated in 2010 with a Trilingual Bachelor of Business Administration (B.B.A) (English, Spanish and French) and in 2013 with a Specialized Graduate Diploma (DESS) in public accounting – CA, both from HEC Montréal. She received her Chartered Accountant designation in 2014 which became a Chartered Professional Accountant auditor designation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Amy L. Freedman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Freedman serves as an independent director of the Corporation, and as a member of the Governance and Nominating Committee and the Compensation Committee. Amy Freedman is a corporate governance and public capital markets expert with over 25 years of experience. Ms. Freedman is currently a Partner and Head of Canada at Longacre Square Partners, a leading North American strategic advisor in matters of shareholder activism, crisis communications and corporate governance. Prior to joining Longacre, Ms. Freedman was an independent consultant providing advisory services. Ms. Freedman was a Partner and Head of Engagement Fund Investing at Ewing Morris from January 2022 to December 2023 and continued as a consultant through 2024. Previously, Ms. Freedman was the Chief Executive Officer of Kingsdale Advisors, a leading shareholder services and advisory firm, from January 2017 to December 2021. She joined Kingsdale Advisors as an Executive Vice President in 2014. Prior to joining Kingsdale Advisors, Ms. Freedman spent over 15 years in capital markets as an investment banker with global firms including Stifel Financial Corp. (NYSE: SF) and Morgan Stanley (NYSE: MS). Ms. Freedman is a director of the following public companies: (a) Mandalay Resources Corporation (TSX: MND, OTCQB: MNDJF) since May 2016; (b) Irish Residential Properties REIT plc (ISE: IRES) since May 2024; and (c) American Hotel Income Properties REIT LP (TSX: HOT.UN, HOT.U) since October 2023. Ms. Freedman was also a director on the board of (a) Canaccord Genuity Group Inc. (TSX: CF) from March 2023 to August 9, 2024, and (b) Park Lawn Corporation (TSX: PLC) from June 2020 to August 2022. Ms. Freedman holds an MBA and JD from the University of Toronto.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Andrew J. Chang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J. Chang is a seasoned executive and entrepreneur with extensive experience in the cryptocurrency and blockchain industry. He served as the Chief Operating Officer at Paxos Trust Company, LLC. for over 7 years, where he played a pivotal role in growing the company from a small startup to a US$2.4 billion valuation. During his tenure, Mr. Chang oversaw the launch of the first regulated blockchain-focused trust company. His expertise lies in navigating complex regulatory environments, scaling operations, and creating effective communication frameworks. Prior to Paxos Trust Company, LLC., Mr. Chang held operational and growth positions at Google, Techstars, WPP and several innovative startups. He is currently a co-founder of Lynx Collective and regularly advises and invests in early-stage startups. Mr. Chang holds an MBA from NYU Stern School of Business and a BS from Boston College, bringing a blend of financial technology acumen and technological insight to his roles in the rapidly evolving digital asset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Jeffrey P. Lucas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Lucas serves as the Chief Financial Officer of the Company. Prior to joining Bitfarms, Mr. Lucas was Managing Director of Mackinac Partners, a financial restructuring and turnaround advisory firm. Previously, he was President and CFO of eMagin Corporation (NYSE), a publicly traded developer and manufacturer of microdisplays used in military and commercial applications. Prior to eMagin, Mr. Lucas was a Board Member and the CFO of Transfreight Companies, a logistics and transportation enterprise that managed the inbound supply chain for the major auto manufacturers. He has also served as CFO for several other public and private companies in a variety of industries. Prior to his corporate roles, Mr. Lucas worked in high yield investment banking with L. F. Rothschild and in institutional money management as a securities analyst with Wells Capital Management. He is a Chartered Financial Analyst and earned the Certified Public Accountant certification while a member of PricewaterhouseCoopers’ technology and industrials practices. Mr. Lucas earned an MBA with emphasis on finance from Harvard Business School and a BA in Economics from Tufts University and studied at the London School of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Liam D. Wilson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Liam Wilson is a seasoned operating executive with more than 20 years of leadership experience across multiple industries. He currently serves as the COO of the Company since August 2024. In his role, he is responsible for developing and refining operational procedures and systems to improve efficiencies across the company’s global operations. Previously, he served as the Chief Operating Officer at Mawson Infrastructure Group Inc., a publicly traded company. Mr. Wilson is recognized as an expert in the deregulated U.S. energy industry, with notable achievements including transacting over 900 MW of power across the United States, developing and operating facilities in Pennsylvania, Ohio, Georgia, Texas, and Nebraska, and leading the first large-scale and market-leading Bitcoin mining demand response program in the deregulated PJM market. Mr. Wilson’s career includes several other senior executive positions, such as Group Operations Manager for EVT Hospitality and Entertainment (publicly traded) and Group Operations Manager for The Whitehouse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 CEASE TRADE ORDERS, BANKRUPTCIES, PENALTIES OR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of the Company is or was, within 10 years before March 26, 2025, a director, chief executive officer or chief financial officer of any company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while that person was acting in that capacity, was the subject of a cease trade order or similar order or an order that denied the relevant company access to any exemption under securities legislation for a period of more than 30 consecutive days: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while that person was acting in that capacity, was subject to an event that resulted, after the director or executive officer ceased to be a director or executive officer, in the company being the subject of a cease trade or similar order or an order that denied the relevant company access to any exemption under securities legislation for a period of more than 30 consecutive days.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no director or executive officer of the Company and no shareholder holding a sufficient number of securities to affect materially the control of the Company is, as at March 26, 2025, or has been within the 10 years before March 26,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a director or executive officer of any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become bankrupt, made a proposal under any legislation relating to bankruptcy or insolvency, or become subject to or instituted any proceedings, arrangement or compromise with creditors, or had a receiver, receiver manager or trustee appointed to hold the assets of the director, executive officer or shareholder;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280"/>
        <w:gridCol w:w="8749"/>
      </w:tblGrid>
      <w:tr>
        <w:trPr/>
        <w:tc>
          <w:tcPr>
            <w:tcW w:w="1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pPr>
            <w:r>
              <w:rPr/>
              <w:t>(c)</w:t>
            </w:r>
          </w:p>
        </w:tc>
        <w:tc>
          <w:tcPr>
            <w:tcW w:w="8749" w:type="dxa"/>
            <w:tcBorders/>
            <w:vAlign w:val="center"/>
          </w:tcPr>
          <w:p>
            <w:pPr>
              <w:pStyle w:val="TableContents"/>
              <w:bidi w:val="0"/>
              <w:spacing w:before="0" w:after="283"/>
              <w:jc w:val="both"/>
              <w:rPr/>
            </w:pPr>
            <w:r>
              <w:rPr/>
              <w:t>has been subject to:</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any penalties or sanctions imposed by a court relating to securities legislation or by a securities regulatory authority or has entered into a settlement agreement with a securities regulatory authority since December 31, 2000 or before December 31, 2000 the disclosure of which would likely be important to a reasonable security holder in making an investment decision; or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283"/>
              <w:jc w:val="both"/>
              <w:rPr/>
            </w:pPr>
            <w:r>
              <w:rPr/>
              <w:t>any other penalties or sanctions imposed by a court or regulatory body that would likely be considered important to a reasonable security holder in making an investment decision.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Minto Metals Corporation was placed in receivership in July of 2023 by order of the British Columbia Supreme Court. Edith M. Hofmeister was a director on the Board of Minto Metals Corporation between November 2021 and February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CODE OF CONDUCT AND CONFLICTS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Bitfarms are required by law to act honestly and in good faith with a view to the best interests of Bitfarms and to disclose any interests which they may have in any project or opportunity outside of Bitfarms. If a conflict of interest arises, any director in a conflict will disclose his interest and abstain from voting on such matter at a meeting of the Board. To the best of Bitfarms’ knowledge, and other than as disclosed in this AIF, there are no known existing or potential conflicts of interest among Bitfarms, its directors and officers or other members of management of the Company or any proposed director, officer or other member of management as a result of their outside business interests, except that certain of the directors and officers serve as directors and officers of other companies, and therefore it is possible that a conflict may arise between their duties to Bitfarms and their duties as a director or officer of such other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with the objective of preserving the integrity of the Strategic Alternatives Review Process being advanced by the Special Committee, the Company adopted a shareholder rights plan (the “Plan”), with a threshold of 15% between June and September 2024, and 20% thereafter. Riot, as shareholder of the Company challenged the rights plan, leading to legal proceedings before the Ontario Capital Markets Tribunal (the “Tribunal”) and requested the interim and permanent cease trade of the Company’s Plan. After two hearings held on July 2024, the Tribunal decided to cease trade Bitfarms’ rights plan. To protect the interests of minority shareholders, the Company adopted a new shareholder rights plan (the “</w:t>
      </w:r>
      <w:r>
        <w:rPr>
          <w:rFonts w:ascii="Times New Roman;Times;Serif" w:hAnsi="Times New Roman;Times;Serif"/>
          <w:b/>
          <w:i w:val="false"/>
          <w:caps w:val="false"/>
          <w:smallCaps w:val="false"/>
          <w:sz w:val="20"/>
        </w:rPr>
        <w:t>New Plan</w:t>
      </w:r>
      <w:r>
        <w:rPr>
          <w:rFonts w:ascii="Times New Roman;Times;Serif" w:hAnsi="Times New Roman;Times;Serif"/>
          <w:b w:val="false"/>
          <w:i w:val="false"/>
          <w:caps w:val="false"/>
          <w:smallCaps w:val="false"/>
          <w:sz w:val="20"/>
        </w:rPr>
        <w:t>”) with a threshold of 20%. On September 23, 2024, the Company and Riot reached a settlement agreement to terminate all attempts by Riot to gain control of the Company. The New Plan was approved by shareholders, during a Special Meeting held on November 20,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2024, Mr. Geoffrey Morphy, at the time CEO by interim, while a CEO transition was underway, filed a statement of claim in the Superior Court of Ontario against the Company, seeking damages for breach of contract, wrongful dismissal, and aggravated and punitive damages. On May 13, 2024 the Company terminated Mr. Morphy’s employment with immediate effect. In August 2024, the employment dispute with the Former CEO was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today, there are no pending legal material proceedings to which the Company is or was party to, or that any of its property is or was the subject of, and Bitfarms is not aware of any such proceedings known to be contemplated.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penalties or sanctions were imposed against the Company by a court relating to provincial and territorial securities legislation or by a securities regulatory authority since incorporation. No other penalties or sanctions have been imposed by a court or regulatory body against the Company necessary for this AIF to contain full, true and plain disclosure of all material facts. The Company has not entered into any settlement agreements before a court relating to provincial and territorial securities legislation or with a securities regulatory authority since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11. INTEREST OF MANAGEMENT AND OTHERS IN MATERIAL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Except as disclosed herein and elsewhere in this AIF, no directors, officers, principal shareholders of the Company, nor any Associate or Affiliate of the foregoing, have had any material interest, direct or indirect, in any transactions in which the Company has participated prior to March 26, 2025 that have materially affected or are reasonably expected to materially affect the Company or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Transactions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During the three past fiscal years, there have been no transactions with related parties other than as disclosed below.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shd w:fill="FFFFFF" w:val="clear"/>
              </w:rPr>
            </w:pPr>
            <w:r>
              <w:rPr>
                <w:shd w:fill="FFFFFF" w:val="clear"/>
              </w:rPr>
              <w:t>1.</w:t>
            </w:r>
          </w:p>
        </w:tc>
        <w:tc>
          <w:tcPr>
            <w:tcW w:w="10030" w:type="dxa"/>
            <w:tcBorders/>
            <w:vAlign w:val="center"/>
          </w:tcPr>
          <w:p>
            <w:pPr>
              <w:pStyle w:val="TableContents"/>
              <w:bidi w:val="0"/>
              <w:spacing w:before="0" w:after="283"/>
              <w:jc w:val="both"/>
              <w:rPr>
                <w:shd w:fill="FFFFFF" w:val="clear"/>
              </w:rPr>
            </w:pPr>
            <w:r>
              <w:rPr>
                <w:shd w:fill="FFFFFF" w:val="clear"/>
              </w:rPr>
              <w:t>In December 2022 Messrs. Emiliano J. Grodzki and Nicolas Bonta, two of the founders of the Company resigned from their executive positions in the Company, and they only retained their positions of non-executive Directors, resulting in a total termination package of US$1.5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6667"/>
        <w:gridCol w:w="60"/>
        <w:gridCol w:w="140"/>
        <w:gridCol w:w="917"/>
        <w:gridCol w:w="60"/>
        <w:gridCol w:w="60"/>
        <w:gridCol w:w="140"/>
        <w:gridCol w:w="912"/>
        <w:gridCol w:w="60"/>
        <w:gridCol w:w="60"/>
        <w:gridCol w:w="140"/>
        <w:gridCol w:w="912"/>
        <w:gridCol w:w="77"/>
      </w:tblGrid>
      <w:tr>
        <w:trPr/>
        <w:tc>
          <w:tcPr>
            <w:tcW w:w="6667"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3261" w:type="dxa"/>
            <w:gridSpan w:val="9"/>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77"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6667"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bottom w:val="single" w:sz="8" w:space="0" w:color="000000"/>
            </w:tcBorders>
            <w:shd w:fill="FFFFFF" w:val="clear"/>
            <w:vAlign w:val="center"/>
          </w:tcPr>
          <w:p>
            <w:pPr>
              <w:pStyle w:val="TableContents"/>
              <w:bidi w:val="0"/>
              <w:spacing w:before="0" w:after="283"/>
              <w:jc w:val="right"/>
              <w:rPr/>
            </w:pPr>
            <w:r>
              <w:rPr/>
              <w:t> </w:t>
            </w:r>
          </w:p>
        </w:tc>
        <w:tc>
          <w:tcPr>
            <w:tcW w:w="140" w:type="dxa"/>
            <w:tcBorders>
              <w:bottom w:val="single" w:sz="8" w:space="0" w:color="000000"/>
            </w:tcBorders>
            <w:shd w:fill="FFFFFF" w:val="clear"/>
            <w:vAlign w:val="center"/>
          </w:tcPr>
          <w:p>
            <w:pPr>
              <w:pStyle w:val="TableContents"/>
              <w:bidi w:val="0"/>
              <w:spacing w:before="0" w:after="283"/>
              <w:jc w:val="right"/>
              <w:rPr/>
            </w:pPr>
            <w:r>
              <w:rPr/>
              <w:t> </w:t>
            </w:r>
          </w:p>
        </w:tc>
        <w:tc>
          <w:tcPr>
            <w:tcW w:w="917" w:type="dxa"/>
            <w:tcBorders>
              <w:bottom w:val="single" w:sz="8" w:space="0" w:color="000000"/>
            </w:tcBorders>
            <w:shd w:fill="FFFFFF" w:val="clear"/>
            <w:vAlign w:val="center"/>
          </w:tcPr>
          <w:p>
            <w:pPr>
              <w:pStyle w:val="TableContents"/>
              <w:bidi w:val="0"/>
              <w:spacing w:before="0" w:after="283"/>
              <w:jc w:val="right"/>
              <w:rPr>
                <w:b/>
              </w:rPr>
            </w:pPr>
            <w:r>
              <w:rPr>
                <w:b/>
              </w:rPr>
              <w:t>2024</w:t>
            </w:r>
          </w:p>
        </w:tc>
        <w:tc>
          <w:tcPr>
            <w:tcW w:w="6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bottom w:val="single" w:sz="8" w:space="0" w:color="000000"/>
            </w:tcBorders>
            <w:shd w:fill="FFFFFF" w:val="clear"/>
            <w:vAlign w:val="center"/>
          </w:tcPr>
          <w:p>
            <w:pPr>
              <w:pStyle w:val="TableContents"/>
              <w:bidi w:val="0"/>
              <w:spacing w:before="0" w:after="283"/>
              <w:jc w:val="right"/>
              <w:rPr/>
            </w:pPr>
            <w:r>
              <w:rPr/>
              <w:t> </w:t>
            </w:r>
          </w:p>
        </w:tc>
        <w:tc>
          <w:tcPr>
            <w:tcW w:w="140" w:type="dxa"/>
            <w:tcBorders>
              <w:bottom w:val="single" w:sz="8" w:space="0" w:color="000000"/>
            </w:tcBorders>
            <w:shd w:fill="FFFFFF" w:val="clear"/>
            <w:vAlign w:val="center"/>
          </w:tcPr>
          <w:p>
            <w:pPr>
              <w:pStyle w:val="TableContents"/>
              <w:bidi w:val="0"/>
              <w:spacing w:before="0" w:after="283"/>
              <w:jc w:val="right"/>
              <w:rPr/>
            </w:pPr>
            <w:r>
              <w:rPr/>
              <w:t> </w:t>
            </w:r>
          </w:p>
        </w:tc>
        <w:tc>
          <w:tcPr>
            <w:tcW w:w="912" w:type="dxa"/>
            <w:tcBorders>
              <w:bottom w:val="single" w:sz="8" w:space="0" w:color="000000"/>
            </w:tcBorders>
            <w:shd w:fill="FFFFFF" w:val="clear"/>
            <w:vAlign w:val="center"/>
          </w:tcPr>
          <w:p>
            <w:pPr>
              <w:pStyle w:val="TableContents"/>
              <w:bidi w:val="0"/>
              <w:spacing w:before="0" w:after="283"/>
              <w:jc w:val="right"/>
              <w:rPr/>
            </w:pPr>
            <w:r>
              <w:rPr/>
              <w:t>2023</w:t>
            </w:r>
          </w:p>
        </w:tc>
        <w:tc>
          <w:tcPr>
            <w:tcW w:w="6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bottom w:val="single" w:sz="8" w:space="0" w:color="000000"/>
            </w:tcBorders>
            <w:shd w:fill="FFFFFF" w:val="clear"/>
            <w:vAlign w:val="center"/>
          </w:tcPr>
          <w:p>
            <w:pPr>
              <w:pStyle w:val="TableContents"/>
              <w:bidi w:val="0"/>
              <w:spacing w:before="0" w:after="283"/>
              <w:jc w:val="right"/>
              <w:rPr/>
            </w:pPr>
            <w:r>
              <w:rPr/>
              <w:t> </w:t>
            </w:r>
          </w:p>
        </w:tc>
        <w:tc>
          <w:tcPr>
            <w:tcW w:w="140" w:type="dxa"/>
            <w:tcBorders>
              <w:bottom w:val="single" w:sz="8" w:space="0" w:color="000000"/>
            </w:tcBorders>
            <w:shd w:fill="FFFFFF" w:val="clear"/>
            <w:vAlign w:val="center"/>
          </w:tcPr>
          <w:p>
            <w:pPr>
              <w:pStyle w:val="TableContents"/>
              <w:bidi w:val="0"/>
              <w:spacing w:before="0" w:after="283"/>
              <w:jc w:val="right"/>
              <w:rPr/>
            </w:pPr>
            <w:r>
              <w:rPr/>
              <w:t> </w:t>
            </w:r>
          </w:p>
        </w:tc>
        <w:tc>
          <w:tcPr>
            <w:tcW w:w="912" w:type="dxa"/>
            <w:tcBorders>
              <w:bottom w:val="single" w:sz="8" w:space="0" w:color="000000"/>
            </w:tcBorders>
            <w:shd w:fill="FFFFFF" w:val="clear"/>
            <w:vAlign w:val="center"/>
          </w:tcPr>
          <w:p>
            <w:pPr>
              <w:pStyle w:val="TableContents"/>
              <w:bidi w:val="0"/>
              <w:spacing w:before="0" w:after="283"/>
              <w:jc w:val="right"/>
              <w:rPr/>
            </w:pPr>
            <w:r>
              <w:rPr/>
              <w:t>2022</w:t>
            </w:r>
          </w:p>
        </w:tc>
        <w:tc>
          <w:tcPr>
            <w:tcW w:w="77" w:type="dxa"/>
            <w:tcBorders>
              <w:bottom w:val="single" w:sz="8" w:space="0" w:color="000000"/>
            </w:tcBorders>
            <w:shd w:fill="FFFFFF" w:val="clear"/>
            <w:vAlign w:val="center"/>
          </w:tcPr>
          <w:p>
            <w:pPr>
              <w:pStyle w:val="TableContents"/>
              <w:bidi w:val="0"/>
              <w:spacing w:before="0" w:after="283"/>
              <w:jc w:val="right"/>
              <w:rPr/>
            </w:pPr>
            <w:r>
              <w:rPr/>
              <w:t> </w:t>
            </w:r>
          </w:p>
        </w:tc>
      </w:tr>
      <w:tr>
        <w:trPr/>
        <w:tc>
          <w:tcPr>
            <w:tcW w:w="6667" w:type="dxa"/>
            <w:tcBorders/>
            <w:shd w:fill="CCEEFF" w:val="clear"/>
            <w:tcMar>
              <w:bottom w:w="0" w:type="dxa"/>
            </w:tcMar>
            <w:vAlign w:val="center"/>
          </w:tcPr>
          <w:p>
            <w:pPr>
              <w:pStyle w:val="TableContents"/>
              <w:bidi w:val="0"/>
              <w:spacing w:before="0" w:after="283"/>
              <w:jc w:val="left"/>
              <w:rPr/>
            </w:pPr>
            <w:r>
              <w:rPr/>
              <w:t>Consulting fees charged by the Founders as executives of the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b/>
              </w:rPr>
            </w:pPr>
            <w:r>
              <w:rPr>
                <w:b/>
              </w:rPr>
              <w:t>$</w:t>
            </w:r>
          </w:p>
        </w:tc>
        <w:tc>
          <w:tcPr>
            <w:tcW w:w="91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12" w:type="dxa"/>
            <w:tcBorders/>
            <w:shd w:fill="CCEEFF" w:val="clear"/>
            <w:tcMar>
              <w:bottom w:w="0" w:type="dxa"/>
            </w:tcMar>
            <w:vAlign w:val="center"/>
          </w:tcPr>
          <w:p>
            <w:pPr>
              <w:pStyle w:val="TableContents"/>
              <w:bidi w:val="0"/>
              <w:spacing w:before="0" w:after="283"/>
              <w:jc w:val="right"/>
              <w:rPr/>
            </w:pPr>
            <w:r>
              <w:rPr/>
              <w:t xml:space="preserve">— </w:t>
            </w:r>
            <w:r>
              <w:rPr>
                <w:rFonts w:ascii="Times New Roman;Times;Serif" w:hAnsi="Times New Roman;Times;Serif"/>
                <w:sz w:val="20"/>
              </w:rPr>
              <w:t>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 million</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6667" w:type="dxa"/>
            <w:tcBorders>
              <w:bottom w:val="single" w:sz="8" w:space="0" w:color="000000"/>
            </w:tcBorders>
            <w:shd w:fill="FFFFFF" w:val="clear"/>
            <w:vAlign w:val="center"/>
          </w:tcPr>
          <w:p>
            <w:pPr>
              <w:pStyle w:val="TableContents"/>
              <w:bidi w:val="0"/>
              <w:spacing w:before="0" w:after="283"/>
              <w:jc w:val="left"/>
              <w:rPr/>
            </w:pPr>
            <w:r>
              <w:rPr/>
              <w:t>Termination package</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91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million</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912" w:type="dxa"/>
            <w:tcBorders>
              <w:bottom w:val="single" w:sz="8" w:space="0" w:color="000000"/>
            </w:tcBorders>
            <w:shd w:fill="FFFFFF" w:val="clear"/>
            <w:vAlign w:val="center"/>
          </w:tcPr>
          <w:p>
            <w:pPr>
              <w:pStyle w:val="TableContents"/>
              <w:bidi w:val="0"/>
              <w:spacing w:before="0" w:after="283"/>
              <w:jc w:val="right"/>
              <w:rPr/>
            </w:pPr>
            <w:r>
              <w:rPr/>
              <w:t xml:space="preserve">— </w:t>
            </w:r>
            <w:r>
              <w:rPr>
                <w:rFonts w:ascii="Times New Roman;Times;Serif" w:hAnsi="Times New Roman;Times;Serif"/>
                <w:sz w:val="20"/>
              </w:rPr>
              <w:t>million</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91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 million</w:t>
            </w:r>
          </w:p>
        </w:tc>
        <w:tc>
          <w:tcPr>
            <w:tcW w:w="77" w:type="dxa"/>
            <w:tcBorders>
              <w:bottom w:val="single" w:sz="8" w:space="0" w:color="000000"/>
            </w:tcBorders>
            <w:shd w:fill="FFFFFF" w:val="clear"/>
            <w:vAlign w:val="center"/>
          </w:tcPr>
          <w:p>
            <w:pPr>
              <w:pStyle w:val="TableContents"/>
              <w:bidi w:val="0"/>
              <w:spacing w:before="0" w:after="283"/>
              <w:jc w:val="left"/>
              <w:rPr/>
            </w:pPr>
            <w:r>
              <w:rPr/>
              <w:t> </w:t>
            </w:r>
          </w:p>
        </w:tc>
      </w:tr>
      <w:tr>
        <w:trPr/>
        <w:tc>
          <w:tcPr>
            <w:tcW w:w="6667"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1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million</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12" w:type="dxa"/>
            <w:tcBorders>
              <w:bottom w:val="single" w:sz="12" w:space="0" w:color="000000"/>
            </w:tcBorders>
            <w:shd w:fill="CCEEFF" w:val="clear"/>
            <w:vAlign w:val="center"/>
          </w:tcPr>
          <w:p>
            <w:pPr>
              <w:pStyle w:val="TableContents"/>
              <w:bidi w:val="0"/>
              <w:spacing w:before="0" w:after="283"/>
              <w:jc w:val="right"/>
              <w:rPr/>
            </w:pPr>
            <w:r>
              <w:rPr/>
              <w:t xml:space="preserve">— </w:t>
            </w:r>
            <w:r>
              <w:rPr>
                <w:rFonts w:ascii="Times New Roman;Times;Serif" w:hAnsi="Times New Roman;Times;Serif"/>
                <w:sz w:val="20"/>
              </w:rPr>
              <w:t>million</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1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 million</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shd w:fill="FFFFFF" w:val="clear"/>
              </w:rPr>
            </w:pPr>
            <w:r>
              <w:rPr>
                <w:shd w:fill="FFFFFF" w:val="clear"/>
              </w:rPr>
              <w:t>2.</w:t>
            </w:r>
          </w:p>
        </w:tc>
        <w:tc>
          <w:tcPr>
            <w:tcW w:w="10020" w:type="dxa"/>
            <w:tcBorders/>
            <w:vAlign w:val="center"/>
          </w:tcPr>
          <w:p>
            <w:pPr>
              <w:pStyle w:val="TableContents"/>
              <w:bidi w:val="0"/>
              <w:spacing w:before="0" w:after="283"/>
              <w:jc w:val="both"/>
              <w:rPr/>
            </w:pPr>
            <w:r>
              <w:rPr>
                <w:shd w:fill="FFFFFF" w:val="clear"/>
              </w:rPr>
              <w:t>The Company charged rent expense to companies controlled by certain directors totaling $0.3 million for the year ended December 31, 2022. (nil for the years ended December 31, 2024, and 2023)</w:t>
            </w: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t>In March 2024, the Board terminated the employment agreement of the Company’s Former CEO. During the second quarter of 2024, the Company made a termination payment under the Former CEO’s employment agreement totaling US$1,614,000 subsequent to the Former CEO’s departure. On May 10, 2024, the Former CEO filed a Statement of Claim in the Superior Court of Ontario against the Company which was settled during the third quarter of 2024 for an additional payment of US$2,500,000 and ending any outstanding litigation or claim.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above transactions were incurred in the normal course of operations. As at December 31, 2024</w:t>
      </w:r>
      <w:r>
        <w:rPr>
          <w:rFonts w:ascii="Times New Roman;Times;Serif" w:hAnsi="Times New Roman;Times;Serif"/>
          <w:b w:val="false"/>
          <w:i w:val="false"/>
          <w:caps w:val="false"/>
          <w:smallCaps w:val="false"/>
          <w:sz w:val="20"/>
        </w:rPr>
        <w:t>, the Company no longer had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Other than as set forth in this AIF, the management of Bitfarms is not aware of any material interest, direct or indirect, of any director, executive officer, any Person or Company beneficially owning, controlling or directing, directly or indirectly, more than ten percent (10%) of Bitfarms’ outstanding voting securities, or any Associate or Affiliate of the foregoing Persons, in any transaction in which Bitfarms has participated within the three years before March 26, 2025, that has materially affected or is reasonably expected to materially affect Bitfarms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registrar and transfer agent is TSX Trust Company, located at 100 Adelaide Street West, Suite 301, Toronto, Ontario M5H 4H1.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contracts made in the ordinary course of business, the following are the only material contracts entered into by Bitfarms which are currently in effect and considered to be material as of March 26,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60" w:type="dxa"/>
          <w:left w:w="0" w:type="dxa"/>
          <w:bottom w:w="40" w:type="dxa"/>
          <w:right w:w="0" w:type="dxa"/>
        </w:tblCellMar>
      </w:tblPr>
      <w:tblGrid>
        <w:gridCol w:w="10205"/>
      </w:tblGrid>
      <w:tr>
        <w:trPr/>
        <w:tc>
          <w:tcPr>
            <w:tcW w:w="10205" w:type="dxa"/>
            <w:tcBorders>
              <w:top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Material contracts</w:t>
            </w:r>
          </w:p>
        </w:tc>
      </w:tr>
      <w:tr>
        <w:trPr/>
        <w:tc>
          <w:tcPr>
            <w:tcW w:w="1020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eight-year power purchase agreement entered on April 1, 2021 between the Company and Generacion Mediterranea S.A. (“GMSA”) pursuant to which the Company secured up to 210 MW of natural gas-powered energy. The agreement establishes that GMSA will supply the Company with power at a rate of US$0.02 per kilowatt hour for the first four years, up to a maximum amount of 1,103,760 megawatt hours, subject to certain pro-rata adjustments and requiring the Company and GMSA to negotiate in good faith the price of any energy that is excluded from the 1,103,760 megawatt hours, or the amount of megawatt hours determined after the pro-rata adjustments. The pricing on the remaining four years of the eight-year energy contract will be determined by a formula that is largely dependent on natural gas prices.</w:t>
            </w:r>
          </w:p>
        </w:tc>
      </w:tr>
      <w:tr>
        <w:trPr/>
        <w:tc>
          <w:tcPr>
            <w:tcW w:w="1020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custodial services agreement entered on April 21, 2021 between the Company and Coinbase Custody  pursuant to which the Company appointed Coinbase to act as its provider of custodial services for the purpose of storing digital assets.</w:t>
            </w:r>
          </w:p>
        </w:tc>
      </w:tr>
      <w:tr>
        <w:trPr/>
        <w:tc>
          <w:tcPr>
            <w:tcW w:w="1020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custodial service agreement entered on August 1, 2023 between the Company and Anchorage Digital  pursuant to which the Company appointed Anchorage Digital to act as provider of custodial services for the purpose of storing digital assets.</w:t>
            </w:r>
          </w:p>
        </w:tc>
      </w:tr>
      <w:tr>
        <w:trPr/>
        <w:tc>
          <w:tcPr>
            <w:tcW w:w="1020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Service Agreement entered on September 18, 2023 between the Company and Foundry USA owned by Foundry Digital LLC (“Foundry”), pursuant to which Foundry shall provide a mining Pool Service to the Company.</w:t>
            </w:r>
          </w:p>
        </w:tc>
      </w:tr>
      <w:tr>
        <w:trPr/>
        <w:tc>
          <w:tcPr>
            <w:tcW w:w="1020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At-The-Market Offering Agreement entered on March 8, 2024 between Bitfarms and H.C. Wainwright &amp; Co., LLC pursuant to an amended and restated preliminary short-form base shelf prospectus, dated September 22, 2023, allowing the Company, at its discretion and from time-to-time, to sell its common shares for an aggregate</w:t>
              <w:tab/>
              <w:t>gross proceeds of up to US$375,000,000.</w:t>
            </w:r>
          </w:p>
        </w:tc>
      </w:tr>
      <w:tr>
        <w:trPr/>
        <w:tc>
          <w:tcPr>
            <w:tcW w:w="1020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Agreement and Plan of Merger dated September 12, 2024 was entered by Bitfarms, Backbone Mining Solutions LLC and HPC &amp; AI Megacorp, Inc. with Stronghold Digital Mining, Inc. to amend and restate few sections of the Agreement and Plan of Merger dated August 21, 2024.</w:t>
            </w:r>
          </w:p>
        </w:tc>
      </w:tr>
      <w:tr>
        <w:trPr/>
        <w:tc>
          <w:tcPr>
            <w:tcW w:w="1020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Amendment No. 1 to the Agreement and Plan of Merger dated August 21, 2024,  was entered by Bitfarms, Backbone Mining Solutions LLC and HPC &amp; AI Megacorp, Inc. with Stronghold Digital Mining, Inc.</w:t>
            </w:r>
          </w:p>
        </w:tc>
      </w:tr>
      <w:tr>
        <w:trPr/>
        <w:tc>
          <w:tcPr>
            <w:tcW w:w="10205" w:type="dxa"/>
            <w:tcBorders>
              <w:bottom w:val="single" w:sz="8" w:space="0" w:color="000000"/>
            </w:tcBorders>
            <w:tcMar>
              <w:top w:w="0" w:type="dxa"/>
            </w:tcMar>
            <w:vAlign w:val="center"/>
          </w:tcPr>
          <w:p>
            <w:pPr>
              <w:pStyle w:val="TableContents"/>
              <w:bidi w:val="0"/>
              <w:spacing w:before="0" w:after="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Rights Plan Agreement, dated July 24, 2024, by and between Bitfarms Ltd. and TSX Trust Company</w:t>
            </w:r>
          </w:p>
        </w:tc>
      </w:tr>
      <w:tr>
        <w:trPr/>
        <w:tc>
          <w:tcPr>
            <w:tcW w:w="1020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Settlement Agreement dated September 23, 2024 was entered by the Company and Riot Platforms, Inc. For more details on the Settlement Agreement, please see </w:t>
            </w:r>
            <w:r>
              <w:rPr>
                <w:rFonts w:ascii="Times New Roman;Times;Serif" w:hAnsi="Times New Roman;Times;Serif"/>
                <w:i/>
                <w:sz w:val="20"/>
              </w:rPr>
              <w:t>section 4 - GENERAL DEVELOPMENT OF THE BUSINESS - FISCAL 2024 - Riot Platforms Inc.</w:t>
            </w:r>
          </w:p>
        </w:tc>
      </w:tr>
      <w:tr>
        <w:trPr/>
        <w:tc>
          <w:tcPr>
            <w:tcW w:w="1020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shd w:fill="FFFFFF" w:val="clear"/>
              </w:rPr>
              <w:t>Hosting Agreement dated October 29, 2024 was entered between Stronghold and BMS, whereby Stronghold will maintain, host, and operate the Bitcoin Miners and PDUs on behalf of BMS.</w:t>
            </w:r>
          </w:p>
        </w:tc>
      </w:tr>
      <w:tr>
        <w:trPr/>
        <w:tc>
          <w:tcPr>
            <w:tcW w:w="10205" w:type="dxa"/>
            <w:tcBorders>
              <w:bottom w:val="single" w:sz="8" w:space="0" w:color="000000"/>
            </w:tcBorders>
            <w:tcMar>
              <w:top w:w="0" w:type="dxa"/>
            </w:tcMar>
            <w:vAlign w:val="center"/>
          </w:tcPr>
          <w:p>
            <w:pPr>
              <w:pStyle w:val="TableContents"/>
              <w:bidi w:val="0"/>
              <w:spacing w:before="0" w:after="283"/>
              <w:jc w:val="both"/>
              <w:rPr/>
            </w:pPr>
            <w:r>
              <w:rPr/>
              <w:t>The share purchase agreement among HIVE Holdings Paraguay 1 ltd., HIVE Holdings Paraguay 2 Ltd., HIVE Digital Technologies, Ltd., Backbone Hosting Solutions Inc., and the Company dated March 17, 2025.</w:t>
            </w:r>
          </w:p>
        </w:tc>
      </w:tr>
    </w:tbl>
    <w:p>
      <w:pPr>
        <w:pStyle w:val="TextBody"/>
        <w:bidi w:val="0"/>
        <w:spacing w:before="0" w:after="0"/>
        <w:ind w:left="7"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INTERESTS OF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independent registered public accounting firm is PricewaterhouseCoopers LLP, Chartered Professional Accountants, who have issued a Report of Independent Registered Public Accounting Firm dated March 26, 2025 in respect of the Company’s consolidated financial statements as at December 31, 2024 and 2023 and for the years ended December 31, 2024 and 2023 and on the effectiveness of internal control over financial reporting as at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PricewaterhouseCoopers LLP has advised that they are independent with respect to the Company within the meaning of the relevant rules and related interpretations prescribed by the relevant professional bodies in Canada, including Chartered Professional Accountants of Ontario CPA Code of Professional Conduct and any applicable legislation or regulation as well as and the rules of the US Securities and Exchange Commission and the requirements of the Public Company Accounting Oversight Board on auditor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or company whose profession or business gives authority to a report, valuation, statement or opinion and who is named as having prepared or certified a part of this or as having prepared or certified a report or valuation described or included in this AIF holds or is to hold any beneficial or registered interest, direct or indirect, in any securities or property of Bitfarms or any associate or affiliate of Bitfarms or any subsidiaries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15. COMMITTEES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Bitfarms Board currently has four permanent committees: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895"/>
        <w:gridCol w:w="9110"/>
      </w:tblGrid>
      <w:tr>
        <w:trPr/>
        <w:tc>
          <w:tcPr>
            <w:tcW w:w="2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pPr>
            <w:r>
              <w:rPr/>
              <w:t>Audit Committee;</w:t>
            </w:r>
          </w:p>
        </w:tc>
      </w:tr>
    </w:tbl>
    <w:tbl>
      <w:tblPr>
        <w:tblW w:w="5000" w:type="pct"/>
        <w:jc w:val="left"/>
        <w:tblInd w:w="0" w:type="dxa"/>
        <w:tblLayout w:type="fixed"/>
        <w:tblCellMar>
          <w:top w:w="0" w:type="dxa"/>
          <w:left w:w="0" w:type="dxa"/>
          <w:bottom w:w="0" w:type="dxa"/>
          <w:right w:w="0" w:type="dxa"/>
        </w:tblCellMar>
      </w:tblPr>
      <w:tblGrid>
        <w:gridCol w:w="93"/>
        <w:gridCol w:w="419"/>
        <w:gridCol w:w="9693"/>
      </w:tblGrid>
      <w:tr>
        <w:trPr/>
        <w:tc>
          <w:tcPr>
            <w:tcW w:w="9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pPr>
            <w:r>
              <w:rPr/>
              <w:t>●</w:t>
            </w:r>
          </w:p>
        </w:tc>
        <w:tc>
          <w:tcPr>
            <w:tcW w:w="9693" w:type="dxa"/>
            <w:tcBorders/>
            <w:vAlign w:val="center"/>
          </w:tcPr>
          <w:p>
            <w:pPr>
              <w:pStyle w:val="TableContents"/>
              <w:bidi w:val="0"/>
              <w:spacing w:before="0" w:after="283"/>
              <w:jc w:val="both"/>
              <w:rPr/>
            </w:pPr>
            <w:r>
              <w:rPr/>
              <w:t>Governance and Nominating Committee;</w:t>
            </w:r>
          </w:p>
        </w:tc>
      </w:tr>
    </w:tbl>
    <w:tbl>
      <w:tblPr>
        <w:tblW w:w="5000" w:type="pct"/>
        <w:jc w:val="left"/>
        <w:tblInd w:w="0" w:type="dxa"/>
        <w:tblLayout w:type="fixed"/>
        <w:tblCellMar>
          <w:top w:w="0" w:type="dxa"/>
          <w:left w:w="0" w:type="dxa"/>
          <w:bottom w:w="0" w:type="dxa"/>
          <w:right w:w="0" w:type="dxa"/>
        </w:tblCellMar>
      </w:tblPr>
      <w:tblGrid>
        <w:gridCol w:w="122"/>
        <w:gridCol w:w="547"/>
        <w:gridCol w:w="9536"/>
      </w:tblGrid>
      <w:tr>
        <w:trPr/>
        <w:tc>
          <w:tcPr>
            <w:tcW w:w="1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both"/>
              <w:rPr/>
            </w:pPr>
            <w:r>
              <w:rPr/>
              <w:t>Compensation Committee; and</w:t>
            </w:r>
          </w:p>
        </w:tc>
      </w:tr>
    </w:tbl>
    <w:tbl>
      <w:tblPr>
        <w:tblW w:w="5000" w:type="pct"/>
        <w:jc w:val="left"/>
        <w:tblInd w:w="0" w:type="dxa"/>
        <w:tblLayout w:type="fixed"/>
        <w:tblCellMar>
          <w:top w:w="0" w:type="dxa"/>
          <w:left w:w="0" w:type="dxa"/>
          <w:bottom w:w="0" w:type="dxa"/>
          <w:right w:w="0" w:type="dxa"/>
        </w:tblCellMar>
      </w:tblPr>
      <w:tblGrid>
        <w:gridCol w:w="73"/>
        <w:gridCol w:w="330"/>
        <w:gridCol w:w="9802"/>
      </w:tblGrid>
      <w:tr>
        <w:trPr/>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w:t>
            </w:r>
          </w:p>
        </w:tc>
        <w:tc>
          <w:tcPr>
            <w:tcW w:w="9802" w:type="dxa"/>
            <w:tcBorders/>
            <w:vAlign w:val="center"/>
          </w:tcPr>
          <w:p>
            <w:pPr>
              <w:pStyle w:val="TableContents"/>
              <w:bidi w:val="0"/>
              <w:spacing w:before="0" w:after="283"/>
              <w:jc w:val="both"/>
              <w:rPr/>
            </w:pPr>
            <w:r>
              <w:rPr/>
              <w:t>Environmental and Social Responsibility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2024, a Special Committee comprised of independent directors was formed with an initial mandate to consider unsolicited proposals from third parties with respect to an acquisition, merger or other transaction related to the business activities or certain assets of the Company. The Special Committee’s initial mandate was amended and restated and thereafter, the Special Committee was permitted to conduct a strategic alternatives review process to review, consider and respond to any concerns expressed by Shareholders of the Company. On March 24, 2025, the committee was disbanded.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the Audit Committee are Fanny Philip, who also acts as Committee chair, Brian Howlett and Edith M. Hofmeister. All of the members are considered “independent” directors as defined in National Instrument 52-110 – Audit Committee (“</w:t>
      </w:r>
      <w:r>
        <w:rPr>
          <w:rFonts w:ascii="Times New Roman;Times;Serif" w:hAnsi="Times New Roman;Times;Serif"/>
          <w:b/>
          <w:i w:val="false"/>
          <w:caps w:val="false"/>
          <w:smallCaps w:val="false"/>
          <w:sz w:val="20"/>
        </w:rPr>
        <w:t>NI 52-110</w:t>
      </w:r>
      <w:r>
        <w:rPr>
          <w:rFonts w:ascii="Times New Roman;Times;Serif" w:hAnsi="Times New Roman;Times;Serif"/>
          <w:b w:val="false"/>
          <w:i w:val="false"/>
          <w:caps w:val="false"/>
          <w:smallCaps w:val="false"/>
          <w:sz w:val="20"/>
        </w:rPr>
        <w:t xml:space="preserve">”). Each member of the Audit Committee is “financially literate” within the meaning of </w:t>
      </w:r>
      <w:r>
        <w:rPr>
          <w:rFonts w:ascii="Times New Roman;Times;Serif" w:hAnsi="Times New Roman;Times;Serif"/>
          <w:b/>
          <w:i w:val="false"/>
          <w:caps w:val="false"/>
          <w:smallCaps w:val="false"/>
          <w:sz w:val="20"/>
        </w:rPr>
        <w:t>NI 52-110</w:t>
      </w:r>
      <w:r>
        <w:rPr>
          <w:rFonts w:ascii="Times New Roman;Times;Serif" w:hAnsi="Times New Roman;Times;Serif"/>
          <w:b w:val="false"/>
          <w:i w:val="false"/>
          <w:caps w:val="false"/>
          <w:smallCaps w:val="false"/>
          <w:sz w:val="20"/>
        </w:rPr>
        <w:t>, which includes the ability to read and understand a set of financial statements that present a breadth and level of complexity of accounting issues that are generally comparable to the breadth and complexity of the Company’s financial statements. The full text of the charter of the Audit Committee is attached as Schedule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Relevant Education and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education and experience of each of the members of the Audit Committee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30" w:type="dxa"/>
          <w:right w:w="0" w:type="dxa"/>
        </w:tblCellMar>
      </w:tblPr>
      <w:tblGrid>
        <w:gridCol w:w="1239"/>
        <w:gridCol w:w="60"/>
        <w:gridCol w:w="2268"/>
        <w:gridCol w:w="60"/>
        <w:gridCol w:w="6578"/>
      </w:tblGrid>
      <w:tr>
        <w:trPr/>
        <w:tc>
          <w:tcPr>
            <w:tcW w:w="1239" w:type="dxa"/>
            <w:tcBorders>
              <w:top w:val="single" w:sz="8" w:space="0" w:color="000000"/>
              <w:bottom w:val="single" w:sz="8" w:space="0" w:color="000000"/>
            </w:tcBorders>
            <w:shd w:fill="FFFFFF" w:val="clear"/>
            <w:vAlign w:val="center"/>
          </w:tcPr>
          <w:p>
            <w:pPr>
              <w:pStyle w:val="TableContents"/>
              <w:bidi w:val="0"/>
              <w:spacing w:before="0" w:after="283"/>
              <w:jc w:val="left"/>
              <w:rPr>
                <w:b/>
              </w:rPr>
            </w:pPr>
            <w:r>
              <w:rPr>
                <w:b/>
              </w:rPr>
              <w:t>Name of Member</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center"/>
              <w:rPr/>
            </w:pPr>
            <w:r>
              <w:rPr/>
              <w:t> </w:t>
            </w:r>
          </w:p>
        </w:tc>
        <w:tc>
          <w:tcPr>
            <w:tcW w:w="2268" w:type="dxa"/>
            <w:tcBorders>
              <w:top w:val="single" w:sz="8" w:space="0" w:color="000000"/>
              <w:bottom w:val="single" w:sz="8" w:space="0" w:color="000000"/>
            </w:tcBorders>
            <w:shd w:fill="FFFFFF" w:val="clear"/>
            <w:vAlign w:val="center"/>
          </w:tcPr>
          <w:p>
            <w:pPr>
              <w:pStyle w:val="TableContents"/>
              <w:bidi w:val="0"/>
              <w:spacing w:before="0" w:after="283"/>
              <w:jc w:val="center"/>
              <w:rPr>
                <w:b/>
              </w:rPr>
            </w:pPr>
            <w:r>
              <w:rPr>
                <w:b/>
              </w:rPr>
              <w:t>Education</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center"/>
              <w:rPr/>
            </w:pPr>
            <w:r>
              <w:rPr/>
              <w:t> </w:t>
            </w:r>
          </w:p>
        </w:tc>
        <w:tc>
          <w:tcPr>
            <w:tcW w:w="6578" w:type="dxa"/>
            <w:tcBorders>
              <w:top w:val="single" w:sz="8" w:space="0" w:color="000000"/>
              <w:bottom w:val="single" w:sz="8" w:space="0" w:color="000000"/>
            </w:tcBorders>
            <w:shd w:fill="FFFFFF" w:val="clear"/>
            <w:vAlign w:val="center"/>
          </w:tcPr>
          <w:p>
            <w:pPr>
              <w:pStyle w:val="TableContents"/>
              <w:bidi w:val="0"/>
              <w:spacing w:before="0" w:after="283"/>
              <w:jc w:val="center"/>
              <w:rPr>
                <w:b/>
              </w:rPr>
            </w:pPr>
            <w:r>
              <w:rPr>
                <w:b/>
              </w:rPr>
              <w:t>Experience</w:t>
            </w:r>
          </w:p>
        </w:tc>
      </w:tr>
      <w:tr>
        <w:trPr/>
        <w:tc>
          <w:tcPr>
            <w:tcW w:w="1239" w:type="dxa"/>
            <w:tcBorders/>
            <w:shd w:fill="FFFFFF" w:val="clear"/>
            <w:tcMar>
              <w:top w:w="0" w:type="dxa"/>
              <w:bottom w:w="0" w:type="dxa"/>
            </w:tcMar>
            <w:vAlign w:val="center"/>
          </w:tcPr>
          <w:p>
            <w:pPr>
              <w:pStyle w:val="TableContents"/>
              <w:bidi w:val="0"/>
              <w:spacing w:before="0" w:after="283"/>
              <w:jc w:val="left"/>
              <w:rPr/>
            </w:pPr>
            <w:r>
              <w:rPr/>
              <w:t>Fanny Philip, CPA - Chair (1)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268" w:type="dxa"/>
            <w:tcBorders/>
            <w:shd w:fill="FFFFFF" w:val="clear"/>
            <w:tcMar>
              <w:top w:w="0" w:type="dxa"/>
              <w:bottom w:w="0" w:type="dxa"/>
            </w:tcMar>
            <w:vAlign w:val="center"/>
          </w:tcPr>
          <w:p>
            <w:pPr>
              <w:pStyle w:val="TableContents"/>
              <w:bidi w:val="0"/>
              <w:spacing w:before="0" w:after="283"/>
              <w:jc w:val="left"/>
              <w:rPr/>
            </w:pPr>
            <w:r>
              <w:rPr/>
              <w:t xml:space="preserve">Trilingual Bachelor of Business Administration (B.B.A) (2010), Specialized Graduate Diploma (DESS) in public accounting (2013), HEC Montréal.CA auditor designation (2014)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578" w:type="dxa"/>
            <w:tcBorders/>
            <w:shd w:fill="FFFFFF" w:val="clear"/>
            <w:tcMar>
              <w:top w:w="0" w:type="dxa"/>
              <w:bottom w:w="0" w:type="dxa"/>
            </w:tcMar>
            <w:vAlign w:val="center"/>
          </w:tcPr>
          <w:p>
            <w:pPr>
              <w:pStyle w:val="TableContents"/>
              <w:bidi w:val="0"/>
              <w:spacing w:before="0" w:after="283"/>
              <w:jc w:val="both"/>
              <w:rPr/>
            </w:pPr>
            <w:r>
              <w:rPr/>
              <w:t>Ms. Philip has over 10 years of assurance and accounting expertise mainly in audit and public issues. She is the founder and president of MTI Conseils Inc., an accounting firm that provides outsourced accounting and Chief Financial Officer services. Formerly, she was the Chief Financial Officer and VP Finance of Canada Computational Unlimited Inc. and the Chief Operating Officer of SATO Technologies Corp. (TSXV: SATO, OTCQB: CCPU.F). She currently serves as General Director at SOVIAGO, where she oversees financial reporting and compliance and has been instrumental in various strategic acquisitions. As a former C-suite executive at a publicly traded company and recognized leader, she engages extensively in education and industry representation, advocating for regulatory changes and fostering a deeper understanding of the sector’s complexities among stakeholders, especially on reporting and financial matters. Ms. Philip holds a CPA public accounting permit.</w:t>
            </w:r>
          </w:p>
        </w:tc>
      </w:tr>
      <w:tr>
        <w:trPr/>
        <w:tc>
          <w:tcPr>
            <w:tcW w:w="1239"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268"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578" w:type="dxa"/>
            <w:tcBorders/>
            <w:shd w:fill="FFFFFF" w:val="clear"/>
            <w:tcMar>
              <w:top w:w="0" w:type="dxa"/>
              <w:bottom w:w="0" w:type="dxa"/>
            </w:tcMar>
            <w:vAlign w:val="center"/>
          </w:tcPr>
          <w:p>
            <w:pPr>
              <w:pStyle w:val="TableContents"/>
              <w:bidi w:val="0"/>
              <w:spacing w:before="0" w:after="283"/>
              <w:jc w:val="both"/>
              <w:rPr/>
            </w:pPr>
            <w:r>
              <w:rPr/>
              <w:t> </w:t>
            </w:r>
          </w:p>
        </w:tc>
      </w:tr>
      <w:tr>
        <w:trPr/>
        <w:tc>
          <w:tcPr>
            <w:tcW w:w="1239" w:type="dxa"/>
            <w:tcBorders/>
            <w:shd w:fill="FFFFFF" w:val="clear"/>
            <w:tcMar>
              <w:top w:w="0" w:type="dxa"/>
              <w:bottom w:w="0" w:type="dxa"/>
            </w:tcMar>
            <w:vAlign w:val="center"/>
          </w:tcPr>
          <w:p>
            <w:pPr>
              <w:pStyle w:val="TableContents"/>
              <w:bidi w:val="0"/>
              <w:spacing w:before="0" w:after="283"/>
              <w:jc w:val="left"/>
              <w:rPr/>
            </w:pPr>
            <w:r>
              <w:rPr/>
              <w:t>Brian M. Howlett, CPA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268" w:type="dxa"/>
            <w:tcBorders/>
            <w:shd w:fill="FFFFFF" w:val="clear"/>
            <w:tcMar>
              <w:top w:w="0" w:type="dxa"/>
              <w:bottom w:w="0" w:type="dxa"/>
            </w:tcMar>
            <w:vAlign w:val="center"/>
          </w:tcPr>
          <w:p>
            <w:pPr>
              <w:pStyle w:val="TableContents"/>
              <w:bidi w:val="0"/>
              <w:spacing w:before="0" w:after="283"/>
              <w:jc w:val="left"/>
              <w:rPr/>
            </w:pPr>
            <w:r>
              <w:rPr/>
              <w:t>Bachelor of Commerce from Concordia University (1982), CMA designation (1989)</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578" w:type="dxa"/>
            <w:tcBorders/>
            <w:shd w:fill="FFFFFF" w:val="clear"/>
            <w:tcMar>
              <w:top w:w="0" w:type="dxa"/>
              <w:bottom w:w="0" w:type="dxa"/>
            </w:tcMar>
            <w:vAlign w:val="center"/>
          </w:tcPr>
          <w:p>
            <w:pPr>
              <w:pStyle w:val="TableContents"/>
              <w:bidi w:val="0"/>
              <w:spacing w:before="0" w:after="283"/>
              <w:jc w:val="both"/>
              <w:rPr/>
            </w:pPr>
            <w:r>
              <w:rPr/>
              <w:t>Mr. Howlett serves as the Chair of the Board of the Corporation. Mr. Howlett is a seasoned professional with over thirty years of senior management experience. Mr. Howlett served on the board of Nighthawk Gold Corp from 2016 to 2024. Mr. Howlett formerly served as the President, Chief Executive Officer and a Director of Dundee Sustainable Technologies Inc. and as the President and Chief Executive Officer of Copper Road Resources Inc. (formerly “Stone Gold Inc.”).</w:t>
            </w:r>
          </w:p>
        </w:tc>
      </w:tr>
      <w:tr>
        <w:trPr/>
        <w:tc>
          <w:tcPr>
            <w:tcW w:w="1239"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268"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578" w:type="dxa"/>
            <w:tcBorders/>
            <w:shd w:fill="FFFFFF" w:val="clear"/>
            <w:tcMar>
              <w:top w:w="0" w:type="dxa"/>
              <w:bottom w:w="0" w:type="dxa"/>
            </w:tcMar>
            <w:vAlign w:val="center"/>
          </w:tcPr>
          <w:p>
            <w:pPr>
              <w:pStyle w:val="TableContents"/>
              <w:bidi w:val="0"/>
              <w:spacing w:before="0" w:after="283"/>
              <w:jc w:val="both"/>
              <w:rPr/>
            </w:pPr>
            <w:r>
              <w:rPr/>
              <w:t> </w:t>
            </w:r>
          </w:p>
        </w:tc>
      </w:tr>
      <w:tr>
        <w:trPr/>
        <w:tc>
          <w:tcPr>
            <w:tcW w:w="1239" w:type="dxa"/>
            <w:tcBorders/>
            <w:shd w:fill="FFFFFF" w:val="clear"/>
            <w:tcMar>
              <w:top w:w="0" w:type="dxa"/>
              <w:bottom w:w="0" w:type="dxa"/>
            </w:tcMar>
            <w:vAlign w:val="center"/>
          </w:tcPr>
          <w:p>
            <w:pPr>
              <w:pStyle w:val="TableContents"/>
              <w:bidi w:val="0"/>
              <w:spacing w:before="0" w:after="283"/>
              <w:jc w:val="left"/>
              <w:rPr/>
            </w:pPr>
            <w:r>
              <w:rPr/>
              <w:t>Edith M. Hofmeister, JD</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268" w:type="dxa"/>
            <w:tcBorders/>
            <w:shd w:fill="FFFFFF" w:val="clear"/>
            <w:tcMar>
              <w:top w:w="0" w:type="dxa"/>
              <w:bottom w:w="0" w:type="dxa"/>
            </w:tcMar>
            <w:vAlign w:val="center"/>
          </w:tcPr>
          <w:p>
            <w:pPr>
              <w:pStyle w:val="TableContents"/>
              <w:bidi w:val="0"/>
              <w:spacing w:before="0" w:after="283"/>
              <w:jc w:val="left"/>
              <w:rPr/>
            </w:pPr>
            <w:r>
              <w:rPr/>
              <w:t>Juris Doctor degree from the University of San Francisco</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578" w:type="dxa"/>
            <w:tcBorders/>
            <w:shd w:fill="FFFFFF" w:val="clear"/>
            <w:tcMar>
              <w:top w:w="0" w:type="dxa"/>
              <w:bottom w:w="0" w:type="dxa"/>
            </w:tcMar>
            <w:vAlign w:val="center"/>
          </w:tcPr>
          <w:p>
            <w:pPr>
              <w:pStyle w:val="TableContents"/>
              <w:bidi w:val="0"/>
              <w:spacing w:before="0" w:after="283"/>
              <w:jc w:val="both"/>
              <w:rPr/>
            </w:pPr>
            <w:r>
              <w:rPr/>
              <w:t>Ms. Hofmeister is an Attorney and C-suite executive who has advised large and small multi-national extractive companies on legal and ESG matters for over twenty years, where she reviewed and prepared disclosure documents, acted as the point person for SEC communications, oversaw internal controls and SOX compliance, anti-corruption, whistleblower and governance programs and audits, and acted as corporate secretary to audit and risk committees of NYSE-listed companies.  She has also served as Executive Vice President Corporate Affairs and General Counsel for Tahoe Resources where she led the Legal, Sustainability and Government Affairs departments and helped grow Tahoe from a junior exploration company to a mid-cap precious metals producer from 2010 to 2019. Ms. Hofmeister also received a Bachelor of Arts degree in international relations from UCLA and a Master of Arts degree in international peace studies from the University of Notre Dame.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(1) Chair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commencement of the Company’s most recently completed financial year, there has not been a recommendation of the Audit Committee to nominate or compensate an external auditor which was not adopted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required to pre-approve all audit and non-audit services not prohibited by law to be provided by the independent auditors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External Auditor Service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details in respect of audit, audit related, tax and other fees billed by the Company’s independent registered public accounting firm, in US$, during the fiscal years ended December 31, 2024 and December 31, 2023.</w:t>
      </w:r>
    </w:p>
    <w:p>
      <w:pPr>
        <w:pStyle w:val="TextBody"/>
        <w:bidi w:val="0"/>
        <w:spacing w:before="0" w:after="0"/>
        <w:ind w:left="0" w:right="0" w:hanging="0"/>
        <w:jc w:val="both"/>
        <w:rPr>
          <w:caps w:val="false"/>
          <w:smallCaps w:val="false"/>
        </w:rPr>
      </w:pPr>
      <w:r>
        <w:rPr>
          <w:caps w:val="false"/>
          <w:smallCaps w:val="false"/>
        </w:rPr>
        <w:t> </w:t>
      </w:r>
    </w:p>
    <w:tbl>
      <w:tblPr>
        <w:tblW w:w="4582" w:type="dxa"/>
        <w:jc w:val="left"/>
        <w:tblInd w:w="0" w:type="dxa"/>
        <w:tblLayout w:type="fixed"/>
        <w:tblCellMar>
          <w:top w:w="0" w:type="dxa"/>
          <w:left w:w="0" w:type="dxa"/>
          <w:bottom w:w="0" w:type="dxa"/>
          <w:right w:w="0" w:type="dxa"/>
        </w:tblCellMar>
      </w:tblPr>
      <w:tblGrid>
        <w:gridCol w:w="1790"/>
        <w:gridCol w:w="60"/>
        <w:gridCol w:w="170"/>
        <w:gridCol w:w="1195"/>
        <w:gridCol w:w="73"/>
        <w:gridCol w:w="73"/>
        <w:gridCol w:w="170"/>
        <w:gridCol w:w="976"/>
        <w:gridCol w:w="75"/>
      </w:tblGrid>
      <w:tr>
        <w:trPr/>
        <w:tc>
          <w:tcPr>
            <w:tcW w:w="1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57" w:type="dxa"/>
            <w:gridSpan w:val="6"/>
            <w:tcBorders/>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center"/>
              <w:rPr/>
            </w:pPr>
            <w:r>
              <w:rPr/>
              <w:t> </w:t>
            </w:r>
          </w:p>
        </w:tc>
      </w:tr>
      <w:tr>
        <w:trPr/>
        <w:tc>
          <w:tcPr>
            <w:tcW w:w="17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 </w:t>
            </w:r>
          </w:p>
        </w:tc>
        <w:tc>
          <w:tcPr>
            <w:tcW w:w="136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rPr>
            </w:pPr>
            <w:r>
              <w:rPr>
                <w:b/>
              </w:rPr>
              <w:t>2024</w:t>
            </w:r>
          </w:p>
        </w:tc>
        <w:tc>
          <w:tcPr>
            <w:tcW w:w="7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 </w:t>
            </w:r>
          </w:p>
        </w:tc>
        <w:tc>
          <w:tcPr>
            <w:tcW w:w="7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 </w:t>
            </w:r>
          </w:p>
        </w:tc>
        <w:tc>
          <w:tcPr>
            <w:tcW w:w="1146"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2023</w:t>
            </w:r>
          </w:p>
        </w:tc>
        <w:tc>
          <w:tcPr>
            <w:tcW w:w="7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 </w:t>
            </w:r>
          </w:p>
        </w:tc>
      </w:tr>
      <w:tr>
        <w:trPr/>
        <w:tc>
          <w:tcPr>
            <w:tcW w:w="17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95" w:type="dxa"/>
            <w:tcBorders/>
            <w:shd w:fill="CCEEFF" w:val="clear"/>
            <w:vAlign w:val="center"/>
          </w:tcPr>
          <w:p>
            <w:pPr>
              <w:pStyle w:val="TableContents"/>
              <w:bidi w:val="0"/>
              <w:spacing w:before="0" w:after="283"/>
              <w:jc w:val="right"/>
              <w:rPr>
                <w:b/>
              </w:rPr>
            </w:pPr>
            <w:r>
              <w:rPr>
                <w:b/>
              </w:rPr>
              <w:t>2,047,744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444,000</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Related Fees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b/>
              </w:rPr>
            </w:pPr>
            <w:r>
              <w:rPr>
                <w:b/>
              </w:rPr>
              <w:t>$</w:t>
            </w:r>
          </w:p>
        </w:tc>
        <w:tc>
          <w:tcPr>
            <w:tcW w:w="1195" w:type="dxa"/>
            <w:tcBorders/>
            <w:shd w:fill="FFFFFF" w:val="clear"/>
            <w:vAlign w:val="center"/>
          </w:tcPr>
          <w:p>
            <w:pPr>
              <w:pStyle w:val="TableContents"/>
              <w:bidi w:val="0"/>
              <w:spacing w:before="0" w:after="283"/>
              <w:jc w:val="right"/>
              <w:rPr>
                <w:b/>
              </w:rPr>
            </w:pPr>
            <w:r>
              <w:rPr>
                <w:b/>
              </w:rPr>
              <w:t>261,352</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76" w:type="dxa"/>
            <w:tcBorders/>
            <w:shd w:fill="FFFFFF" w:val="clear"/>
            <w:vAlign w:val="center"/>
          </w:tcPr>
          <w:p>
            <w:pPr>
              <w:pStyle w:val="TableContents"/>
              <w:bidi w:val="0"/>
              <w:spacing w:before="0" w:after="283"/>
              <w:jc w:val="right"/>
              <w:rPr/>
            </w:pPr>
            <w:r>
              <w:rPr/>
              <w:t>287,000</w:t>
            </w:r>
          </w:p>
        </w:tc>
        <w:tc>
          <w:tcPr>
            <w:tcW w:w="75" w:type="dxa"/>
            <w:tcBorders/>
            <w:shd w:fill="FFFFFF" w:val="cle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95" w:type="dxa"/>
            <w:tcBorders/>
            <w:shd w:fill="CCEEFF" w:val="cle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bottom w:val="single" w:sz="8" w:space="0" w:color="000000"/>
            </w:tcBorders>
            <w:shd w:fill="FFFFFF" w:val="clear"/>
            <w:tcMar>
              <w:bottom w:w="28" w:type="dxa"/>
            </w:tcMar>
            <w:vAlign w:val="center"/>
          </w:tcPr>
          <w:p>
            <w:pPr>
              <w:pStyle w:val="TableContents"/>
              <w:bidi w:val="0"/>
              <w:spacing w:before="0" w:after="283"/>
              <w:jc w:val="left"/>
              <w:rPr/>
            </w:pPr>
            <w:r>
              <w:rPr/>
              <w:t>All Other Fees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9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14,601</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179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Total</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2,323,697</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pPr>
            <w:r>
              <w:rPr/>
              <w:t>731,000</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Aggregate fees billed for professional services rendered by the auditor for the audit of the Company’s annual financial statements.</w:t>
            </w:r>
          </w:p>
        </w:tc>
      </w:tr>
      <w:tr>
        <w:trPr/>
        <w:tc>
          <w:tcPr>
            <w:tcW w:w="232" w:type="dxa"/>
            <w:tcBorders/>
            <w:vAlign w:val="center"/>
          </w:tcPr>
          <w:p>
            <w:pPr>
              <w:pStyle w:val="TableContents"/>
              <w:bidi w:val="0"/>
              <w:spacing w:before="0" w:after="283"/>
              <w:jc w:val="both"/>
              <w:rPr/>
            </w:pPr>
            <w:r>
              <w:rPr/>
              <w:t> </w:t>
            </w:r>
          </w:p>
        </w:tc>
        <w:tc>
          <w:tcPr>
            <w:tcW w:w="9973" w:type="dxa"/>
            <w:tcBorders/>
            <w:vAlign w:val="center"/>
          </w:tcPr>
          <w:p>
            <w:pPr>
              <w:pStyle w:val="TableContents"/>
              <w:bidi w:val="0"/>
              <w:spacing w:before="0" w:after="283"/>
              <w:jc w:val="both"/>
              <w:rPr/>
            </w:pPr>
            <w:r>
              <w:rPr/>
              <w:t> </w:t>
            </w:r>
          </w:p>
        </w:tc>
      </w:tr>
      <w:tr>
        <w:trPr/>
        <w:tc>
          <w:tcPr>
            <w:tcW w:w="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Aggregate fees billed for professional services rendered by the auditor and consisted primarily of file quality review fees and fees for the review of quarterly financial statements, related documents and consent letters.</w:t>
            </w:r>
          </w:p>
        </w:tc>
      </w:tr>
      <w:tr>
        <w:trPr/>
        <w:tc>
          <w:tcPr>
            <w:tcW w:w="232" w:type="dxa"/>
            <w:tcBorders/>
            <w:vAlign w:val="center"/>
          </w:tcPr>
          <w:p>
            <w:pPr>
              <w:pStyle w:val="TableContents"/>
              <w:bidi w:val="0"/>
              <w:spacing w:before="0" w:after="283"/>
              <w:jc w:val="both"/>
              <w:rPr/>
            </w:pPr>
            <w:r>
              <w:rPr/>
              <w:t> </w:t>
            </w:r>
          </w:p>
        </w:tc>
        <w:tc>
          <w:tcPr>
            <w:tcW w:w="9973" w:type="dxa"/>
            <w:tcBorders/>
            <w:vAlign w:val="center"/>
          </w:tcPr>
          <w:p>
            <w:pPr>
              <w:pStyle w:val="TableContents"/>
              <w:bidi w:val="0"/>
              <w:spacing w:before="0" w:after="283"/>
              <w:jc w:val="both"/>
              <w:rPr/>
            </w:pPr>
            <w:r>
              <w:rPr/>
              <w:t> </w:t>
            </w:r>
          </w:p>
        </w:tc>
      </w:tr>
      <w:tr>
        <w:trPr/>
        <w:tc>
          <w:tcPr>
            <w:tcW w:w="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Aggregate fees billed for tax compliance, tax advice and tax planning professional services. These services included reviewing tax returns and assisting in responses to government tax authorities.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 GOVERNANCE AND 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maintains a Governance and Nominating Committee. The Governance and Nominating Committee is responsible for: (i) assisting management in developing responsible corporate governance policies and practices for the Company; (ii) overseeing adherence to corporate governance rules, policies and principles; (iii) identifying individuals qualified to be nominated as members of the Board; (iv) the structure and composition of Board committees; (v) evaluating the performance and effectiveness of the Board and its committees; and (vi) overseeing compliance with the Company’s Code of Business Conduct and Ethics and the Corporation Diversity Policy. The current members of the Governance and Nominating Committee are Edith M. Hofmeister as Committee chair, Fanny Philip and Amy L. Freedman.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Company’s Compensation Committee is responsible for ensuring that Bitfarms has in place an appropriate </w:t>
      </w:r>
      <w:r>
        <w:rPr>
          <w:rFonts w:ascii="Times New Roman;Times;Serif" w:hAnsi="Times New Roman;Times;Serif"/>
          <w:b w:val="false"/>
          <w:i w:val="false"/>
          <w:caps w:val="false"/>
          <w:smallCaps w:val="false"/>
          <w:sz w:val="20"/>
        </w:rPr>
        <w:t>establishment of key human resources and compensation policies, including all incentive and equity-based compensation plans. The committee makes a recommendation to the Board who ensures that compensation paid to named executive officers (NEOs) is fair, reasonable, and consistent with Bitfarms’ compensation policies and best practices. The current members of the Compensation Committee are Fanny Philip as Committee Chair, Edith M. Hofmeister and Amy L. Freedman.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Compensation Committee reviews and approves compensation policies, based on recommendations from management regarding compensation. A combination of fixed and variable compensation is used to motivate employees and to achieve overall corporate goals. The three basic components of Bitfarms’ executive compensation program are: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1"/>
        <w:gridCol w:w="1215"/>
        <w:gridCol w:w="8719"/>
      </w:tblGrid>
      <w:tr>
        <w:trPr/>
        <w:tc>
          <w:tcPr>
            <w:tcW w:w="27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hd w:fill="FFFFFF" w:val="clear"/>
              </w:rPr>
            </w:pPr>
            <w:r>
              <w:rPr>
                <w:shd w:fill="FFFFFF" w:val="clear"/>
              </w:rPr>
              <w:t>●</w:t>
            </w:r>
          </w:p>
        </w:tc>
        <w:tc>
          <w:tcPr>
            <w:tcW w:w="8719" w:type="dxa"/>
            <w:tcBorders/>
            <w:vAlign w:val="center"/>
          </w:tcPr>
          <w:p>
            <w:pPr>
              <w:pStyle w:val="TableContents"/>
              <w:bidi w:val="0"/>
              <w:spacing w:before="0" w:after="283"/>
              <w:jc w:val="both"/>
              <w:rPr>
                <w:shd w:fill="FFFFFF" w:val="clear"/>
              </w:rPr>
            </w:pPr>
            <w:r>
              <w:rPr>
                <w:shd w:fill="FFFFFF" w:val="clear"/>
              </w:rPr>
              <w:t>Base Salary;</w:t>
            </w:r>
          </w:p>
        </w:tc>
      </w:tr>
    </w:tbl>
    <w:tbl>
      <w:tblPr>
        <w:tblW w:w="5000" w:type="pct"/>
        <w:jc w:val="left"/>
        <w:tblInd w:w="0" w:type="dxa"/>
        <w:tblLayout w:type="fixed"/>
        <w:tblCellMar>
          <w:top w:w="0" w:type="dxa"/>
          <w:left w:w="0" w:type="dxa"/>
          <w:bottom w:w="0" w:type="dxa"/>
          <w:right w:w="0" w:type="dxa"/>
        </w:tblCellMar>
      </w:tblPr>
      <w:tblGrid>
        <w:gridCol w:w="93"/>
        <w:gridCol w:w="419"/>
        <w:gridCol w:w="9693"/>
      </w:tblGrid>
      <w:tr>
        <w:trPr/>
        <w:tc>
          <w:tcPr>
            <w:tcW w:w="9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hd w:fill="FFFFFF" w:val="clear"/>
              </w:rPr>
            </w:pPr>
            <w:r>
              <w:rPr>
                <w:shd w:fill="FFFFFF" w:val="clear"/>
              </w:rPr>
              <w:t>●</w:t>
            </w:r>
          </w:p>
        </w:tc>
        <w:tc>
          <w:tcPr>
            <w:tcW w:w="9693" w:type="dxa"/>
            <w:tcBorders/>
            <w:vAlign w:val="center"/>
          </w:tcPr>
          <w:p>
            <w:pPr>
              <w:pStyle w:val="TableContents"/>
              <w:bidi w:val="0"/>
              <w:spacing w:before="0" w:after="283"/>
              <w:jc w:val="both"/>
              <w:rPr>
                <w:shd w:fill="FFFFFF" w:val="clear"/>
              </w:rPr>
            </w:pPr>
            <w:r>
              <w:rPr>
                <w:shd w:fill="FFFFFF" w:val="clear"/>
              </w:rPr>
              <w:t xml:space="preserve">Short-Term Incentive Plans (bonus); and </w:t>
            </w:r>
          </w:p>
        </w:tc>
      </w:tr>
    </w:tbl>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hd w:fill="FFFFFF" w:val="clear"/>
              </w:rPr>
            </w:pPr>
            <w:r>
              <w:rPr>
                <w:shd w:fill="FFFFFF" w:val="clear"/>
              </w:rPr>
              <w:t>●</w:t>
            </w:r>
          </w:p>
        </w:tc>
        <w:tc>
          <w:tcPr>
            <w:tcW w:w="9961" w:type="dxa"/>
            <w:tcBorders/>
            <w:vAlign w:val="center"/>
          </w:tcPr>
          <w:p>
            <w:pPr>
              <w:pStyle w:val="TableContents"/>
              <w:bidi w:val="0"/>
              <w:spacing w:before="0" w:after="283"/>
              <w:jc w:val="both"/>
              <w:rPr>
                <w:shd w:fill="FFFFFF" w:val="clear"/>
              </w:rPr>
            </w:pPr>
            <w:r>
              <w:rPr>
                <w:shd w:fill="FFFFFF" w:val="clear"/>
              </w:rPr>
              <w:t xml:space="preserve">Long-Term Incentive Plans (stock options and restricted share unit-based compensation).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 ENVIRONMENTAL AND SOCIAL RESPONSIBILITY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Environmental and Social Responsibility Committee’s primary mandate is to assist the Board of Directors in overseeing the Company’s programs, policies and practices relating to health and safety, environmental sustainability and corporate social responsibility. The current members of the Environmental and Social Responsibility Committee are Edith M. Hofmeister as Committee chair, Fanny Philip, Andrew Chang, and Ben J. Gagnon.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a Director of Sustainability to drive the development and implementation of sustainability strategies across the organization in support of the Company’s overall business objectives; and to establish a comprehensive framework to proactively prepare for upcoming mandatory ESG disclosures. An ESG Steering Committee, comprised of Officers and managerial-level employees, is tasked with the responsibility of supporting the Director of Sustainability in enhancing the Company’s initiatives, policies, practices, and disclosures pertaining to corporate sustainability. The ESG Steering Committee comprises officers and employees from various departments, including Sustainability, Legal, Human Resources, Operation, Marketing &amp; Communications, Information Technology, Finance, and Global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current operating Data Centers, except for Argentina and Pennsylvania, use primarily renewable, clean energy. To the best of the Company’s knowledge, the Company will not incur significant costs or investments in order to comply with provisions relating to environmental protection on its current Data Centers, besides maintaining the procedures currently applied by it. The Company’s Data Centers located in the State of Pennsylvania utilizes a Tier 2 alternative energy source (coal refuse) as well as local power grid system made up of a mix of energy sources. Please refer to Section 5.3 - </w:t>
      </w:r>
      <w:r>
        <w:rPr>
          <w:rFonts w:ascii="Times New Roman;Times;Serif" w:hAnsi="Times New Roman;Times;Serif"/>
          <w:b w:val="false"/>
          <w:i/>
          <w:caps w:val="false"/>
          <w:smallCaps w:val="false"/>
          <w:sz w:val="20"/>
        </w:rPr>
        <w:t>UNITED STATES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i w:val="false"/>
          <w:caps w:val="false"/>
          <w:smallCaps w:val="false"/>
          <w:sz w:val="20"/>
          <w:shd w:fill="FFFFFF" w:val="clear"/>
        </w:rPr>
        <w:t>REGULATORY COMPLIANCE</w:t>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CEO. The following is a discussion of regulatory compliance considerations specific to each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Canada</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operates a total of eight Data Centers with an aggregate power capacity of 170 located in the Province of Quebec,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There are no material restrictions in Quebec or Canada on the business of operating a Data Center or conducting the business of the Company as described herein, and as of the date of </w:t>
      </w: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z w:val="20"/>
          <w:shd w:fill="FFFFFF" w:val="clear"/>
        </w:rPr>
        <w:t>AIF, the Company has not received any material notices or statements from regulatory authorities in Quebec or Canada that would negatively impact its current operations in Quebec or Canada. The Company is not relying on any registrations, exemptions, or “no action” letters to conduct its business in Quebec or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United States</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operates three Data Centers with an aggregate power capacity of 153 MW located in the States of Washington and Pennsylvania, United States. Energy for two of the three Data Centers is derived from the Company’s power facilities and/or the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There are no material restrictions in the States of Washington and Pennsylvania on the business of operating a data center or conducting the business of the Company as described herein, and as of the date of </w:t>
      </w: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z w:val="20"/>
          <w:shd w:fill="FFFFFF" w:val="clear"/>
        </w:rPr>
        <w:t>AIF, the Company has not received any material notices or statements from regulatory authorities in Washington or Pennsylvania that would negatively impact its operations in these jurisdictions. The Company is not relying on any registrations, exemptions, or “no action” letters to conduct its business in Washington and Pennsylvania.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Paraguay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Company operates a total of two Data Centers with an aggregate power capacity of 80 MW located in the city of Villarrica, Paraguay. Refer to Section </w:t>
      </w: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caps w:val="false"/>
          <w:smallCaps w:val="false"/>
          <w:sz w:val="20"/>
        </w:rPr>
        <w:t xml:space="preserve">- FUTURE GROWTH PLANS - PARAGUAY EXPANSION </w:t>
      </w:r>
      <w:r>
        <w:rPr>
          <w:rFonts w:ascii="Times New Roman;Times;Serif" w:hAnsi="Times New Roman;Times;Serif"/>
          <w:b w:val="false"/>
          <w:i w:val="false"/>
          <w:caps w:val="false"/>
          <w:smallCaps w:val="false"/>
          <w:sz w:val="20"/>
        </w:rPr>
        <w:t>of this AIF.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There are no material restrictions in Paraguay on the business of operating a data center or conducting the business of the Company as described herein, and as of the date of </w:t>
      </w:r>
      <w:r>
        <w:rPr>
          <w:rFonts w:ascii="Times New Roman;Times;Serif" w:hAnsi="Times New Roman;Times;Serif"/>
          <w:b w:val="false"/>
          <w:i w:val="false"/>
          <w:caps w:val="false"/>
          <w:smallCaps w:val="false"/>
          <w:sz w:val="20"/>
        </w:rPr>
        <w:t>this AIF</w:t>
      </w:r>
      <w:r>
        <w:rPr>
          <w:rFonts w:ascii="Times New Roman;Times;Serif" w:hAnsi="Times New Roman;Times;Serif"/>
          <w:b w:val="false"/>
          <w:i w:val="false"/>
          <w:caps w:val="false"/>
          <w:smallCaps w:val="false"/>
          <w:sz w:val="20"/>
          <w:shd w:fill="FFFFFF" w:val="clear"/>
        </w:rPr>
        <w:t>,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April 2024, a group of Paraguay’s Senators initially proposed a 180-day blanket ban on cryptocurrency Mining due to concerns over power theft of and disruptions to the electricity supply. However, the Senate issued a statement in support of the legal cryptocurrency Mining industry arguing that selling excess energy to Bitcoin miners unlocks substantial revenue streams and bolsters Paraguay’s economy, acknowledging that the proposed ban would not effectively address illegal Mining activities. The Senate held a public hearing on April 23, 2024 to debate the merits and drawbacks of Bitcoin Mining in the country. Lawmakers acknowledged the potential issues caused by illegal Mining operations disrupting the power supply, but also recognized the potential economic benefits of embracing licensed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Following these discussions, several significant developments occurred. On June 26, 2024, Congress in Paraguay sanctioned a bill, which was later promulgated as Law No. 7300. This law increases penalties for illegal use of electricity, particularly targeting unauthorized cryptocurrency Mining. Penalties range from fines to imprisonment up to 10 years, with provisions for equipment confiscation.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Secondly, also on June 26, 2024, ANDE issued a decree implementing an abrupt increase in tariffs for the cryptocurrency Mining industry. The decree increased the electricity tariffs from 6% to 16%, a 10%-point increase, across various voltage categories, effective July 1, 2024. The effective rate increase on the voltage level the Company uses was approximately 13.6%.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Argentina</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operates one 58 MW Data Center located in Cordoba, Argentina.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There are no material restrictions in Argentina on the business of operating a server farm or conducting the business of the Company as described herein and, as of the date of </w:t>
      </w:r>
      <w:r>
        <w:rPr>
          <w:rFonts w:ascii="Times New Roman;Times;Serif" w:hAnsi="Times New Roman;Times;Serif"/>
          <w:b w:val="false"/>
          <w:i w:val="false"/>
          <w:caps w:val="false"/>
          <w:smallCaps w:val="false"/>
          <w:sz w:val="20"/>
        </w:rPr>
        <w:t>this AIF</w:t>
      </w:r>
      <w:r>
        <w:rPr>
          <w:rFonts w:ascii="Times New Roman;Times;Serif" w:hAnsi="Times New Roman;Times;Serif"/>
          <w:b w:val="false"/>
          <w:i w:val="false"/>
          <w:caps w:val="false"/>
          <w:smallCaps w:val="false"/>
          <w:sz w:val="20"/>
          <w:shd w:fill="FFFFFF" w:val="clear"/>
        </w:rPr>
        <w:t>,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relating to the Company, including financial information in the Company’s Financial Statements and MD&amp;A for Fiscal 2024, is available on SEDAR+ at www.sedarplus.ca and on and on the U.S. Securities and Exchange Commission’s EDGAR website at www.sec.gov/edgar. Moreover, additional information, including directors’ and officers’ remuneration and indebtedness, principal holders of the Company’s securities and securities authorized for issuance under equity compensation plans, if applicable, is contained in the Company’s information circular for its most recent annual meeting of security holders.</w:t>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RISK FACTORS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following discussion summarizes the principal risk factors that apply to the Company’s business and that may have a material adverse effect on the Company’s business, financial condition and results of operations, and/or the trading price of the Company’s shares. Due to the nature of the Company’s business, the legal and economic climate in which it operates and its present stage of development and proposed operations, the Company is subject to significant risks. These risk factors are not a definitive list of all risk factors associated with an investment in the Company or in connection with its operations. Additional risks and uncertainties not presently known to the Company, or that are currently deemed immaterial, may also impair its operations. If any such risks actually occur, the financial condition, liquidity and results of operations of the Company could be materially adversely affected. Investors should carefully consider the risks, factors, and uncertainties described below, together with the other information contained in </w:t>
      </w:r>
      <w:r>
        <w:rPr>
          <w:rFonts w:ascii="Times New Roman;Times;Serif" w:hAnsi="Times New Roman;Times;Serif"/>
          <w:b w:val="false"/>
          <w:i w:val="false"/>
          <w:caps w:val="false"/>
          <w:smallCaps w:val="false"/>
          <w:sz w:val="20"/>
        </w:rPr>
        <w:t>this AIF</w:t>
      </w:r>
      <w:r>
        <w:rPr>
          <w:rFonts w:ascii="Times New Roman;Times;Serif" w:hAnsi="Times New Roman;Times;Serif"/>
          <w:b w:val="false"/>
          <w:i w:val="false"/>
          <w:caps w:val="false"/>
          <w:smallCaps w:val="false"/>
          <w:sz w:val="20"/>
          <w:shd w:fill="FFFFFF" w:val="clear"/>
        </w:rPr>
        <w:t>, as well as the risk factors, uncertainties, and other information disclosed in the Company’s other public filings before making an investment decision regarding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may not realize all of the anticipated benefits of the Stronghold Transaction.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following Stronghold Transaction (thereafter, the “</w:t>
      </w:r>
      <w:r>
        <w:rPr>
          <w:rFonts w:ascii="Times New Roman;Times;Serif" w:hAnsi="Times New Roman;Times;Serif"/>
          <w:b/>
          <w:i w:val="false"/>
          <w:caps w:val="false"/>
          <w:smallCaps w:val="false"/>
          <w:sz w:val="20"/>
        </w:rPr>
        <w:t>Combined Company</w:t>
      </w:r>
      <w:r>
        <w:rPr>
          <w:rFonts w:ascii="Times New Roman;Times;Serif" w:hAnsi="Times New Roman;Times;Serif"/>
          <w:b w:val="false"/>
          <w:i w:val="false"/>
          <w:caps w:val="false"/>
          <w:smallCaps w:val="false"/>
          <w:sz w:val="20"/>
        </w:rPr>
        <w:t>”), may not realize all of the anticipated benefits of the Stronghold Transaction even if Bitfarms believes that the Stronghold Transaction will provide benefits to the Combined Company. There is a risk that some or all of the expected benefits of the Stronghold Transaction may fail to materialize or may not occur within the time periods anticipated by Bitfarms. The realization of such benefits may be affected by a number of factors, including regulatory considerations and decisions, many of which are beyond the control of Bitfarms and Stronghold. The challenge of coordinating previously independent businesses makes evaluating the business and future financial prospects of the Combined Company following Stronghold Transaction difficult. Prior to the completion of the Stronghold Transaction, Stronghold and Bitfarms operated independently. The success of Stronghold Transaction, including anticipated benefits and cost savings, will depend, in part, on the ability to successfully integrate the operations of both companies. The past financial performance of each of Stronghold and Bitfarms may not be indicative of their future financial performance. Realization of the anticipated benefits in the Stronghold Transaction will depend, in part, on the Combined Company’s ability to successfully integrate Stronghold and Bitfarms’ businesses. The Combined Company will be required to devote significant management attention and resources to integrating its business practices and support functions. The diversion of management’s attention and any delays or difficulties encountered in connection with the coordination of the two companies’ operations could have an adverse effect on the business, financial results, financial condition or the share price of Bitfarms. The coordination process may also result in additional and unforeseen expenses. Failure to realize all of the anticipated benefits of Stronghold Transaction may impact on the financial performance of the Combined Company and the price of the Combined Company’s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The Company has incurred, and will continue to incur, significant costs in connection with Stronghold Transaction.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a result of Stronghold Transaction, the Company has incurred, and will continue to incur, significant integration-related fees and costs related to formulating and implementing integration plans, including facilities and systems consolidation costs and employment-related costs. There may be additional unanticipated significant costs in connection with Stronghold Transaction that the Company may not recoup. These costs and expenses could reduce the realization of efficiencies, strategic benefits, and additional income the Company expects to achieve from the Stronghold Transaction. Although we expect that the elimination of duplicative costs, as well as the realization of other efficiencies related to the integration of Bitfarms and Stronghold, should allow the Company to offset integration-related costs over time, this net benefit may not be achieved in the near term,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market value of the Company’s common shares may decline because of Stronghold Transaction.</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market value of the Company’s common shares may decline because of the Stronghold Transaction if, among other things, the Combined Company is unable to achieve the expected growth in earnings or if the costs of integrating the two businesses are greater than expected. The market value also may decline if the Combined Company does not achieve the perceived benefits of the Stronghold Transaction as rapidly or to the extent anticipated by the market or if the effect of the Stronghold Transaction on Bitfarms’ business, financial position, results of operations or cash flows is not consistent with the expectations of financial or industry analysts.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The Company may be the target of securities class action and derivative lawsuits, which could result in substantial costs.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Securities class action lawsuits and derivative lawsuits are often brought against companies that have entered into merger agreements. Even if the lawsuits are without merit, defending against these claims can result in substantial costs and divert management time and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Limited Operating History.</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only a limited operating history upon which an evaluation of the Company and its prospects, as well as an investment in the Company’s common shares, can be based. The Company is subject to many risks common to venture enterprises, including under-capitalization, potential cash shortages and limitations with respect to personnel, financial and other resources. Although the Company has achieved profitable quarters in the past, to date, it has not maintained consistent profitability from period to period, and no assurances can be made that the Company will achieve consistent profitability in the near future, if ever. For the year ended December 31, 2024, the Company had a net loss from continuing operations of $48.6 million, which net losses were generated as the Company executed its business plan and expands its BTC Mining activities as BTC prices have at times been in a bear market. There is no assurance that the Company will be successful in achieving a return on shareholders’ investment or meeting other metrics of success, which is dependent on BTC prices, among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has an evolving business model and strategy.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its business model to continue to evolve in the future. As digital assets become more widely available, the Company expects its services and products to evolve to stay current with its industry. The Company’s growth strategy includes exploring the expansion and diversification of its revenue sources into new markets. Pursuant to that strategy, the Company is increasing its focus on diversification into high performance computing and artificial intelligence solutions. The Company’s management team has limited or no experience in the HPC/AI industry and is expanding its team to include additional professionals, including external consultants, with such experience, but there is no guarantee that such efforts will be successful. Accordingly, the Company cannot offer any assurance that these or any other modifications to its business model and strategy will be successful or will not result in harm to its business. Such modifications may increase the complexity of its business and place significant strain on its management, personnel, operations, systems, technical performance, financial resources and internal financial control and reporting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Company may not be able to manage growth effectively, which could damage its reputation, limit its growth and adversely affect its operating results. Further, the Company cannot provide any assurance that it will successfully identify all emerging trends and growth opportunities within the digital assets industry, the HPC/AI market or other markets it may seek to expand into, and the Company may lose out on such opportunities. Any of the foregoing could have a material adverse effect on the Company’s business, prospects,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Dependence on Regulated Terms of Service and Electricity Rates Risks.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dependent on its ability to maintain reliable and economical sources of power to run its cryptocurrency Mining assets. The Company conducts Mining operations in the Province of Quebec (Canada), Washington State (United States), the state of Pennsylvania (United States), Paraguay and Argentina. The Company’s current and future operations and anticipated growth, and the sustainability of hydro electricity and natural gas at economical prices for the purposes of cryptocurrency Mining in multiple locations, poses certain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sources its energy from Hydro-Québec, Hydro-Sherbrooke, Hydro-Magog, the City of Baie-Comeau, Grant PUD, CLYFSA, PJM Interconnection and Generación Mediterranea S.A. Regulated power suppliers may be subject to public policy initiatives and economic development programs which may or may not support the Mining industry. Additionally, there may be significant competition in the cryptocurrency Mining industry for suitable locations with access to affordable power. There can be no assurance that electricity will continue to be provided in the future or not curtailed to accommodate other users or otherwise made available on terms which are economic for the Company’s current and future operations, anticipated growth, and sustainability. Long- and short-term power prices may also fluctuate substantially due to other factors outside of our control,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generation capacity in our markets, including changes in the supply of power as a result of the development of new plants, expansion or reduction of existing plants, the continued operation of uneconomic power plants due to state subsidies, or additional or reduced transmission capacity;</w:t>
            </w:r>
          </w:p>
        </w:tc>
      </w:tr>
    </w:tbl>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regulations and legislation;</w:t>
            </w:r>
          </w:p>
        </w:tc>
      </w:tr>
    </w:tbl>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supply disruptions, including plant outages and transmission disruptions;</w:t>
            </w:r>
          </w:p>
        </w:tc>
      </w:tr>
    </w:tbl>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power transmission infrastructure;</w:t>
            </w:r>
          </w:p>
        </w:tc>
      </w:tr>
    </w:tbl>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price volatility;</w:t>
            </w:r>
          </w:p>
        </w:tc>
      </w:tr>
    </w:tbl>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transportation capacity constraints or inefficiencies;</w:t>
            </w:r>
          </w:p>
        </w:tc>
      </w:tr>
    </w:tbl>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new fuels, new technologies, and new forms of competition for the production of power;</w:t>
            </w:r>
          </w:p>
        </w:tc>
      </w:tr>
    </w:tbl>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 including judicial decisions;</w:t>
            </w:r>
          </w:p>
        </w:tc>
      </w:tr>
    </w:tbl>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 conditions, including extreme weather conditions and seasonal fluctuations;</w:t>
            </w:r>
          </w:p>
        </w:tc>
      </w:tr>
    </w:tbl>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demand for power or in patterns of power usage;</w:t>
            </w:r>
          </w:p>
        </w:tc>
      </w:tr>
    </w:tbl>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political conditions;</w:t>
            </w:r>
          </w:p>
        </w:tc>
      </w:tr>
    </w:tbl>
    <w:tbl>
      <w:tblPr>
        <w:tblW w:w="3858" w:type="dxa"/>
        <w:jc w:val="left"/>
        <w:tblInd w:w="0" w:type="dxa"/>
        <w:tblLayout w:type="fixed"/>
        <w:tblCellMar>
          <w:top w:w="0" w:type="dxa"/>
          <w:left w:w="0" w:type="dxa"/>
          <w:bottom w:w="0" w:type="dxa"/>
          <w:right w:w="0" w:type="dxa"/>
        </w:tblCellMar>
      </w:tblPr>
      <w:tblGrid>
        <w:gridCol w:w="38"/>
        <w:gridCol w:w="17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and demand for energy commodities;</w:t>
            </w:r>
          </w:p>
        </w:tc>
      </w:tr>
    </w:tbl>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disruption of electrical components needed to transmit energy;</w:t>
            </w:r>
          </w:p>
        </w:tc>
      </w:tr>
    </w:tbl>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competitively priced alternative energy sources;</w:t>
            </w:r>
          </w:p>
        </w:tc>
      </w:tr>
    </w:tbl>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ability to procure satisfactory levels of inventory; </w:t>
            </w:r>
          </w:p>
        </w:tc>
      </w:tr>
    </w:tbl>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capacity prices and capacity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any suspension or cessation of power supply, failure of electrical networks, or changes in cost structure which are not economic, in the jurisdictions where the Company utilizes power for its operations, could result in a material adverse effect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Quebec, Canada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operations are dependent on its ability to maintain reliable and economical sources of power to run its cryptocurrency Mining assets. Until the adoption of Bill-2, on February 15, 2023, the Province of Quebec mandated electric power distributors to supply their customers under the obligation to serve power delivery regime; however, Bill-2 amended the Act respecting the </w:t>
      </w:r>
      <w:r>
        <w:rPr>
          <w:rFonts w:ascii="Times New Roman;Times;Serif" w:hAnsi="Times New Roman;Times;Serif"/>
          <w:b w:val="false"/>
          <w:i/>
          <w:caps w:val="false"/>
          <w:smallCaps w:val="false"/>
          <w:sz w:val="20"/>
        </w:rPr>
        <w:t>Régie de l’énergie du Québec</w:t>
      </w:r>
      <w:r>
        <w:rPr>
          <w:rFonts w:ascii="Times New Roman;Times;Serif" w:hAnsi="Times New Roman;Times;Serif"/>
          <w:b w:val="false"/>
          <w:i w:val="false"/>
          <w:caps w:val="false"/>
          <w:smallCaps w:val="false"/>
          <w:sz w:val="20"/>
        </w:rPr>
        <w:t xml:space="preserve"> (the “Régie”) by giving the Government of Quebec the power to determine by regulation the cases in which Hydro-Québec, or any other electric power distributor, may be exempt from their obligation to provide electricity to industrial clients in the Province of Quebec.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electricity supplied directly by Hydro-Québec is set by a provincial administrative tribunal, the Quebec Energy Board. Hydro-Québec supplies power to certain of the Company’s Data Centers, and to the Municipal Electrical Networks for the Magog, Baie-Comeau and Sherbrooke Data Centers. The rates imposed on Hydro-Québec by the Régie are subject to change. Although power is supplied by Municipal Networks to the Company, the rates in those contracts are adjusted in response to tariff changes imposed by the Régie. Modifications to the rates are set pursuant to the Hydro-Québec Act by operation of law on April 1st each year, by a rate corresponding to the annual change in the overall average Quebec consumer price index, on a tariff class basis such that any adjustment would apply equally to all industrial clients, which includes CB tariff users (for Cryptocurrency Mining), M tariff users or LG tariff users regardless of end use.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Quebec in three Steps: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On July 13, 2018, the Régie provisionally ordered that a new tariff be established for cryptocurrency miners, and, on July 19, 2018, the Régie approved a provisional tariff of CAD$0.15/kWh on Data Centers built after that date. Under Step 1, the new tariff cannot be applied to any cryptocurrency contracts entered prior to June 7, 2018, or Data Centers constructed prior to July 19, 2018. Therefore, Step 1 didn’t have an impact on the Company’s pre-existing operations and secured existing rates until the completion of Phase 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On April 29, 2019, the Régie rendered its decision on Step 2 of the request filed by Hydro-Québec. Régie decided to create a new class of energy consumers called Electricity consumer class for cryptographic use applied to blockchain. It’s decided to allocate to this new class an aggregate supply of 300 megawatts of electricity, with the requirement to curtail electricity use during peak hours at Hydro-Québec’s request (up to a maximum of 300 hours a year). Cryptocurrency Mining projects would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would be required to participate in the call for tenders process. However, the Régie’s decision also meant that the Company’s pre-existing operations in the Province of Quebec would remain subject to the M or LG tariff in force, as the case may be, and they were exempt from the tender process as well as the provisional tariff of CAD$0.15/kWh which had been requested by Hydro-Québec. The provisional tariff would apply to energy consumption not previously authorized under cryptocurrency contracts, to those cryptocurrency contracts entered into after June 7, 2018 and to any substitution of use or any increase of capacity for crypto miners not already under authorized cryptocurrency contracts. The decision of the Régie did impose the potential requirement to curtail electricity use (of up to 95%) during peak hours at Hydro-Québec’s request (up to a maximum of 300 hours a year) under all cryptocurrency contracts including those at the Company’s pre-existing operations at the already operating Data Center in Quebec. A shutdown of 95% of operations for the maximum of 300 hours could result in a revenue decrease of approximately 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On January 28, 2021, Régie rendered its decision on Step 3 of the request filed by Hydro-Québec. The Régie decided that the existing subscriptions on the Hydro-Québec network were to be subject to non-firm service, starting in Winter 2021-2022. The non-firm service applies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Régie provided the following reasons to justify this conclusion: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clients, such as the Company, have already executed agreements with municipal electricity networks with non-firm service (without financial compensation) for at least 300 hours per year;</w:t>
            </w:r>
          </w:p>
        </w:tc>
      </w:tr>
    </w:tbl>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clients entering the market through the call for tenders’ process would be subject to non-firm service without financial compensation. The treatment of those new clients must be fair and equitable with existing clients; and</w:t>
            </w:r>
          </w:p>
        </w:tc>
      </w:tr>
    </w:tbl>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load shedding for 300 hours was estimated to represent only 3.4% of the 8,760 hours in a year. Régie did not consider this request unreasonable considering the risks that cryptocurrency clients represent for Hydro-Québec.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Step 3 decision, the Company’s operations are on a non-firm service basis for a maximum of 300 hours per year. Consequently, the main difference between the CB tariff and the M or LG tariff is the curtailment obligation applicable to the CB tariff.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2022, the Régie rendered a decision confirming the decision rendered in Step 3, resulting in the application of the non-firm service to the Company’s Data Centers in Quebec.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2022, the Company filed with the Régie an administrative complaint against Hydro-Québec requesting information regarding the process for the allocation of the balance of the 300 MW block. The filing of this complaint was justified by the fact that Hydro-Québec, at the time of filing and more than 6 months after the decision rendered by the Régie in Step 3, had still not put in place the allocation process approved by the Régie.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2022, Hydro-Québec responded to the Company’s administrative complaint confirming that the allocation process of the 300 MW block would be opened in September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2022, Hydro-Québec submitted to the Régie its Supply Plan for the period 2023 to 2032 and requested the Régie authorize the suspension of the allocation process for the granting of the balance of the 300 MW reserved block and to reassess the amount of MWs to be allocated to crypto miners for future operations. The Company has actively participated in the regulatory process on the approval, by the Régie, of the Supply Plan and has challenged Hydro-Québec’s request to suspend the allocation of the 300 MW block.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2023, the Régie rendered its decision on Hydro-Québec’s request to suspend the allocation process for the granting of the 300 MW reserved block. The Régie decided to suspend the allocation process while it assessed the Supply Plan submitted by Hydro-Québec. The Company did not challenge this decision but has strongly challenged Hydro-Québec’s request to reduce the amount of power allocated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9, 2023, the Régie approved the reduction to zero MW for the remaining quantity of the reserved block, which totaled approximately 270MW at the time. In addition, the Régie decided to maintain the 32.6 MW of the reserved block that had already been allocated to CB tariff clients. The Régie considered that the potential reallocation of the quantities currently held by these customers in case of their subscriptions being abandoned or cancelled could enable certain companies to continue their development or a few new CB tariff customers to be served. The Régie requested Hydro-Québec to amend the </w:t>
      </w:r>
      <w:r>
        <w:rPr>
          <w:rFonts w:ascii="Times New Roman;Times;Serif" w:hAnsi="Times New Roman;Times;Serif"/>
          <w:b w:val="false"/>
          <w:i/>
          <w:caps w:val="false"/>
          <w:smallCaps w:val="false"/>
          <w:sz w:val="20"/>
        </w:rPr>
        <w:t>Conditions of Service for Cryptographic Use Applied to Blockchains</w:t>
      </w:r>
      <w:r>
        <w:rPr>
          <w:rFonts w:ascii="Times New Roman;Times;Serif" w:hAnsi="Times New Roman;Times;Serif"/>
          <w:b w:val="false"/>
          <w:i w:val="false"/>
          <w:caps w:val="false"/>
          <w:smallCaps w:val="false"/>
          <w:sz w:val="20"/>
        </w:rPr>
        <w:t xml:space="preserve"> and propose a new process for the eventual reallocation of the MW that could become available from the 32.6 MW reserved block already allocated. Hydro-Québec requested, and the Régie accepted, that such new process be presented on or before January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Company’s complaint was suspended at the request of the parties while the Company and Hydro-Québec entered into direct discussions. On January 17, 2024, after settlement discussions proved to be unsuccessful, the Company requested the reactivation of the complaint and that a date of hearing be fixed. On June 5, 2024, the Company decided to withdraw the complaint, following discussions with Hydro-Quebec.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September 20, 2023, Hydro-Québec and the Municipal Electrical Networks were authorized to offer preferential rates in an effort to encourage investment and development in particular regions. Hydro-Québec and Municipal Electrical Networks offered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Cowansville Data Center is subject to a preferential rate of 5% on its first 5 MW of power; and the Farnham Facility is subject to a preferential rate of 20% on its first 10 MW of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Washington State, United States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2021, the Company completed the acquisition of a Data Center in Washington State, United States. The Data Center is powered by the Grant County Power Utility District (“</w:t>
      </w:r>
      <w:r>
        <w:rPr>
          <w:rFonts w:ascii="Times New Roman;Times;Serif" w:hAnsi="Times New Roman;Times;Serif"/>
          <w:b/>
          <w:i w:val="false"/>
          <w:caps w:val="false"/>
          <w:smallCaps w:val="false"/>
          <w:sz w:val="20"/>
        </w:rPr>
        <w:t>Grant PUD</w:t>
      </w:r>
      <w:r>
        <w:rPr>
          <w:rFonts w:ascii="Times New Roman;Times;Serif" w:hAnsi="Times New Roman;Times;Serif"/>
          <w:b w:val="false"/>
          <w:i w:val="false"/>
          <w:caps w:val="false"/>
          <w:smallCaps w:val="false"/>
          <w:sz w:val="20"/>
        </w:rPr>
        <w:t>”).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The Company operates its cryptocurrency Mining activities in several different buildings with their own power meters not exceeding 5 MW each; thus, for the year 2022, the Company was classified in Schedule 7. The applicable rates for Schedule 7 are a demand charge of US$4.96 per KW of billing demand plus a variable component of USD 2.100¢ per kWh for the first 50,000 kWh of consumption and US 1.857¢ per additional kWh of consumption. Historically, rates for Schedule 7 have increased by an annual average of 1.27% per year. Effective February 1, 2023, Grant PUD’s commissioners authorized the addition of cryptocurrency Mining into the Evolving Industry Rate Schedule 17 (“Schedule 17”). The applicable rates for Schedule 17 are a demand charge for US$28.18 per kW plus a variable component of US 0.389¢ per kWh of consumption. Grant PUD may adjust the rate pricing with approval from its Board of Commissioners. An increase in the rates applicable to the Company’s electricity consumption in its operations in Washington State, United States, may adversely impact its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Paraguay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Company completed the construction of a 10 MW Data Center in Villarrica. The Data Center is powered by CLYFSA. CLYFSA is the only private energy distribution company in Paraguay which purchases energy from ANDE, the operator of Paraguay’s national electricity grid, and provides power to almost 15,000 residential and commercial customers in Villarrica.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power purchase agreement with CLYFSA securing 10 MW of hydro-electric energy with a demand charge of US$15.90 per KW of billing demand plus a variable component of US1.422¢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and Price Volatility of Cryptocurrencies.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profitability of the Company’s operations has been and will continue to be significantly affected by changes in the spot price of cryptocurrencies, specifically BTC. Cryptocurrency prices (and BTC prices in particular) are highly volatile, fluctuating due to numerous factors beyond the Company’s control, including speculation and incomplete information, rapidly changing investor sentiment, changes in technology, regulatory changes, fraudulent or malicious actors, media coverage of cryptocurrency, inflation and political or economic events, as well as market acceptance and demand for cryptocurrency. The market price of one BTC, in the Company’s principal market, ranged from approximately US$39,507 to US$106,141 during the year ended December 31, 2024 and ranged from approximately US$16,600 to US$44,700 during the year ended December 31, 2023. Although the Company partially hedges its investment in BTC, such hedging practices may not adequately protect the Company from BTC’s price volatility and surrounding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does not use a formula or specific methodology to determine whether or when it will sell BTC that it holds, or the number of BTC it will sell. Rather, decisions to hold or sell BTC are currently determined by Management by analyzing forecasts and monitoring the market in real time. Such decisions, however wellinformed, may result in untimely sales and even losses, adversely affecting an investment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have been a number of reforms to the regulation of the derivatives markets, both in the United States and internationally. These regulations, and any further changes thereto, or adoption of additional regulations, including any regulations relating to position limits on futures and other derivatives or margin for derivatives, could negatively impact the Company’s ability to hedge its portfolio in an efficient, cost-effective manner by, among other things, potentially decreasing liquidity in the forward commodity and derivatives markets or limiting the Company’s ability to utilize non-cash collateral for derivatives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Volatility may have an impact on the value of the Company’s inventory of cryptocurrencies and could result in margin calls on the Company’s long-term debt collateral BTC with NYDIG as described in Note 18 - </w:t>
      </w:r>
      <w:r>
        <w:rPr>
          <w:rFonts w:ascii="Times New Roman;Times;Serif" w:hAnsi="Times New Roman;Times;Serif"/>
          <w:b w:val="false"/>
          <w:i/>
          <w:caps w:val="false"/>
          <w:smallCaps w:val="false"/>
          <w:sz w:val="20"/>
        </w:rPr>
        <w:t>Long-term Debt</w:t>
      </w:r>
      <w:r>
        <w:rPr>
          <w:rFonts w:ascii="Times New Roman;Times;Serif" w:hAnsi="Times New Roman;Times;Serif"/>
          <w:b w:val="false"/>
          <w:i w:val="false"/>
          <w:caps w:val="false"/>
          <w:smallCaps w:val="false"/>
          <w:sz w:val="20"/>
        </w:rPr>
        <w:t xml:space="preserve">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Supplier Risks.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using certain Miners or otherwise alter its operations and may encounter delays. In addition, the Company may in the future be held directly or indirectly responsible, or be otherwise subject to liability, for actions or omissions of third parties undertaken in connection with the Company’s arrangements with such third parties. Any such responsibility or liability in the future may have a material adverse effect on the Company’s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Competing Blockchain Platforms or Technologies and Alternatives to Bitcoin.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acceptance of competing blockchain platforms or technologies may cause industry participants and consumers to abandon BTC. As BTC is the only digital asset the Company mines, it could face difficulty adapting to emergent digital ledgers, blockchains or alternatives thereto. This could prevent the Company from realizing the anticipated profits from its investments. Such circumstances could have a material adverse effect on the Company’s business, financial condition, results of operations and the value of any BTC mined or otherwise acquired or held for the Company’s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Halving Event.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BTC reward for solving a block is subject to periodic incremental halving. Halving is a process designed to control the overall supply and reduce the risk of inflation in BTC using a proof of work consensus algorithm. At a predetermined block, the Mining reward is cut in half, hence the term “halving”. The BTC blockchain has undergone halvings three times since its inception. Most recently, in April 2024, the BTC Block Reward decreased from 6.25 to 3.125 BTC per block (a “</w:t>
      </w:r>
      <w:r>
        <w:rPr>
          <w:rFonts w:ascii="Times New Roman;Times;Serif" w:hAnsi="Times New Roman;Times;Serif"/>
          <w:b/>
          <w:i w:val="false"/>
          <w:caps w:val="false"/>
          <w:smallCaps w:val="false"/>
          <w:sz w:val="20"/>
        </w:rPr>
        <w:t>BTC Halving</w:t>
      </w:r>
      <w:r>
        <w:rPr>
          <w:rFonts w:ascii="Times New Roman;Times;Serif" w:hAnsi="Times New Roman;Times;Serif"/>
          <w:b w:val="false"/>
          <w:i w:val="false"/>
          <w:caps w:val="false"/>
          <w:smallCaps w:val="false"/>
          <w:sz w:val="20"/>
        </w:rPr>
        <w:t>”), and, consequently, the number of new BTC issued to Miners as a subsidy decreased to approximately 450 per day, excluding transaction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BTC Halving is scheduled to occur once every 210,000 blocks, or roughly every four years, until the total amount of BTC rewards issued reaches 21 million. Once 21 million BTC are generated, the network will stop producing more. The next BTC Halving is expected to occur around March 2028, at which time BTC Block Rewards will decrease from 3.125 BTC per block to 1.5625 BTC per block. While BTC prices have had a history of price fluctuations around BTC Halving events, there is no guarantee that the price change will be favorable or would compensate for the reduction in Mining reward and the corresponding decrease in the compensation the Company receives from the Mining Pool(s) in which it participates.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BTC price and difficulty do not adjust to pre-BTC Halving profitability levels over time, or take longer than expected to adjust, there is a risk that a future BTC Halving will render the Company unprofitable for a sustained time period such that it could be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 Bankruptcy, or Cessation of Operations of Mining Pool Operator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five years, Bitfarms has both mined independently and been a member of multiple third-party Mining Pool operators; however, as of the date hereof, the only Mining Pool operator that Bitfarms participates in is Foundry USA. Consequently, the Company’s operations are substantially reliant on Foundry USA and the terms of services and other terms and conditions that govern its relationship with Foundry USA. Foundry USA has the right to unilaterally modify the service agreement between it and the Company at any time without notice. This includes the right to modify the payout methodology or Mining Pool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Foundry USA is owned indirectly by Digital Currency Group, which also owns Genesis Global Capital (“</w:t>
      </w:r>
      <w:r>
        <w:rPr>
          <w:rFonts w:ascii="Times New Roman;Times;Serif" w:hAnsi="Times New Roman;Times;Serif"/>
          <w:b/>
          <w:i w:val="false"/>
          <w:caps w:val="false"/>
          <w:smallCaps w:val="false"/>
          <w:sz w:val="20"/>
        </w:rPr>
        <w:t>Genesis</w:t>
      </w:r>
      <w:r>
        <w:rPr>
          <w:rFonts w:ascii="Times New Roman;Times;Serif" w:hAnsi="Times New Roman;Times;Serif"/>
          <w:b w:val="false"/>
          <w:i w:val="false"/>
          <w:caps w:val="false"/>
          <w:smallCaps w:val="false"/>
          <w:sz w:val="20"/>
        </w:rPr>
        <w:t>”). On January 19, 2023, Genesis filed for U.S. bankruptcy protection. In the event that Foundry USA (or any other Mining Pool in which the Company participates) ceases making payments to Bitfarms for any reason, including bankruptcy, insolvency or cessation of its operations, or for no reason, or modifies its payout methodology or Mining Pool fees in a manner that is unattractive or unacceptable to Bitfarms, Bitfarms would expect to immediately cease contributing its Hash power to such Mining Pool operator and either: (i) join a different Mining Pool operator; or (ii) commence Mining without a Mining Pool operator. In the event that the Company is unable to make such a switch of its operations in a timely manner and its Mining operations experience significant down time, it may experience an adverse impact on its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control measure, monthly, the Company calculates the revenues it should earn based on its theoretical Hashrate and compares it to the payments the Company received from Foundry USA. As of the date hereof, the Company has not identified any material discrepancies between its calculations and payments actually received from Foundry USA. In the event that the Company identifies a material difference, the Company may have to engage in litigation and/or cease its relationship with Foundry USA, either of which may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 Pool Agreements Governed by Foreign Laws.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between the Company and Foundry USA Pool is governed by the laws of the State of New York. Furthermore, the Mining Pool agreement contains an arbitration provision that requires any dispute arising out of or relating to the Company’s agreement with Foundry Pool, or the breach thereof, to be finally resolved by arbitration before a single arbitrator in the City of New York, New York. The Company may be required to expend significant costs in order to undertake and complete any such arbitration, and there can be no guarantee of any successful outcome of such arbitration. Any such arbitration resulting in a decision unfavorable to Bitfarms may have an adverse impact on its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Mining.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conditions of the Foundry Pool to which the Company is subject, the Company has agreed to release, indemnify and hold Foundry Pool harmless from any and all losses, damages, and expenses, including reasonable attorneys’ fees, rights, claims, actions of any kind and injury (including death), arising out of or relating to the Company’s participation in Foundry Pool. In the event of any such losses, damages, or expenses, the Company may experience an adverse impact on its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Reliance on Manufacturing in Foreign Countries and the Importation of Equipment to the Jurisdictions in Which the Company Operates.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has previously enacted and has proposed to enact new tariffs (or increases of existing tariffs) on certain items imported from other countries. Following their enactment other countries have previously enacted or have proposed to enact new tariffs on imports of U.S. goods. Subsequently, the U.S. and various countries subject to those tariffs have engaged in trade negotiations and, in some instances, agreed to suspend or terminate certain tariffs. It is uncertain whether additional treaties or other trade policies will be enacted or modified by the U.S. or any other government or trade organization in the future. Future changes by the U.S. and foreign governments to trade or investment policies, treaties and tariffs, as well as fluctuations in exchange rates, or the perception that any these changes could occur could adversely affect third party manufacturers on which the Company relies, as well as the future of the Company’s relationships with those third-party manufacturers, which could have an adverse impact on the Company’s business, financial condition and results of operations. In addition, actions by foreign markets to implement further trade policy changes, including limiting foreign investment or trade, increasing regulatory scrutiny or taking other actions that apply to the jurisdictions in which the Company operates or in which third parties with which the Company does business operate, could negatively impact the Company’s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Threats and Breaches.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Threats to network and data security are increasingly diverse and sophisticated, and security breaches, computer malware and computer hacking attacks have been an increasing concern. Despite the Company’s efforts and processes in place to prevent them, its computer servers and systems may be vulnerable to cybersecurity risks, including denial-of-service attacks, physical or electronic break-ins, employee theft or misuse and similar disruptions from unauthorized tampering. As techniques used to breach security change frequently and are generally not recognized until launched against a target, the Company may not be able to promptly detect that a cyber breach has occurred, implement security measures in a timely manner or, when implemented, it may not be able to determine the extent to which these measures could be circumvented.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developments in the cyber threat landscape include the use of AI and machine learning, as well as an increased number of cyber extortion and ransomware attacks, with the potential for higher ransom demand amounts and increasing sophistication and variety of ransomware techniques and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adoption of AI by the Company or by third parties may pose new security challenges. A party who is able to compromise the security measures on the Company’s networks or the security of its infrastructure could misappropriate the proprietary or sensitive information of the Company or employees, or cause interruptions or malfunctions in the Company’s operations. Such a compromise could be particularly harmful to the Company’s brand and reputation. The Company also may be required to expend significant capital and resources to protect against such threats or to alleviate problems caused by cyber breaches in its physical or virtual security systems. Any breaches that may occur in the future could expose the Company to increased risk of lawsuits, regulatory penalties, loss of potential customers, damage relating to loss of proprietary information, harm to the Company’s reputation, and increases in security costs, which could have a material adverse effect on business, financial condition, and results of operations. The cybersecurity regulatory landscape continues to evolve and compliance with the proposed reporting requirements could further complicate the Company’s ability to resolve cyber-attacks While the Company currently does not maintain dedicated cyber risk insurance coverage, Company regularly evaluate the efficacy and commercial viability of such policies through our enterprise risk management framework, with formal reviews conducted annually. Comprehensive cyber risk coverage may be limited in availability, and even when implemented, may not fully cover all potential losses associated with cyber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Fraud and Failure of Cryptocurrency Exchanges, Custodians and Other Trading Venues.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market prices depend, directly or indirectly, on the prices set on exchanges and other trading venues. As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and into early 2023 (namely, FTX Trading Ltd., Celsius Network LLC, BlockFi, Voyager Digital Ltd., Three Arrows Capital, and Genesis Global Holdco LLC), has impacted and may continue to impact the broader cryptocurrency ecosystem, including the Company. In response to these events, the digital asset markets, including the market for BTC specifically, have experienced extreme price volatility and several other entities in the digital asset industry have been, and may continue to be, negatively affected, further undermining confidence in the digital asset markets and in BTC. These events have also negatively impacted the liquidity of the digital asset markets and, in turn, the market price of shares of companies in the cryptocurrency industry, including the Company, as certain entities affiliated with bankrupt cryptocurrency exchanges engaged in significant trading activity. If the liquidity of the digital asset markets continues to be negatively impacted by these events, digital asset prices (including the price of BTC) may continue to experience significant volatility and confidence in the digital asset markets may be further undermined. These and similar events are ongoing and may occur with respect to other participants in the digital asset ecosystem in the future to develop, and it is not possible to predict at this time all of the risks that such events may pose to the Company, its service providers, the other third parties with which it does business or the digital asset industry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had no direct exposure to any of the above-mentioned cryptocurrency companies (other than BlockFi prior to the repayment by the Company of indebtedness under its equipment financing arrangement with BlockFi, as discussed in this AIF) nor any material assets that may not be recovered or may otherwise be lost or misappropriated due to the bankruptcies, the failure or insolvency of large exchanges may cause the price of BTC to fall and decrease confidence in the larger ecosystem, which could adversely affect an investment in the Company. Such market volatility has had a material and adverse effect on the Company’s results of operations and financial condition, and the Company expects its results of operations to continue to be affected by the price of BTC as the results of its operations are significantly tied to the price of BTC.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similar events have had, and, in the future, may have, an adverse impact on the profitability of the Company’s BTC Mining operations and the Company’s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cryptocurrency exchanges or other trading venues are involved in fraud or experience security failures or other operational issues in the future, cryptocurrency prices could be suddenly and adversely impacted. Furthermore, fraud or failure of the current and future custodians of the Company’s BTC or exchanges can result in a direct loss of the Company’s cryptocurrency and fiat currency assets, which loss may not be recoverable by the Company, whether under any insurance policies it has in place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History of De-centralized Financial System.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to traditional and existing centralized financial systems, the cryptocurrency financial system is relatively new and has a limited history. Online cryptocurrency exchanges and trades therein operate with comparatively little regulation and are particularly susceptible to platform failures and fraudulent activities, which may have an adverse effect on the underlying prices of cryptocurrencies. In fact, many of the largest online cryptocurrency exchanges have been compromised by hackers.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these and other factors, traditional banks and other banking institutions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industry difficult or impossible. The Company has experienced and may in the future experience such banking challenges, which could have a material adverse effect on the Company’s business, prospects or operations and potentially the value of any BTC or other cryptocurrencies the Company earns or otherwise acquires or holds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Related to Technological Obsolescence and Difficulty in Obtaining Hardware.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the Company will continue to monitor the state of available technology and invest in hardware and equipment required for maintaining and, as applicable, enhancing its operations and services.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whether at a price that is commercially acceptable to the Company or at all,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Cryptocurrency Network Difficulty and Impact of Increased Global Computing Power.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Difficulty is a measure of how difficult it is to solve the cryptographic hash that is required to validate a block of transactions and earn a cryptocurrency reward from Mining. As Mining companies produce more Hashrate and the BTC Network Hashrate is increased, the BTC Network Difficulty automatically adjust upwards by requiring more Hashrate to be deployed to solve a block. Thus, Mining companies are further incentivized to grow their Hashrate to maintain or improve their chance of earning new BTC rewards. In theory, these dual processes should continually replicate themselves until the supply of available BTC is exhausted. In response, Mining companies have attempted to achieve greater Hashrate by deploying increasingly sophisticated, powerful and expensive Miners in ever greater quantities. If the price of BTC is not sufficiently high to allow the Company to fund its desired Hashrate growth, including through new Miner acquisitions, and if it is otherwise unable to access additional capital to acquire Miners, the Company’s Hashrate may stagnate and fall behind its competitors, potentially resulting in a decline in its revenues, which would have a material adverse effect on the Company’s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open-source structure of the BTC network protocol means the developers to the protocol are typically not directly compensated for their contributions in maintaining and developing the protocol. Failure to properly monitor and upgrade the BTC network protocol could damage the BTC network and could have a material adverse effect on the Company’s business, financial position and results of operations, and could cause the market value of the Company’s common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businesses are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price volatility and, with respect to BTC, any future BTC Halvings, may make certain cryptocurrencies relatively unprofitable to mine compared to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cryptocurrency in certain jurisdictions has led some Mining companies to consider Paraguay as an attractive jurisdiction in which to operate, which may increase competition with the Company and its expansion efforts in Paraguay. Despite the Company’s strategic planning and expected advantages over certain of its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award of coins for solving blocks and any related transaction fees are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BTC may adversely affect their value and result in a reduction in the market price of BTC, which could adversely impact the value of the Company’s cryptocurrency holdings and investments. If miners choose to cease operations, there would be a reduction in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may compete with companies in the power generation industry. New parties may offer wholesale electricity bundled with other products or at prices that are below the Company’s rates. Other companies with which Bitfarms competes in power generation may have greater liquidity, greater access to credit and other financial resources, lower cost structures, more effective risk management policies and procedures, greater ability to incur losses or greater flexibility in the timing of their sale of generation capacity and ancillary services than Bitfarms does. Competitors may also have better access to subsidies or other out-of-market payments that put the Company at a competitive disadvantage.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competitors in the power generation industry may be able to respond more quickly to new laws or regulations or emerging technologies, or to devote greater resources to marketing of wholesale power than Bitfarms can. In addition, current and potential competitors may make strategic acquisitions or establish cooperative relationships among themselves or with third parties. Accordingly, it is possible that new competitors or alliances among current and new competitors may emerge and rapidly gain significant market share. There can be no assurance that the Company will be able to compete successfully against current and future competitors in the power generation industry, and any failure to do so would have a material adverse effect on the Company’s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Uncertainty of acceptance and/or Widespread Use of Cryptocurrencies.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cryptocurrencies are not widely used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individuals to widely utilize currently available, and/or 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markets.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a company with operations in emerging markets entails certain inherent risks.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imports, exports, duties, currency, or other claims by government entities, including retroactive claims and/or changes in the administration of laws, policies and practices; (iii) 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 which, in turn, may have a material adverse effect on the Company’s overall business, financial condition and results of operations, and/or the trading price of the Company’s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Company’s operations in Argentina are subject to frequent and unpredictable changes in tax rates, capital controls, and foreign exchange restrictions, which may restrict or affect the profitability of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following which the government submitted a bill in order to maintain the 30% rate until the end of 2021 and to extend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Data Centers, prevent or restrict development and production at new or contemplated data centers and constrain the Company’s ability to receive distributions from its subsidiaries in those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Hazards Associated with the Operation of Power Generation Facilities, High-voltage Electricity Transmission and Industrial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the Company are subject to typical hazards associated with power generation, high-voltage electricity transmission and the supply of utilities to the Data Centers of the Company at an industrial scale. In particular, power generation involves hazardous activities, including acquiring, transporting and unloading fuel and operating large pieces of equipment. In addition to natural risks such as earthquakes, flood, lightning, hurricane and wind, other human-made hazards, such as nuclear accidents, dam failure, gas or other explosions, mine area collapses, fire, structural collapse, machinery failure and other dangerous incidents are inherent risks in the Company’s operations. These and other hazards can cause significant personal injury or loss of life, severe damage to and destruction of property, plant, equipment, and transmission lines, contamination of, or damage to, the environment and suspension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Company’s employees and contractors work in, and the general public may be exposed to, potentially dangerous environments at or near certain of the Company’s operations. As a result, employees, contractors, and the general public are at risk for serious injury, including loss of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the Company considers adequate, but the Company cannot provide any assurance that its insurance will be sufficient or effective under all circumstances and against all hazards or liabilities to which the Company may be subject and, even if the Company does have insurance coverage for a particular circumstance, the Company may be subject to a large deductible and maximum cap. A successful claim for which the Company is not fully insured could hurt its financial results and materially harm its financial condition.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Increases in Commodity Prices or Reductions in the Availability of Such Commodities.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and intends to continue using certain commodities in its current and future cryptocurrency Mining operations, including hydro-electricity, coal refuse,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recent geopolitical events have had an inflationary effect on the cost of natural gas, the duration and future magnitude of which are difficult to predict given the fluidity of the military conflict, the novelty of sanctions against Russia and the possibility of yet harsher sanctions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Profits/Losses and Production Revenues/Expenses.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development and acquisitions of data centers, and the ongoing operation of the Company’s existing data centers, will require additional capital to fund expenses. The Company’s operating expenses and capital expenditures may also increase in future years as it adds consultants, personnel and equipment associated with the maintenance of its data centers and any other data centers the Company may acquire or develop, potentially leading to a decrease in the Company’s profits if its revenues do not increase correspondingly. The Company may not be successful in obtaining the required financing for these or other purposes, including for general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Natural or man-made events may cause power production to fall below expectations.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electricity generation depends upon its ability to maintain the working order of its coal refuse power generation facility. A natural or man-made disaster, severe weather such as snow and ice storms, or accident could impede the Company’s ability to access the coal refuse that is necessary for its plant to operate, damage its transmission line preventing the Company from distributing power to the PJM grid and its Miners or require the Company to shut down its plant or related equipment, services and facilities. To the extent the Company experiences a prolonged interruption at its plant or a transmission outage due to natural or man-made events, the Company’s electricity generation levels could materially decrease. The Company may also incur significant repair and clean-up costs associated with these events. The effect of the failure of the plant to operate as planned as described above could have a material adverse effect on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 may not be able to operate the power generation facility as planned, which may increase its expenses and decrease its revenues and have an adverse effect on its financial performance.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 of the power generation facility, information technology systems and other assets and conduct of other activities subjects the Company to a variety of risks, including the breakdown or failure of equipment, plant downtimes and related maintenance costs, accidents, security breaches, viruses or outages affecting information technology systems, labor disputes, obsolescence, delivery/transportation problems and disruptions of fuel supply and performance below expected levels. These events may impact the Company’s ability to conduct its businesses efficiently and lead to increased or unexpected costs, expenses or losses. Planned and unplanned outages at the Company’s power generation facilities may require the Company to purchase power at then-current market prices to satisfy its commitments or, alternatively, pay penalties and damages for failure to satisfy them. Having to purchase power at then-market rates could also have a negative impact on the cost structure of certain of the Company’s compute power operations dedicated to mining.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maintains customary insurance coverage for certain of these risks, no assurance can be given that such insurance coverage will be sufficient to compensate the Company fully in the event losses occur and no assurance can be given that such insurance coverage will be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 is exploring using its beneficial ash to capture carbon, but there is no assurance that it will be able to monetize such opportunities.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produces beneficial ash, as a byproduct of the combustion process in its two plants. Bitfarms is exploring opportunities in carbon capture to see if its beneficial ash can capture CO2 from ambient air. Bitfarms is in the early stages of installing direct air capture pilot units at its Scrubgrass Plant, following prior lab-controlled testing by a third-party. The Company does not have sufficient data from its pilot unit to determine the amount of CO2 that can be captured. The Company expects to incur additional costs and expenses with establishing and running its pilot program, and if the Company ultimately decides to expand the program, such costs and expenses may be material. The Company is also exploring opportunities to monetize its carbon capture process, including sales of carbon credits in the private market or applying for certain tax credits. However, the pilot program is in its early stages, and the Company cannot make any assurances as to how successful the program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Company’s contemplated carbon capture program is anticipated to be cash flow negative for the foreseeable future as the Company builds out the necessary infrastructure.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project could comprise a meaningful share of the Company’s cash flow. The Company is not expecting to generate meaningful revenues from its contemplated carbon capture program until, at the earliest, late 2025 or 2026. In the interim, the Company will be incurring costs for the testing and development of the carbon capture infrastructure, including to see, if successful, whether the process is replicable on a larger scale. Although Bitfarms believes that the program could be profitable over time, there are numerous risks and uncertainties that make its timing and quantification difficult to accurately predict. The financial impact of the Company expending capital on these activities before realizing cash flows could negatively impact the Company’s financial condition and operational results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inability to qualify for, obtain, monetize or otherwise benefit from Section 45Q tax credits could materially reduce its ability to develop carbon capture and sequestration projects and, as a result, may adversely impact its business, results of operations and financial condition.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successfully monetize its carbon capture program may depend on its ability to benefit from certain financial and tax incentives. In particular, on August 16, 2022, the Inflation Reduction Act (“IRA”) was enacted in the United States, which, among other things, expanded opportunities to earn tax credits provided under Section 45Q of the Internal Revenue Code of 1986, as amended (the “Code” and such credits, “Section 45Q tax credits”), which generally provides a tax credit for qualified CO2 that is captured using carbon capture equipment and disposed of in secure geological storage or utilized in a manner that satisfies a series of regulatory requirements. The availability or nature of any additional future guidance with respect to the Section 45Q tax credit, and the potential for any other legislative or regulatory changes, is not fully known and the tax law is subject to change and to regulatory guidance which may be unfavorable for the Company. The Company is exploring whether its carbon capture initiatives are eligible to qualify for Section 45Q tax credits. The earliest the Company would be in position to qualify for Section 45Q tax credits is 2025, or more likely, in 2026, if the Company is able to qualify for Section 45Q tax credits at all. Qualification for Section 45Q tax credits requires satisfaction of the applicable statutory and regulatory requirements, including, for example, that the Company use carbon capture equipment to capture qualified CO2 and that the Company physically or contractually ensures the disposal of the qualified CO2 in secure geological storage or, if the Company pursues the CO2 utilization credit under Section 45Q of the Code, that it utilizes the qualified CO2, and that such utilization is characterized and verified by a lifecycle analysis. The amount of Section 45Q tax credits from which the Company may benefit is dependent upon, among other things, its ability to satisfy certain wage and apprenticeship requirements, which the Company cannot assure you that it will satisfy. The Company cannot make any assurances that it will be successful in satisfying such requirements or otherwise qualifying for or obtaining the Section 45Q tax credits currently available or that it will be able to effectively benefit from such tax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Bitfarms management team has limited experience with carbon capture programs and initiatives.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Bitfarms management team have limited experience with carbon capture programs, initiatives, and the related and required infrastructure to develop such programs or initiatives. The Bitfarms management team may not successfully or efficiently manage the Company’s carbon capture programs or initiatives. These new obligations to potentially develop and manage the Company’s carbon capture programs and initiatives will require significant attention from the Bitfarms management team and other employees and could divert their attention away from the day-to-day management of other aspects of the business, which could adversely affect the Company’s business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 is dependent on third parties, including consultants, contractors and suppliers, to develop and advance its carbon capture program and initiatives, and failure to properly manage these relationships, or the failure of these consultants, contractors and suppliers to perform as expected, could have a material adverse effect on the Company’s business, prospects or operations.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relies on third-party consultants, contractors and suppliers to assist with the development of its carbon capture program and initiatives. The Company has no assurance that business interruptions will not occur as a result of the failure by these or consultants, contractors or suppliers to perform as expected. The Company cannot ensure that its consultants, contractors or suppliers will continue to perform services to its satisfaction or on commercially reasonable terms. The recent increased demand for carbon capture components and services may limit the supply of components that brokers may source for the Company. The Company’s consultants, contractors or suppliers may also decline the Company’s orders to fulfill those of the Company’s competitors, putting the Company at competitive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resource constraints or regulatory actions could also impact the Company’s ability to obtain and receive components needed to advance its carbon capture program and initiatives. If the Company’s consultants, contractors or suppliers are not able to provide the agreed services at the level of quality and quantity Bitfarms requires, the Company may not be able to replace such consultants, contractors and suppliers in a timely manner. Any delays, interruption or increased costs could have a material adverse effect on the Company’s business, prospects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Center Developments.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continued development of existing and planned Data Centers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See Note 7 - </w:t>
      </w:r>
      <w:r>
        <w:rPr>
          <w:rFonts w:ascii="Times New Roman;Times;Serif" w:hAnsi="Times New Roman;Times;Serif"/>
          <w:b w:val="false"/>
          <w:i/>
          <w:caps w:val="false"/>
          <w:smallCaps w:val="false"/>
          <w:sz w:val="20"/>
        </w:rPr>
        <w:t>Expansion Projects</w:t>
      </w:r>
      <w:r>
        <w:rPr>
          <w:rFonts w:ascii="Times New Roman;Times;Serif" w:hAnsi="Times New Roman;Times;Serif"/>
          <w:b w:val="false"/>
          <w:i w:val="false"/>
          <w:caps w:val="false"/>
          <w:smallCaps w:val="false"/>
          <w:sz w:val="20"/>
        </w:rPr>
        <w:t>, for a discussion of the status of the Company’s various development efforts, including, in particular, in Argentina and Paraguay.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success of the Company’s hosting business depends in large part on the Company’s ability to attract customers in a profitable manner.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the Company’s hosting business depends in large part on the Company’s ability to earn BTC and to attract customers in a profitable manner, which the Company may not be able to do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reduction in the demand for BTC causing the price of BTC to fall and the demand for the Company’s hosted Mining solutions to be negatively impacted, reducing the Company’s revenue;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energy costs, supply chain disruptions or government regulation compliance costs increase Mining costs and reduce revenue and profitability;</w:t>
            </w:r>
          </w:p>
        </w:tc>
      </w:tr>
    </w:tbl>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fails to provide competitive hosting terms or effectively market them to potential customers;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hosting services that are deemed by existing and potential customers or suppliers to be inferior to those of the Company’s competitors, or that fail to meet customers’ or suppliers’ ongoing and evolving program qualification standards, based on a range of factors, including available power, preferred design features, security considerations and connectivity;</w:t>
            </w:r>
          </w:p>
        </w:tc>
      </w:tr>
    </w:tbl>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fails to successfully communicate the benefits of its services to potential customers;</w:t>
            </w:r>
          </w:p>
        </w:tc>
      </w:tr>
    </w:tbl>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unable to provide services that its existing and potential customers desire; 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the Company or its customers are unable to secure an adequate supply of new generation digital asset Mining equipment to host with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generates a meaningful share of its hosting revenue from a small number of customers, and the loss of, or a significant decrease in business from, a number of these customers and/or a failure to attract new customers could have a material adverse effect on the Company’s business, financial condition, and results of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generated a significant share of its hosting revenue from a small number of customers. Any failure to meet customer expectations could result in the cancellation or non-renewal of hosting contracts and loss of associated revenue. Any event leading to the early termination of a hosting contract, including, but not limited to, customer bankruptcy or force majeure events that disrupt facility operations or damage customer Miners, could result in the loss of revenue associated with those contracts. If the Company were unable to offset lost revenue by refilling vacant capacity with other Miners in the case of hosting customer churn or by repossessing Miners in the case of hosting customer default, it could have a material adverse effect on the Company’s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Price Fluctuations.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Company’s common shares fluctuates significantly in response to several factors, most of which the Company cannot control and many of which have not necessarily been related to the operating performance, underlying asset values or prospects of the Company. The market price of the Company’s common shares ranged from $1.49 to $3.61 on Nasdaq and CAD$2.13 to CAD$4.86 on the Toronto Stock Exchange from January 1, 2024, to December 31, 2024. Refer to “</w:t>
      </w:r>
      <w:r>
        <w:rPr>
          <w:rFonts w:ascii="Times New Roman;Times;Serif" w:hAnsi="Times New Roman;Times;Serif"/>
          <w:b w:val="false"/>
          <w:i/>
          <w:caps w:val="false"/>
          <w:smallCaps w:val="false"/>
          <w:sz w:val="20"/>
        </w:rPr>
        <w:t>Valuation and Price Volatility of Cryptocurrencies and Mining Equipment</w:t>
      </w:r>
      <w:r>
        <w:rPr>
          <w:rFonts w:ascii="Times New Roman;Times;Serif" w:hAnsi="Times New Roman;Times;Serif"/>
          <w:b w:val="false"/>
          <w:i w:val="false"/>
          <w:caps w:val="false"/>
          <w:smallCaps w:val="false"/>
          <w:sz w:val="20"/>
        </w:rPr>
        <w:t>” above for more details. Other factors that may impact the trading price of the Company’s common shares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price of Bitcoin;</w:t>
            </w:r>
          </w:p>
        </w:tc>
      </w:tr>
    </w:tbl>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the Company’s results of operations and/or future prospects;</w:t>
            </w:r>
          </w:p>
        </w:tc>
      </w:tr>
    </w:tbl>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recommendations by securities research analysts;</w:t>
            </w:r>
          </w:p>
        </w:tc>
      </w:tr>
    </w:tbl>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companies in the industry in which the Company operates;</w:t>
            </w:r>
          </w:p>
        </w:tc>
      </w:tr>
    </w:tbl>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 to or departure of the Company’s executive officers, directors, and/or other key personnel;</w:t>
            </w:r>
          </w:p>
        </w:tc>
      </w:tr>
    </w:tbl>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sales or perceived sales of the Company’s common shares;</w:t>
            </w:r>
          </w:p>
        </w:tc>
      </w:tr>
    </w:tbl>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financial performance that vary from the expectations of management, securities analysts, and investors;</w:t>
            </w:r>
          </w:p>
        </w:tc>
      </w:tr>
    </w:tbl>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changes affecting the Company’s industry generally and its business and operations;</w:t>
            </w:r>
          </w:p>
        </w:tc>
      </w:tr>
    </w:tbl>
    <w:tbl>
      <w:tblPr>
        <w:tblW w:w="7908" w:type="dxa"/>
        <w:jc w:val="left"/>
        <w:tblInd w:w="0" w:type="dxa"/>
        <w:tblLayout w:type="fixed"/>
        <w:tblCellMar>
          <w:top w:w="0" w:type="dxa"/>
          <w:left w:w="0" w:type="dxa"/>
          <w:bottom w:w="0" w:type="dxa"/>
          <w:right w:w="0" w:type="dxa"/>
        </w:tblCellMar>
      </w:tblPr>
      <w:tblGrid>
        <w:gridCol w:w="38"/>
        <w:gridCol w:w="17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developments and other material events by the Company or its competitors;</w:t>
            </w:r>
          </w:p>
        </w:tc>
      </w:tr>
    </w:tbl>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to the costs of vital products and services used by the Company in its business;</w:t>
            </w:r>
          </w:p>
        </w:tc>
      </w:tr>
    </w:tbl>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global financial markets, global economies, and/or general market conditions, such as interest rates;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acquisitions or business combinations, strategic partnerships, joint ventures, or capital commitments by or involving the Company or its competitors;</w:t>
            </w:r>
          </w:p>
        </w:tc>
      </w:tr>
    </w:tbl>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regulatory action against the Company;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reports, investor speculation, social media, chat rooms, and other methods of information dissemination concerning trends, concerns, technological, or competitive developments, regulatory matters, and other related issues in the Company’s industry or target markets;</w:t>
            </w:r>
          </w:p>
        </w:tc>
      </w:tr>
    </w:tbl>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short interest in the Company’s stock; and</w:t>
            </w:r>
          </w:p>
        </w:tc>
      </w:tr>
    </w:tbl>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future global economic, political, and social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following periods of volatility in the market price of a company’s securities, securities class-action litigation has often been brought against that company. The Company may become the subject of such litigation in the future, which litigation may be expensive to defend and may divert Management’s attention and resources from the operation of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must comply with the continued listing requirements of the Toronto Stock Exchange, Nasdaq or any other securities exchange on which its securities are listed in the future to avoid its securities being delisted. A delisting from the Toronto Stock Exchange and/or Nasdaq would result in the Company’s common shares being eligible for quotation on the over-the-counter (OTC) market. The OTC’s lower trading volumes, transaction delays and reduced security analyst and news media coverage could contribute to lower prices and larger spreads in the bid and ask prices for the Company’s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Capital Needs, Uncertainty of Additional Financing and Dilution.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cash of $59.6 million, compared to $84.0 million as of December 31, 2023. The Company expects to continue to depend upon selling BTC earned and in treasury and utilizing short-term debt, long-term debt and equity instruments to fund its ongoing expansion activities, operating expenses and debt service requirements. In connection with the Stronghold Transaction, the Company issued 59,866,852 common shares, and may, in its sole discretion, as part of future offerings, issue additional common shares and/or securities convertible into or exercisable for common shares from time to time subject to the rules of any applicable stock exchange on which the common shares are then listed and applicable securities law.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or private financing, strategic relationships or other arrangements. The ability of the Company to secure any required financing will depend in part upon prevailing capital market conditions and business success. There can be no assurance that the Company will be successful in its efforts to secure any additional financing on terms satisfactory to Management or at all. Even if such funding is available, the Company cannot predict the size of future issues of common shares or securities convertible into common shares or the effect, if any, that future issues and sales of common shares will have on the price of the Company’s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raises additional capital through the issuance of equity securities, the percentage ownership of the Company’s existing shareholders may be reduced, and such existing shareholders may experience additional dilution in net book value per share. Any such newly issued equity securities may also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and capital expenditures, increase the Company’s vulnerability to general adverse economic and industry conditions, place the Company at a competitive disadvantage compared to its competitors that have less debt, limit the Company’s ability to borrow additional funds, and otherwise subject the Company to the risks discussed under “</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below and heighten the possible effects of the other risks discussed in these risk factors. In connection with any such future capital raising transaction, whether involving the issuance of equity securities or the incurrence of indebtedness, the Company may be required to accept terms that restrict its ability to raise additional capital for a period of time, which may limit or prevent the Company from raising capital at times when it would otherwise be opportunistic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various arrangements with short-term lenders as described in more detail in this AIF</w:t>
      </w:r>
      <w:r>
        <w:rPr>
          <w:rFonts w:ascii="Times New Roman;Times;Serif" w:hAnsi="Times New Roman;Times;Serif"/>
          <w:b w:val="false"/>
          <w:i w:val="false"/>
          <w:caps w:val="false"/>
          <w:smallCaps w:val="false"/>
          <w:sz w:val="20"/>
          <w:shd w:fill="FFFFFF" w:val="clear"/>
        </w:rPr>
        <w:t xml:space="preserve">,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any agreements governing the Company’s debt obligations may contain financial covenants and covenants that restrict the Company’s and its subsidiaries’ ability to:</w:t>
      </w:r>
    </w:p>
    <w:p>
      <w:pPr>
        <w:pStyle w:val="TextBody"/>
        <w:bidi w:val="0"/>
        <w:spacing w:before="0" w:after="0"/>
        <w:ind w:left="0" w:right="0" w:hanging="0"/>
        <w:jc w:val="left"/>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incur additional indebtedness or issue equity securities; </w:t>
            </w:r>
          </w:p>
        </w:tc>
      </w:tr>
    </w:tbl>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create liens on the Company’s assets;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pay dividends or make other equity distributions; </w:t>
            </w:r>
          </w:p>
        </w:tc>
      </w:tr>
    </w:tbl>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repurchase the Company’s equity securities; </w:t>
            </w:r>
          </w:p>
        </w:tc>
      </w:tr>
    </w:tbl>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make certain investments; </w:t>
            </w:r>
          </w:p>
        </w:tc>
      </w:tr>
    </w:tbl>
    <w:tbl>
      <w:tblPr>
        <w:tblW w:w="1443" w:type="dxa"/>
        <w:jc w:val="left"/>
        <w:tblInd w:w="0" w:type="dxa"/>
        <w:tblLayout w:type="fixed"/>
        <w:tblCellMar>
          <w:top w:w="0" w:type="dxa"/>
          <w:left w:w="0" w:type="dxa"/>
          <w:bottom w:w="0" w:type="dxa"/>
          <w:right w:w="0" w:type="dxa"/>
        </w:tblCellMar>
      </w:tblPr>
      <w:tblGrid>
        <w:gridCol w:w="38"/>
        <w:gridCol w:w="17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sell assets; and</w:t>
            </w:r>
          </w:p>
        </w:tc>
      </w:tr>
    </w:tbl>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consolidate, merge, sell or otherwise dispose of all or substantially all the Company’s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a result of any such restrictive covenants, the Company could be limited in the manner in which it conducts its business, and it may be unable to engage in favorable business activities or finance future operations or capital needs. In addition, debt instruments may contain affirmative covenant obligations (e.g., debt to equity ratios, EBITDA requirements, etc.) that may constrain the Company’s financing opportunities and business activities. Any violation by the Company of any of such restrictive or affirmative covenants or failure by the Company to meet payment obligations (as was the case in early 2023 in respect of the Company’s strategic decision to delay the making of principal and interest payments on its previously outstanding loan from BlockFi) could provide the lender with the ability to accelerate the maturity of the indebtedness and exercise a variety of remedies, including foreclosing on any collateral securing the debt. The occurrence of any such violation by the Company and the exercise by its lenders of remedies with respect to any such violation could have a material adverse effect on the Company’s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Hedges.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actively engages in hedging practices with respect to its cryptocurrency holdings to lessen the impact of BTC volatility on the Company’s results of operations and financial condition and to optimize cryptocurrency monetization. Although the Company undertakes hedging activities on a risk adjusted basis, there can be no certainty that such activities will be profitable, and these activities could result in significant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hedging practices involve transactions with third parties. Any settlement delay or failure, security breach, incurred cost or loss of digital assets associated with the use of a counterparty could materially and adversely affect the execution of hedging strategies and result in significant losses. Although the Company maintains rigorous controls on the implementation and monitoring of hedging strategies, including its involvement with counterparties, there can be no assurance that such controls will be effective or timely or sufficient in operation to avoid or even reduce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Financial Conditions.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financial conditions over the last few years have been characterized by volatility, which has contributed to the bankruptcy of several financial institutions in the United States or the rescue thereof by governmental authorities. The continuation of such adverse economic conditions and other related factors may affect the ability of the Company to obtain equity or debt financing in the future on terms favorable to it, or at all, and may cause decreases in asset values that are deemed to be other than temporary, which may result in impairment losses. If such levels of volatility and market turmoil continue, the financial condition of the Company may suffer and the price of the Company’s common shares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engages in hedging practices with respect to its cryptocurrency holdings to lessen the impact of BTC volatility, and, in the future, the Company may enter into additional hedging transactions to mitigate its exposure to aspects of the economy or specific economic conditions that are particularly volatile, such as interest rates. Although hedging is expected to reduce the impact of these aforementioned risks, entering into hedging transactions may expose the Company to risks associated with such transactions. Hedging against a decline in the values of the Company’s assets caused by interest rate risk or volatile BTC market prices does not eliminate the possibility of fluctuations in the values of such positions or prevent losses if the values of such positions decline for other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Retention and Growth.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depends on a number of key employees including, in particular, the members of the Company’s Management, the departure, death, disability or other extended loss of services of any of whom, particularly with little or no notice, could cause delays on projects, frustrate the Company’s growth prospects and have an adverse impact on the Company’s industry relationships, project exploration and development programs, other aspects of its business and its financial condition, results of operations, cash flow and prospects. The Company has not historically purchased, and, in the future, does not expect to purchase, key person insurance on such individuals, which insurance would provide the Company with insurance proceeds in the event of their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and development of the business of the Company also depends on its ability to attract and retain highly qualified management and Mining personnel while maintaining its corporate culture and technical standards. The Company faces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Noise Pollution and Community Opposition.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Mining operations involve the use of a large number of high-powered Miners and cooling systems that generate significant noise. This noise can pose several risks to the Company’s business including community complaints, reputational damage, litigation risk, regulatory risk, operational constraints, increased costs and opposition to expansion. These risks could lead to fines or penalties imposed by local governments, requirements to implement costly noise mitigation measures, restrictions on the Company’s operating hours, reduction of scale of the Company’s operations, stricter noise controls regulations on the Company’s operations, potential shutdown of data centers that cannot meet local noise regulations, damages resulting from lawsuits and difficulty obtaining necessary permits and approvals for expanding existing data centers or establishing new site operations. While the Company strives to be a good corporate citizen and mitigate noise impacts where possible, the inherently noisy nature of large-scale cryptocurrency Mining operations presents ongoing risks to the Company’s business that may negatively affect its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Land reclamation requirements may be burdensome and expensive.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partnership with the PADEP and local environmental authorities to reclaim coal refuse piles. Reclamation may include requirements to control dispersion of potentially deleterious effluents, treat ground and surface water to drinking water standards and reasonably re-establish pre-disturbance landforms and vegetation. To carry out reclamation obligations, the Company must allocate financial resources that might otherwise be spent on implementing the Company’s business plan. If the costs associated with the Company’s reclamation work are higher than anticipated, the Company’s financial position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tax credits related to coal refuse power generation could have a material adverse effect on the Company’s business, financial condition, results of operations and future development efforts.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profitability of the Company’s operations at Scrubgrass and Panther Creek depends, in part, on the continued availability of state renewable energy tax credits offered by the Commonwealth of Pennsylvania, US through programs such as the one established under The Alternative Energy Portfolio Standards Act of 2004 or the Coal Refuse Energy and Reclamation Tax Credit Program established by Act 84 of July 13, 2016. These tax credit programs could be changed or eliminated as a result of state budget considerations or otherwise. Reduction or elimination of such credits could materially and adversely harm the Company’s business, financial condition, results of operations and future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combustion of coal refuse at the Company’s Scrubgrass and Panther Creek power generating facilities is subject to environmental, safety and energy transition risks that could result in significant liabilities and adversely impact the Company’s business, financial condition and results of operations.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and use of coal refuse as feedstock at its power generating facilities, including the combustion, storage, and transportation of coal refuse, present a series of environmental and human health and safety risks. Such risks, including the accidental release of coal refuse and other materials into the environment, among others, may not be fully avoidable and could cause the Company to incur significant clean-up costs and liabilities. The Company may not be able to recover some or any of these costs from insurance. The Company’s combustion of coal refuse is also subject to stringent federal, state and local laws and regulations governing air and water quality, hazardous and solid waste disposal and other environmental matters. Compliance with these requirements requires significant expenditures for the installation, maintenance and operation of pollution control equipment, monitoring systems and other equipment or facilities. Any policy initiatives or directives, either at the federal or state level, limiting the Company’s ability to use coal refuse as feedstock at its Scrubgrass and Panther Creek power generating facilities could adversely impact the Company’s operations and potentially reduce the extent of the Company’s business, any of which could have a material adverse effect on the Company’s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availability and cost of emission allowances due to the cost of coal refuse could adversely impact the Company’s costs of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maintain, through either allocations or purchases, sufficient emission allowances for sulfur dioxide, CO2 and NOx to support the Company’s operations in the ordinary course of operating its power generation facilities. These allowances are used to meet the obligations imposed on the Company by various applicable environmental laws. If the Company’s operational needs require more than its allocated allowances, the Company may be forced to purchase such allowances on the open market, which could be costly. If the Company is unable to maintain sufficient emission allowances to match its operational needs, the Company may have to curtail its operations so as not to exceed its available emission allowances or install costly new emission controls. As the Company uses the emission allowances that it has purchased on the open market, costs associated with such purchases will be recognized as operating expense. If such allowances are available for purchase, but only at significantly higher prices, the purchase of such allowances could materially increase the Company’s costs of operations in the affected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Regulations and Environmental Liability.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extensive environmental regulation by governmental authorities, including the US and Canadian federal, state, and provincial environmental agencies and attorneys general. The Company’s operations may be subject to foreign, federal, state, provincial, and local laws and regulations, related to air and water quality, hazardous and solid waste disposal, and other environmental matters. The Company may incur significant additional costs beyond those currently contemplated to comply with these regulatory requirements. If the Company fails to comply with these regulatory requirements, the Company could be forced to reduce or discontinue operations or become subject to administrative, civil, or criminal liabilities and fines. Existing environmental regulations could be revised or reinterpreted, new laws and regulations could be adopted or become applicable to the Company or its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threat of climate change continues to attract considerable attention in the United States and foreign countries and, as a result, the Company’s operations are subject to regulatory, political, litigation and financial risks associated with the use of fossil fuels, including coal refuse, and emission of GHGs. New or amended legislation, executive actions, regulations or other regulatory initiatives pertaining to GHG emissions and climate change could result in the imposition of more stringent standards and could result in increased compliance costs or costs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such requirements could result in the shutdown of a non-complying facility, the imposition of liens, fines, and/or civil or criminal liability and/or costly litigation before the agencies and/or in state of federal court. Additionally, political, financial and litigation risks may result in the Company restricting, delaying or canceling the extent of its business activities, incurring liability for infrastructure damages as a result of climatic changes, or impairing the ability to continue to operate in an economic manner. The regulatory environment has undergone significant changes in the last several years due to state and federal policies affecting wholesale competition and the creation of incentives for the addition of large amounts of new renewable generation and, in some cases, transmission. Fuel conservation measures, alternative fuel requirements and increasing consumer demand for alternative energy sources (such as Pennsylvania’s Tier I Alternative Energy Sources, including solar photovoltaic energy, wind power, and low-impact hydropower) that do not generally have the adverse environmental impact or regulatory scrutiny associated with the combustion of coal or other fossil fuels could also reduce demand for coal refuse power generation facility activities. The occurrence of one or more of these developments could have a material adverse effect on the Company’s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crypto asset Mining has become subject to increased scrutiny regarding its energy consumption and impact on global emissions. In the future, the EPA or other regulatory authorities may propose and finalize additional regulatory actions that may adversely affect the Company’s facilities, including its Scrubgrass and Panther Creek power generation facilities, or the Company’s ability to cost-effectively develop any new generation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environmental activist groups and non-governmental organizations have also lobbied for emissions and energy use monitoring and reporting requirements for crypto asset Mining companies or even more extensive regulation of the crypto asset Mining sector. These efforts have the potential to lead to increased regulatory burdens on the Company’s Mining operations and cause the Company reputational harm by highlighting crypto asset Mining’s impact, however proportionate or disproportionate compared to other economic sectors, on global emissions. The Company is unable to predict whether currently proposed legislation or regulatory initiatives will be implemented, but any action by the jurisdictions in which the Company operates to restrict, limit, condition, or otherwise regulate its power production or crypto asset Mining operations, as part of a climate change or energy transition policy initiative or otherwise, could adversely affect the Company’s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ceased to qualify as an “emerging growth company” as of December 31, 2024, and is required to comply with the auditor attestation requirements of Section 404(b) of the Sarbanes-Oxley 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was previously an “emerging growth company” as defined in the Jumpstart our Business Startups Act of 2012 and was able to take advantage of certain exemptions and relief from various reporting requirements that are applicable to other public companies that are not emerging growth companies. As an emerging growth company, Bitfarms was not required to comply with the auditor attestation requirements of Section 404(b) of the Sarbanes-Oxley Act of 2002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However, Bitfarms ceased to qualify as an emerging growth company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Bitfarms no longer qualifies as an emerging growth company, the exemption from the auditor attestation report requirements under Section 404(b) of the Sarbanes-Oxley Act no longer applies. Recent testing by Bitfarms conducted in connection with Section 404(b) of the Sarbanes-Oxley Act revealed a material weakness in its internal controls with respect to accounting for digital asset sales and warrants, which led to a restatement of the fiscal years ended December 31, 2023 and 2022 and the related management’s discussion and analysis for the year ended December 31, 2023, as well as the unaudited interim condensed consolidated financial statements as at September 30, 2024 and for the three and nine months ended September 30, 2024 and 2023. Subsequent testing by Bitfarms’ independent registered public accounting firm conducted in connection with Section 404(b) of the Sarbanes-Oxley Act, may reveal further deficiencies in Bitfarms’ internal control over financial reporting that are deemed to be material weaknesses or that may require prospective or retroactive changes to Bitfarms’ financial statements or identify other areas for further attention or improvement. Any material weaknesses in internal controls could cause investors to lose confidence in Bitfarms’ reported financial information, which could have a negative effect on the trading price of Bitfarms common shares. In addition, preparation of the auditor’s attestation report and the cost of compliance with reporting requirements that Bitfarms has not previously implemented have increased, and will continue to increase, Bitfarms’ expenses and require significant management time, and investors may find Bitfarms common shares less attractive because of the additional compliance costs, which could have a negative impact on the trading price of Bitfarms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business could be negatively impacted by unsolicited investor interest, takeover proposals, shareholder activism or proxy contests relating to the election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2024, Bitfarms received an unsolicited proposal from Riot to acquire 100% of the issued and outstanding common shares of Bitfarms (the “Unsolicited Proposal”). A special committee of the Board, consisting solely of independent directors (the “Bitfarms Special Committee”), considered the Unsolicited Proposal and determined it significantly undervalued Bitfarms and its growth prospects. On June 24, 2024, the Unsolicited Proposal was withdrawn; however, Riot requisitioned a special meeting of Bitfarms shareholders (the “Bitfarms Special Meeting”) for the purpose of replacing a majority of the Board with three of its nominees and initiated a hearing before the Capital Markets Tribunal of the Ontario Securities Commission. On September 3, 2024, Riot amended its requisition, instead seeking to replace two members of the Board with two of its nominees at the Bitfarms Special Meeting and also threatened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Bitfarms entered into a settlement agreement (the “Settlement Agreement”) with Riot, pursuant to which, among other things, Riot agreed to withdraw its June 24, 2024 requisition and to accept customary standstill provisions through Bitfarms’ 2026 annual meeting, subject to certain exceptions, and Bitfarms agreed to make certain changes to its Board, including the resignation of an existing director, the appointment of a nominee of the investor to the Board and the governance and nominating and compensation committees of the Board, and to seek approval from the Bitfarms shareholders at the Bitfarms Special Meeting to, among other things, expand the Board from five to six members and elect an independent director nominated by the Board to serve as the sixth member of the Board. Bitfarms also provided Riot with certain rights (subject to certain exceptions) to purchase shares of Bitfarms, provided the investor holds 15% or more of the outstanding Bitfarms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events surrounding the Unsolicited Proposal, Bitfarms Special Meeting, Settlement Agreement and related circumstances and Bitfarms’ responses thereto required significant time and attention by Bitfarms’ management team and Board and required Bitfarms to incur significant legal and advisory fees and expenses. In the future, similar actions taken by third parties, including unsolicited takeover proposals, the initiation of proxy contests and litigation by adverse parties could disrupt Bitfarms’ business, distract Bitfarms from efforts to improve its business, cause Bitfarms to incur substantial additional expenses, create perceived uncertainties as to Bitfarms’ future direction and result in significant fluctuations in the price of Bitfarms common shares, all of which could harm Bitfarms’ business and materially and adversely affect its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Significant costs and demands upon Management and accounting and finance resources as a result of complying with the laws and regulations affecting public companies.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As a public company, the Company incurs significant administrative, legal, accounting and other burdens and </w:t>
      </w:r>
      <w:r>
        <w:rPr>
          <w:rFonts w:ascii="Times New Roman;Times;Serif" w:hAnsi="Times New Roman;Times;Serif"/>
          <w:b w:val="false"/>
          <w:i w:val="false"/>
          <w:caps w:val="false"/>
          <w:smallCaps w:val="false"/>
          <w:sz w:val="20"/>
        </w:rPr>
        <w:t>expenses beyond those of a private company, including public company reporting obligations and Toronto Stock Exchange and Nasdaq listing requirements. In particular, the Company has needed, and continues to need, to enhance and supplement its internal accounting resources with additional accounting and finance personnel with the requisite technical and public company experience and expertise to enable the Company to satisfy such reporting obli</w:t>
      </w:r>
      <w:r>
        <w:rPr>
          <w:rFonts w:ascii="Times New Roman;Times;Serif" w:hAnsi="Times New Roman;Times;Serif"/>
          <w:b w:val="false"/>
          <w:i w:val="false"/>
          <w:caps w:val="false"/>
          <w:smallCaps w:val="false"/>
          <w:sz w:val="20"/>
          <w:shd w:fill="FFFFFF" w:val="clear"/>
        </w:rPr>
        <w:t xml:space="preserve">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Expense and impact of restatement of the Company’s historical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Bitfarms determined that the consolidated financial statements as at and for the fiscal years ended December 31, 2023 and 2022 and the related management’s discussion and analysis for the year ended December 31, 2023, as well as the unaudited interim condensed consolidated financial statements as at September 30, 2024 and for the three and nine months ended September 30, 2024 and 2023 and the related management’s discussion and analysis for the three and nine months ended September 30, 2024, should be restated (the “Restatement”) in response to the SEC staff’s comments and to: (a) correct a material error in the statement of cash flows by reclassifying proceeds from the sales of digital assets from cash flows from operations to cash flows from investing activities; and (b) correct errors identified in the Company’s accounting for the 2023 exercises of warrants issued in connection with a private placement financing in 2023, resulting in an increase in the share capital and net financial expenses. For more information, see Section </w:t>
      </w:r>
      <w:r>
        <w:rPr>
          <w:rFonts w:ascii="Times New Roman;Times;Serif" w:hAnsi="Times New Roman;Times;Serif"/>
          <w:b w:val="false"/>
          <w:i/>
          <w:caps w:val="false"/>
          <w:smallCaps w:val="false"/>
          <w:sz w:val="20"/>
        </w:rPr>
        <w:t>Management’s Report on Internal Controls over Financial Reporting</w:t>
      </w:r>
      <w:r>
        <w:rPr>
          <w:rFonts w:ascii="Times New Roman;Times;Serif" w:hAnsi="Times New Roman;Times;Serif"/>
          <w:b w:val="false"/>
          <w:i w:val="false"/>
          <w:caps w:val="false"/>
          <w:smallCaps w:val="false"/>
          <w:sz w:val="20"/>
        </w:rPr>
        <w:t xml:space="preserve"> to the Financial Statements. It is difficult to predict all of the ramifications to the Company from the Restatement. The restatement process was time and resource-intensive and involved substantial attention from management and significant costs and expenses, including for professional advisors assisting with the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Restatement is now completed, it is possible that the Company will receive future inquiries from the SEC, Canadian securities regulators, TSX and/or Nasdaq regarding the Financial Statements, MD&amp;A or related matters, which could consume a significant amount of resources and could cause shareholders, investors and business partners to lose confidence in the accuracy and completeness of the Company’s financial statements, which may cause the market price of the Company’s common shares to decline. Moreover, many companies that have been required to restate their historical financial statements have experienced volatility in stock prices and declines in stock prices and shareholder lawsuits, which can be expensive to defend and divert Management attention and resources. The Company may suffer similar consequences as a result of the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Comprehensive Accounting Guidance for Cryptocurrencies under IFRS Accounting Standards.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there has been limited precedent set and a lack of specific accounting guidance for cryptocurrencies under certain applicable accounting standards, including, among other things, revenue recognition, it is unclear how BTC miners (in particular, non-U.S. companies like the Company that utilize IFRS Accounting Standards) may be required to account for cryptocurrency operations, transactions and assets and related revenue recognition. A change in regulatory or financial accounting standards, or interpretations thereof by the SEC, particularly as they relate to the Company and the financial accounting of its BTC-related operations, could result in changes in the Company’s accounting policies. Further, unlike in the case of U.S. generally accepted accounting principles where the Financial Accounting Standards Board has recently issued ASU 2023-08, which addresses the accounting and disclosure requirements for certain crypto assets, no similar guidance has yet been issued in respect of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accounting policies of many BTC Mining companies are being subjected to heightened scrutiny by regulators and the public. More specifically, the Company had previously received comments from the staff of the SEC’s Division of Corporation Finance Office of Crypto Assets on the financial statements included in the Company’s annual reports on Form 40-F for the years ended December 31, 2022 and 2023 filed with the SEC, which comments focused on the accounting of the Company’s BTC-related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as a result of the SEC’s determinations as to the application of the relevant IFRS Accounting Standards, the Company could be obligated in the future to further restate historical financial statements. In connection with any such restatement, as well as the Restatement, the market price of the Company’s common shares could be adversely affected, and the Company could become subject to private litigation or to investigations or enforcement actions by the SEC or other regulatory authorities, all of which could require the Company’s expenditure of additional financial and management resources. Furthermore, any continued uncertainty with regard to financial accounting matters, particularly as they relate to the Company, the financial accounting of its BTC-related operations and the SEC comments the Company has previously received in respect of such matters, could negatively impact the Company’s business, prospects, financial condition and results of operations and its ability to raise capital on terms acceptable to the Company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Internal Control Material Weakness.</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National Instrument 52-109 Certification of Disclosure in Issuers’ Annual and Interim Filings and Section 404 of the Sarbanes-Oxley Act of 2002 (the “Sarbanes-Oxley Act”), the Company is required to document and test its internal control procedures and prepare annual management assessments of the effectiveness of the Company’s internal control over financial reporting. The Company’s assessments must include disclosure of identified material weaknesses in its internal control over financial reporting. The Company’s independent registered public accounting firm must also attest to the effectiveness of the Company’s internal control over financial reporting. The existence of one or more material weaknesses could affect the accuracy and timing of the Company’s financial reporting. Testing and maintaining internal control over financial reporting involves significant costs and could divert management’s attention from other matters that are important to the Company’s business. Additionally, the Company may not be successful in remediating any deficiencies that may be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Management identified a material weakness in the effectiveness of the Company’s ICFR for each of the years ended December 31, 2021, 2022, 2023 and 2024 related to controls over accounting for complex transactions. For more information, including a description of the remediation efforts that the Company believes are required to address the identified material weakness, refer to the “Disclosure Controls and Procedures” and “Internal Control over Financial Reporting” sections in </w:t>
      </w:r>
      <w:r>
        <w:rPr>
          <w:rFonts w:ascii="Times New Roman;Times;Serif" w:hAnsi="Times New Roman;Times;Serif"/>
          <w:b w:val="false"/>
          <w:i w:val="false"/>
          <w:caps w:val="false"/>
          <w:smallCaps w:val="false"/>
          <w:sz w:val="20"/>
        </w:rPr>
        <w:t>this AIF. The Company cannot assure investors that the measures the Company has taken or, in the future, will take will in fact be sufficient to remediate the control deficiencies that led to the material weakness in its ICFR or that such measures will prevent or avoid potential future material weaknesses, and the Company’s current controls and any new controls that it develops may become inadequate because of changes in conditions in the Company’s business. Further, additional weaknesses in the Company’s ICFR may be discovered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remediate its material weakness or any future material weaknesses and otherwise implement and maintain effective ICFR, there may be material misstatements in the Company’s consolidated financial statements, the Company may be unable to comply with its reporting obligations on a timely basis, or the Company may fail to prevent or detect fraud. In any such case, the price of the Common Shares could be negatively impacted, and the Company could be unable to raise additional capital on terms acceptable to Management or at all. The lack of effective internal controls could thus materially adversely affect the Company’s financial condition and ability to implement the Company’s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Company were to conclude in the future that its ICFR provides reasonable assurance regarding the reliability of financial reporting and the preparation of consolidated financial statements for external purposes in accordance with IFRS Accounting Standards, because of its inherent limitations, ICFR may not prevent or detect all instances of fraud or misstatements. Regardless of how well designed and operated a control system may be, it can only provide reasonable, not absolute, safeguards with respect to the reliability of financial reporting and financial statement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Political and Regulatory Risk.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primary properties and assets are subject to changes in political conditions and regulations within the Province of Quebec, Canada, the United States (including, in particular, the States of Washington and Pennsylvania),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section 7b - </w:t>
      </w:r>
      <w:r>
        <w:rPr>
          <w:rFonts w:ascii="Times New Roman;Times;Serif" w:hAnsi="Times New Roman;Times;Serif"/>
          <w:b w:val="false"/>
          <w:i/>
          <w:caps w:val="false"/>
          <w:smallCaps w:val="false"/>
          <w:sz w:val="20"/>
        </w:rPr>
        <w:t>Argentina Expansion,</w:t>
      </w:r>
      <w:r>
        <w:rPr>
          <w:rFonts w:ascii="Times New Roman;Times;Serif" w:hAnsi="Times New Roman;Times;Serif"/>
          <w:b w:val="false"/>
          <w:i w:val="false"/>
          <w:caps w:val="false"/>
          <w:smallCaps w:val="false"/>
          <w:sz w:val="20"/>
        </w:rPr>
        <w:t xml:space="preserve"> for a discussion of recent changes in the Argentine regulatory environment that have adversely affected, and are currently adversely affecting, 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unfavorable conditions relating to the liquidity of and value of an investment in the Company’s common shares, such as restrictions on the acquisition, ownership, holding, selling, use or trading in the Company’s common shares or in the securities of companies in the Mining industry. Any such unfavorable conditions could result in the Company liquidating its cryptocurrency inventory at unfavorable prices and may adversely affect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and future regulatory changes or actions may alter the nature of an investment in the Company or restrict the use of cryptocurrencies in a manner that adversely affects the Company’s operations. For example, novel or unique assets such as BTC and other digital assets may be classified as securities if they meet the definition of investment contracts under applicable securities laws. In recent years, the offer and sale of digital assets other than BTC, most notably Kik Interactive Inc.’s Kin tokens and Telegram Group Inc.’s TON tokens, have been deemed to be investment contracts by the U.S. Securities and Exchange Commission (the “SEC”). While the Company believes that BTC is unlikely to be considered an investment contract and, thus, the BTC it holds is unlikely to be considered a security under the investment contract definition, the Company cannot provide any assurances that digital assets that it earns or otherwise acquires or holds for its own account, including BTC, will never be classified as securities under applicable securities laws. If BTC is considered a security, the Company may be required to register as an investment company under the U.S. Investment Company Act of 1940, as amended (the “</w:t>
      </w:r>
      <w:r>
        <w:rPr>
          <w:rFonts w:ascii="Times New Roman;Times;Serif" w:hAnsi="Times New Roman;Times;Serif"/>
          <w:b/>
          <w:i w:val="false"/>
          <w:caps w:val="false"/>
          <w:smallCaps w:val="false"/>
          <w:sz w:val="20"/>
        </w:rPr>
        <w:t>1940 Act</w:t>
      </w:r>
      <w:r>
        <w:rPr>
          <w:rFonts w:ascii="Times New Roman;Times;Serif" w:hAnsi="Times New Roman;Times;Serif"/>
          <w:b w:val="false"/>
          <w:i w:val="false"/>
          <w:caps w:val="false"/>
          <w:smallCaps w:val="false"/>
          <w:sz w:val="20"/>
        </w:rPr>
        <w:t>”), and comply with other requirements applicable to investment companies, which would, in turn, cause the Company to incur significant expenses, thereby materially and adversely impacting an investment in the Company. In addition, registration as an investment company may not be possible under the 1940 Act or may require meaningful corporate changes to effectuate, which, in turn, may have a material adverse effect on the Company’s business, financial condition and results of operations. The effect of any future such regulatory change on the Company or any cryptocurrency that the Company may earn is impossible to predict, but any such change could be substantial and adverse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attitude toward and regulations applicable to foreign investment and the cryptocurrency Mining industry in each of the jurisdictions in which the Company operates may also change, including changes that are adverse,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Canada, the Budget Implementation Act, Bill c.47, implements certain tax measures which include restricting the ability of cryptocurrency Mining companies to claim back the consumption taxes they incur on purchases of goods and services made in Canada and imports into Canada. As currently enacted, the legislation imposes restrictions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 The Company does not currently accrue for the recovery of these taxes. The Company is currently in discussions with Canadian tax authorities to determine whether the exemption provisions included in the legislation are applicable to relieve the Company of this potential financial burden. The timing for resolution of those discussions as well as the likelihood of a favorable outcome to the Company is currently unknown.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various branches, departments and agencies of the federal government in the U.S. as well as certain U.S. state governments have enacted legislation and/or regulations, solicited comments and initiated procedures to consider further regulating cryptocurrency and Mining operations, including through proposed taxes on Mining operations and policy statements and guidance to companies in the cryptocurrency industry, as well as third parties that do business with those companies. The Company will continue to monitor for developments in U.S. federal and state-level legislation, guidance or regulations applicable to the Company and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global supply of Miners is unpredictable and presently heavily dependent on manufacturers from Asia.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Permits and Licenses.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and future operations of the Company, including development activities and Mining operations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that all permits which the Company may require for its operations will be obtained on reasonable terms, on a timely basis, or at all, or otherwise maintained or that applicable laws and regulations will not have an adverse effect on any Mining projects or related activities that the Company might undertake.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Server or Internet Failures.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servers or central processing units utilized by the Company could experience a severe malfunction and/or collapse. Although the Company works to reduce this risk by employing a team of experts with many years of experience in building and managing data centers as well as a hardware team that focuses, among other things, on Miner repair and the daily evaluation of the technical condition of the data centers that the Company operates, including through software (developed by its management) that facilitates, among other things, control, management and reporting of malfunctions in real time or any server crashes or failures, even if quickly addressed, may interrupt the Company’s operations and cause significant economic harm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Internet disruptions or failures may adversely affect the Mining and use of cryptocurrencies, including BTC. Generally, cryptocurrencies and the Company’s business of Mining BTC are dependent upon the Internet. A significant disruption or failure of Internet connectivity, including of the Company’s backup Internet connection, could disrupt the network operations of cryptocurrencies until the disruption is resolved and have an adverse effect on the price of BTC and the Company’s ability to mine BTC.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Emerging Legislation and Scrutiny Regarding Human Rights Issues.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legislation in multiple jurisdictions is intensifying investor, stakeholder and public scrutiny on human rights issues that include, among other matters, forced labour, child labour and other slavery-like practices; displacement of local communities; discrimination by race, age, gender, sexuality and other protected attributes; and underpayment for labour or services provided. Although the Company does not tolerate slavery, forced labor, or human trafficking in any form and will not knowingly work with third-parties who engage in these practices or permit their subcontractors to engage in these practices, the Company conducts business on a global scale and interacts with a number of different parties. Accordingly, the failure to identify and respond to human rights issues can lead to costly and disruptive legal action, investor divestment, negative publicity, reputational damage and significant financial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force since January 1, 2024, Canada’s Fighting Against Forced Labour and Child Labour in Supply Chains Act introduces a statutory requirement to report on the steps taken by in-scope entities, including the Company, to prevent and reduce the risk that forced labour or child labour is used at any step in the production of goods in Canada or goods that are imported into Canada. Although the Company does not anticipate that this legislation will have a material impact on its operations, it is impossible to predict how additional legislation or increased scrutiny from human rights groups regarding the cryptocurrency industry and related supply chains may affect the Company going forward, particularly in the complex socio-economic and socio-political jurisdictions in which the Company conducts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protecting human rights and has adopted a Code of Business Conduct and Ethics, along with other policies, to support such commitment, including its own Vendor and Suppliers Due Diligence process in order to mitigate third party-risks. Such policies and procedures may not minimize or prevent human rights issues. Any future failure to identify and respond to human rights issues, despite our efforts, may lead to costly and disruptive legal action, investor divestment, negative publicity, reputational damage and significant financial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Erroneous Transactions and Human Error.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transactions are irreversible. Improper or compromised transfers are also generally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may also be unable to convert or recover cryptocurrencies transferred to uncontrolled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Bitfarms’ operations. The factors affecting the further development of the industry,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worldwide growth in the adoption and use of cryptocurrencies;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and quasi-governmental regulation of cryptocurrencies and their use, or restrictions on or regulation of access to and operation of the network or similar cryptocurrency systems;</w:t>
            </w:r>
          </w:p>
        </w:tc>
      </w:tr>
    </w:tbl>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demographics and public tastes and preferences;</w:t>
            </w:r>
          </w:p>
        </w:tc>
      </w:tr>
    </w:tbl>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maintenance and development of the open-source software protocol of the network;</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popularity of other forms or methods of buying and selling goods and services, including new means of using fiat currencies;</w:t>
            </w:r>
          </w:p>
        </w:tc>
      </w:tr>
    </w:tbl>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the regulatory environment relating to digital assets; and</w:t>
            </w:r>
          </w:p>
        </w:tc>
      </w:tr>
    </w:tbl>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consumer sentiment and perception of BTC specifically and cryptocurrencies generally.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risks.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considered practical to do so, the Company maintains, and intends to continue maintaining, insurance against risks in the operation of its business and in amounts that it believes to be reasonable. Such insurance, however, contains, and may in the future contain, exclusions and limitations on coverage. There can be no assurance that such insurance will continue to be available, will be available at economically acceptable premiums or will be adequate to cover any resulting liability. The novelty of the cryptocurrency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by Management to be too expensive relative to the perceived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BTC, which is held in custody by Coinbase Custody and Anchorage Digital, is not insured. Although Coinbase Custody maintains an insurance policy of $100.0 million for its cold storage and Anchorage Digital maintains an insurance policy of an aggregate of $100.0 million for its cold and hot storage, the full limits of those policies may not be available to the Company or, if available, may not be sufficient to make the Company whole for any BTC that are lost or stolen from the Company’s accounts. Therefore, a loss may be suffered with respect to the Company’s BTC that is not covered by insurance and for which no person is liable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losses incurred by the Company that are not adequately covered by insurance or for which insurance coverage is not available or has not been obtained could adversely impact the Company, including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Corruption.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Fraud, bribery and corruption are more common in some jurisdictions than in others. Doing business in international developing markets brings with it inherent risks associated with enforcement of obligations, fraud, bribery and corruption. The Company currently has operations in Argentina and Paraguay, which are jurisdictions perceived as having relatively high levels of corruption. While the Company uses its best efforts to prevent the occurrence of fraud, bribery and corruption, it may not be possible to detect or prevent every instance of fraud, bribery and corruption in every jurisdiction in which its employees, agents or contractors are located. The Company may therefore be subject to civil and criminal penalties and to reputational damage if any fraud, bribery or corruption is perpetrated by or on behalf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Foreign Corrupt Practices Act and Similar Legislation.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laws, if violated, often provide for the levy of substantial penalties against offending parties. The Company operates in jurisdictions that have experienced governmental and private sector corruption to varying degrees,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its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The Company uses its best efforts to prevent the occurrence of fraud, bribery and corruption, but it may not be possible to detect or prevent every instance of fraud, bribery and corruption in every jurisdiction in which its employees, agents or contractors are located. The Company, or any of its employees or contractors, could be charged with bribery or corruption as a result of the actual or perceived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or its directors, officers, employees or contractors, or a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Political Instability.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The occurrence of any of the foregoing could result in conditions that have a material adverse impact on the Company and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of Bitfarms Being Classified as a Passive Foreign Investment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w:t>
      </w:r>
      <w:r>
        <w:rPr>
          <w:rFonts w:ascii="Times New Roman;Times;Serif" w:hAnsi="Times New Roman;Times;Serif"/>
          <w:b/>
          <w:i w:val="false"/>
          <w:caps w:val="false"/>
          <w:smallCaps w:val="false"/>
          <w:sz w:val="20"/>
        </w:rPr>
        <w:t>PFIC</w:t>
      </w:r>
      <w:r>
        <w:rPr>
          <w:rFonts w:ascii="Times New Roman;Times;Serif" w:hAnsi="Times New Roman;Times;Serif"/>
          <w:b w:val="false"/>
          <w:i w:val="false"/>
          <w:caps w:val="false"/>
          <w:smallCaps w:val="false"/>
          <w:sz w:val="20"/>
        </w:rPr>
        <w:t>”) for U.S. federal income tax purposes. The Company does not believe it was a PFIC for 2023 and does not expect to be a PFIC for 2024.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the Company’s shares may suffer adverse tax consequences, including the treatment of gains realized on the sale of the Company’s shares as ordinary income, rather than as capital gain, the loss of the preferential income tax rate applicable to dividends received on the Company’s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w:t>
      </w:r>
      <w:r>
        <w:rPr>
          <w:rFonts w:ascii="Times New Roman;Times;Serif" w:hAnsi="Times New Roman;Times;Serif"/>
          <w:b/>
          <w:i w:val="false"/>
          <w:caps w:val="false"/>
          <w:smallCaps w:val="false"/>
          <w:sz w:val="20"/>
        </w:rPr>
        <w:t>QEF</w:t>
      </w:r>
      <w:r>
        <w:rPr>
          <w:rFonts w:ascii="Times New Roman;Times;Serif" w:hAnsi="Times New Roman;Times;Serif"/>
          <w:b w:val="false"/>
          <w:i w:val="false"/>
          <w:caps w:val="false"/>
          <w:smallCaps w:val="false"/>
          <w:sz w:val="20"/>
        </w:rPr>
        <w:t>”) election, or, to a lesser extent, a mark-to-market election. The Company does not intend to provide the information necessary for United States shareholders to make a QEF election if the Company is classified as a PFIC for any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39" w:right="0" w:hanging="0"/>
        <w:jc w:val="center"/>
        <w:rPr>
          <w:caps w:val="false"/>
          <w:smallCaps w:val="false"/>
        </w:rPr>
      </w:pPr>
      <w:r>
        <w:rPr>
          <w:caps w:val="false"/>
          <w:smallCaps w:val="false"/>
        </w:rPr>
        <w:t> </w:t>
      </w:r>
    </w:p>
    <w:p>
      <w:pPr>
        <w:pStyle w:val="TextBody"/>
        <w:bidi w:val="0"/>
        <w:spacing w:before="0" w:after="0"/>
        <w:ind w:left="3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charter (the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sets forth the purpose, composition, responsibilities and authority of the Audit Committee (the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Bitfarms Ltd. (“</w:t>
      </w:r>
      <w:r>
        <w:rPr>
          <w:rFonts w:ascii="Times New Roman;Times;Serif" w:hAnsi="Times New Roman;Times;Serif"/>
          <w:b/>
          <w:i w:val="false"/>
          <w:caps w:val="false"/>
          <w:smallCaps w:val="false"/>
          <w:sz w:val="20"/>
        </w:rPr>
        <w:t>Bitfarms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185"/>
        <w:gridCol w:w="7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7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xml:space="preserve">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 the Board in its oversight role with respect to the quality and integrity of the Corporation’s financial statements, financial reporting processes, and systems of internal controls and disclosure controls regarding risk management, finance, accounting and legal and regulatory compliance;</w:t>
      </w:r>
    </w:p>
    <w:p>
      <w:pPr>
        <w:pStyle w:val="TextBody"/>
        <w:bidi w:val="0"/>
        <w:spacing w:before="0" w:after="0"/>
        <w:ind w:left="0" w:right="0" w:hanging="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7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 the effectiveness of the Corporation’s risk management and compliance practices;</w:t>
            </w:r>
          </w:p>
        </w:tc>
      </w:tr>
    </w:tbl>
    <w:p>
      <w:pPr>
        <w:pStyle w:val="TextBody"/>
        <w:bidi w:val="0"/>
        <w:spacing w:before="0" w:after="283"/>
        <w:jc w:val="left"/>
        <w:rPr/>
      </w:pPr>
      <w:r>
        <w:rPr/>
        <w:t> </w:t>
      </w:r>
    </w:p>
    <w:tbl>
      <w:tblPr>
        <w:tblW w:w="6723" w:type="dxa"/>
        <w:jc w:val="left"/>
        <w:tblInd w:w="0" w:type="dxa"/>
        <w:tblLayout w:type="fixed"/>
        <w:tblCellMar>
          <w:top w:w="0" w:type="dxa"/>
          <w:left w:w="0" w:type="dxa"/>
          <w:bottom w:w="0" w:type="dxa"/>
          <w:right w:w="0" w:type="dxa"/>
        </w:tblCellMar>
      </w:tblPr>
      <w:tblGrid>
        <w:gridCol w:w="38"/>
        <w:gridCol w:w="18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 the independent auditor’s performance, qualifications and independence;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 the performance of the Corporation’s via internal or external audit function; review the periodic audits performed by the independent auditor and the Corporation’s internal accounting department;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Corporation’s financial statements, management discussion and analysis and annual and interim earnings press release before the Corporation publicly discloses such information;</w:t>
            </w:r>
          </w:p>
        </w:tc>
      </w:tr>
    </w:tbl>
    <w:p>
      <w:pPr>
        <w:pStyle w:val="TextBody"/>
        <w:bidi w:val="0"/>
        <w:spacing w:before="0" w:after="283"/>
        <w:jc w:val="left"/>
        <w:rPr/>
      </w:pPr>
      <w:r>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the Corporation’s compliance with legal and regulatory requirements;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04"/>
        <w:gridCol w:w="10063"/>
      </w:tblGrid>
      <w:tr>
        <w:trPr/>
        <w:tc>
          <w:tcPr>
            <w:tcW w:w="38"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all filings and disclosure documents required to be prepared by the Committee and/or the Board pursuant to all applicable federal, provincial and state securities legislation and the rules and regulations of all securities commissions having jurisdiction over the Corporation.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foregoing, it is not the duty of the Committee to plan or conduct audits, or to determine that the Company’s financial statements are complete and accurate or in accordance with International Financial Reporting Standards (IFRS) or United States Generally Accepted Accounting Principles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accounting standards or applicable laws and regulations. This is the responsibility of the Corporation’s management, internal accounting department and independent auditors. The primary function of the Committee is oversight, and it is therefore entitled to rely on the expertise, skills and knowledge of the Corporation’s management, internal accounting department, independent auditors and other external advisors and the integrity and accuracy in information provided by such persons or entities. Nothing in this Charter is intended to change or in any way limit the responsibilities and duties of the Corporation’s management, internal accounting department, or independent auditors.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567"/>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firstLine="567"/>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5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and Membership</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xml:space="preserve"> shall be composed of not less than three members, each of whom shall be a director of the Corporation. All members of the Committee shall not be an officer or employee of the Corporation, and shall satisfy the applicable independence and experience requirements of the laws governing the Corporation, the applicable stock exchanges on which the Corporation’s securities are listed and applicable securities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Committee shall be financially literate as such qualification is interpreted by the Board in its business judgment. At least one member of the Committee will qualify as an audit committee financial expert as defined by the U.S. Securities and Exchange Commission (the “SEC”) or as interpreted by the Ontario Securities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Committee shall be appointed or reappointed at the annual meeting of the Corporation and, in the normal course of business, will serve a minimum of three years. Each member shall continue to be a member of the Committee until a successor is appointed, unless the member resigns, is removed, ceases to be a director or ceases to meet the requirements established by any applicable securities’ regulatory authority, including but not limited to the Ontario Securities Commission and the SEC. The Board may fill a vacancy that occurs in the Committee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in the event of its failure to do so, the members of the Committee, shall appoint or reappoint, at the annual meeting of the Corporation, a Chair among their number. The Chair shall not be a former Officer of the Corporation. Such Chair shall serve as a liaison between members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and place of meetings of the Committee and the procedure at such meetings shall be determined from time to time by the members provided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for meetings shall be a majority of the members, present in person or by telephone or via video conferencing or other telecommunication device that permits all persons participating in the meeting to speak or hear each other;</w:t>
            </w:r>
          </w:p>
        </w:tc>
      </w:tr>
    </w:tbl>
    <w:p>
      <w:pPr>
        <w:pStyle w:val="TextBody"/>
        <w:bidi w:val="0"/>
        <w:spacing w:before="0" w:after="283"/>
        <w:jc w:val="left"/>
        <w:rPr/>
      </w:pPr>
      <w:r>
        <w:rPr/>
        <w:t> </w:t>
      </w:r>
    </w:p>
    <w:tbl>
      <w:tblPr>
        <w:tblW w:w="3783" w:type="dxa"/>
        <w:jc w:val="left"/>
        <w:tblInd w:w="0" w:type="dxa"/>
        <w:tblLayout w:type="fixed"/>
        <w:tblCellMar>
          <w:top w:w="0" w:type="dxa"/>
          <w:left w:w="0" w:type="dxa"/>
          <w:bottom w:w="0" w:type="dxa"/>
          <w:right w:w="0" w:type="dxa"/>
        </w:tblCellMar>
      </w:tblPr>
      <w:tblGrid>
        <w:gridCol w:w="38"/>
        <w:gridCol w:w="18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meet at least quarterly;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the time and place of every meeting shall be given in writing or by telephone, facsimile, email or other electronic communication to each member of the Committee at least 24 hours in advance of such meeting;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direct management to maintain minutes or other records of meetings and activities of the Committee and shall ensure minutes are kept in sufficient detail to convey the substance of all discussions held. Upon approval of the minutes by the Committee, the minutes shall be circulated to members of the Board;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auditor is entitled to attend and be heard at each Committee meeting, and in addition, the Committee may invite to a meeting any officers or employees of the Corporation, legal counsel, advisors and other persons whose attendance it considers necessary or desirable in order to carry out its responsibilities; and</w:t>
            </w:r>
          </w:p>
        </w:tc>
      </w:tr>
    </w:tbl>
    <w:p>
      <w:pPr>
        <w:pStyle w:val="TextBody"/>
        <w:bidi w:val="0"/>
        <w:spacing w:before="0" w:after="283"/>
        <w:jc w:val="left"/>
        <w:rPr/>
      </w:pPr>
      <w:r>
        <w:rPr/>
        <w:t> </w:t>
      </w:r>
    </w:p>
    <w:tbl>
      <w:tblPr>
        <w:tblW w:w="6303" w:type="dxa"/>
        <w:jc w:val="left"/>
        <w:tblInd w:w="0" w:type="dxa"/>
        <w:tblLayout w:type="fixed"/>
        <w:tblCellMar>
          <w:top w:w="0" w:type="dxa"/>
          <w:left w:w="0" w:type="dxa"/>
          <w:bottom w:w="0" w:type="dxa"/>
          <w:right w:w="0" w:type="dxa"/>
        </w:tblCellMar>
      </w:tblPr>
      <w:tblGrid>
        <w:gridCol w:w="38"/>
        <w:gridCol w:w="14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act by unanimous written consent in lieu of a meeting.</w:t>
            </w:r>
          </w:p>
        </w:tc>
      </w:tr>
    </w:tbl>
    <w:p>
      <w:pPr>
        <w:pStyle w:val="TextBody"/>
        <w:bidi w:val="0"/>
        <w:spacing w:before="0" w:after="0"/>
        <w:ind w:left="45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report to the Board on its activities after each of its meetings. The Committee shall review and assess the adequacy of this Charter annually and, where necessary, recommend changes to the Board for its approval. The Committee shall undertake and review with the Board an annual performance evaluation of the Committee, which shall assess the performance of the Committee against the requirements of this Charter. The performance evaluation by the Committee shall be conducted in such manner as the Committee deems appropriate. The report to the Board of Directors may take the form of an oral report by the chairperson of the Committee or any other designated member of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and Responsibilities</w:t>
            </w:r>
          </w:p>
        </w:tc>
      </w:tr>
    </w:tbl>
    <w:p>
      <w:pPr>
        <w:pStyle w:val="TextBody"/>
        <w:bidi w:val="0"/>
        <w:spacing w:before="0" w:after="0"/>
        <w:ind w:left="0" w:right="0" w:hanging="36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75"/>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3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Oversight of the Independent Auditor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2"/>
        <w:gridCol w:w="10045"/>
      </w:tblGrid>
      <w:tr>
        <w:trPr/>
        <w:tc>
          <w:tcPr>
            <w:tcW w:w="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authority to recommend to the Board for its approval, the appointment or replacement of the independent auditor and its compensation (subject to shareholder ratification) and responsibility for the oversight of the work of the independent auditor (including resolution of disagreements between company management (“</w:t>
            </w: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 and the independent auditor regarding financial reporting) for the purpose of preparing or issuing an audit report or related work. The independent auditor shall report directly to the Committee;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authority to pre-approve all audit services as well as non-audit services (including the fees, terms and conditions for the performance of such services) to be performed by the independent auditor;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qualifications, performance and independence of the independent auditor, including (i) reviewing and evaluating the lead partner on the independent auditor’s engagement with the Corporation, and (ii) considering whether the auditor’s quality controls are adequate, and the provision of permitted non-audit services is compatible with maintaining the auditor’s independence;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and review a report from the independent auditor at least annually regarding: the independent auditor’s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any steps taken to address any such issues; and all relationships between the independent auditor and the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the independent auditor prior to the annual audit the scope, planning and staffing of the annual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8"/>
        <w:gridCol w:w="10049"/>
      </w:tblGrid>
      <w:tr>
        <w:trPr/>
        <w:tc>
          <w:tcPr>
            <w:tcW w:w="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the rotation of the lead (or coordinating) audit partner having primary responsibility for the audit and the audit partner responsible for reviewing the audit as required by law;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as necessary policies for the Corporation’s hiring of partners, employees or former partners and employees of the independent auditor.</w:t>
            </w:r>
          </w:p>
        </w:tc>
      </w:tr>
    </w:tbl>
    <w:p>
      <w:pPr>
        <w:pStyle w:val="TextBody"/>
        <w:bidi w:val="0"/>
        <w:spacing w:before="0" w:after="0"/>
        <w:ind w:left="450" w:right="0" w:hanging="0"/>
        <w:jc w:val="both"/>
        <w:rPr>
          <w:caps w:val="false"/>
          <w:smallCaps w:val="false"/>
        </w:rPr>
      </w:pPr>
      <w:r>
        <w:rPr>
          <w:caps w:val="false"/>
          <w:smallCaps w:val="false"/>
        </w:rPr>
        <w:t> </w:t>
      </w:r>
    </w:p>
    <w:p>
      <w:pPr>
        <w:pStyle w:val="TextBody"/>
        <w:bidi w:val="0"/>
        <w:spacing w:before="0" w:after="0"/>
        <w:ind w:left="45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450" w:right="0" w:hanging="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32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3.4</w:t>
            </w:r>
          </w:p>
        </w:tc>
        <w:tc>
          <w:tcPr>
            <w:tcW w:w="2075" w:type="dxa"/>
            <w:tcBorders/>
            <w:vAlign w:val="center"/>
          </w:tcPr>
          <w:p>
            <w:pPr>
              <w:pStyle w:val="TableContents"/>
              <w:bidi w:val="0"/>
              <w:spacing w:before="0" w:after="283"/>
              <w:jc w:val="both"/>
              <w:rPr>
                <w:b/>
              </w:rPr>
            </w:pPr>
            <w:r>
              <w:rPr>
                <w:b/>
              </w:rPr>
              <w:t>Financial Reporting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the independent auditor the annual audited financial statements prior to the publication of earnings. Provide recommendation to the Board for final approval.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the Corporation’s annual and quarterly disclosures made in Management’s Discussion and Analysis. The Committee shall approve Annual Information Form, as required by applicable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the independent auditor Management’s report on its assessment of internal controls over financial reporting and the independent auditor’s attestation report on Management’s assessment, if required.</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185"/>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the Corporation’s quarterly financial statements prior to the publication of earnings.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4"/>
        <w:gridCol w:w="10043"/>
      </w:tblGrid>
      <w:tr>
        <w:trPr/>
        <w:tc>
          <w:tcPr>
            <w:tcW w:w="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the independent auditor at least annually significant financial reporting issues and judgments made in connection with the preparation of the Corporation’s financial statements, including any significant changes in the Corporation’s selection or application of accounting principles, any major issues as to the adequacy of the Corporation’s internal controls and any special steps adopted in light of material control deficiencies.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88"/>
        <w:gridCol w:w="10079"/>
      </w:tblGrid>
      <w:tr>
        <w:trPr/>
        <w:tc>
          <w:tcPr>
            <w:tcW w:w="3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the independent auditor at least annually reports from the independent auditors on: critical accounting policies and practices to be used; significant financial reporting issues, estimates and judgments made in connection with the preparation of the financial statements; alternative treatments of financial information within International Financial Reporting Standards (IFRS) or generally accepted accounting principles that have been discussed with Management, ramifications of the use of such alternative disclosures and treatments, and the treatment preferred by the independent auditor; and other material written communications between the independent auditor and Management, such as any management letter or schedule of unadjusted differences.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 with the independent auditor at least annually any “Management” or “internal control” letters issued or proposed to be issued by the independent auditor to the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the independent auditor at least annually any significant changes to the Corporation’s accounting principles and practices suggested by the independent auditor, internal audit personnel or Management.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07"/>
        <w:gridCol w:w="10060"/>
      </w:tblGrid>
      <w:tr>
        <w:trPr/>
        <w:tc>
          <w:tcPr>
            <w:tcW w:w="38"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 with Management the Corporation’s earnings press releases, including the use of “pro forma” or “adjusted” non-GAAP information, as well as financial information and earnings and revenue guidance (if any) provided to analysts and rating agencies.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2"/>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the independent auditor at least annually the effect of regulatory and accounting initiatives as well as off-balance sheet structures on the Corporation’s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the Chief Executive Officer and the Chief Financial Officer at least annually the procedures undertaken in connection with the Chief Executive Officer and Chief Financial Officer certifications for the annual filings with applicable securities regulatory authorities.</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91"/>
        <w:gridCol w:w="10076"/>
      </w:tblGrid>
      <w:tr>
        <w:trPr/>
        <w:tc>
          <w:tcPr>
            <w:tcW w:w="38"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disclosures made by the Corporation’s Chief Executive Officer and Chief Financial Officer during their certification process for the annual filing with applicable securities regulatory authorities about any significant deficiencies in the design or operation of internal controls which could adversely affect the Corporation’s ability to record, process, summarize and report financial data or any material weaknesses in the internal controls, and any fraud involving Management or other employees who have a significant role in the Corporation’s internal controls.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 with the Corporation’s Corporate Secretary at least annually any legal matters that may have a material impact on the financial statements, operations, assets or compliance policies and any material reports or inquiries received by the Corporation or any of its subsidiaries from regulators or governmental agencies.</w:t>
            </w:r>
          </w:p>
        </w:tc>
      </w:tr>
    </w:tbl>
    <w:p>
      <w:pPr>
        <w:pStyle w:val="TextBody"/>
        <w:bidi w:val="0"/>
        <w:spacing w:before="0" w:after="0"/>
        <w:ind w:left="450"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275"/>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26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Oversight of Risk Management</w:t>
            </w:r>
          </w:p>
        </w:tc>
      </w:tr>
    </w:tbl>
    <w:p>
      <w:pPr>
        <w:pStyle w:val="TextBody"/>
        <w:bidi w:val="0"/>
        <w:spacing w:before="0" w:after="283"/>
        <w:jc w:val="left"/>
        <w:rPr/>
      </w:pPr>
      <w:r>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Management’s risk philosophy and risk management policies annually.</w:t>
            </w:r>
          </w:p>
        </w:tc>
      </w:tr>
    </w:tbl>
    <w:p>
      <w:pPr>
        <w:pStyle w:val="TextBody"/>
        <w:bidi w:val="0"/>
        <w:spacing w:before="0" w:after="283"/>
        <w:jc w:val="left"/>
        <w:rPr/>
      </w:pPr>
      <w:r>
        <w:rPr/>
        <w:t> </w:t>
      </w:r>
    </w:p>
    <w:tbl>
      <w:tblPr>
        <w:tblW w:w="9228" w:type="dxa"/>
        <w:jc w:val="left"/>
        <w:tblInd w:w="0" w:type="dxa"/>
        <w:tblLayout w:type="fixed"/>
        <w:tblCellMar>
          <w:top w:w="0" w:type="dxa"/>
          <w:left w:w="0" w:type="dxa"/>
          <w:bottom w:w="0" w:type="dxa"/>
          <w:right w:w="0" w:type="dxa"/>
        </w:tblCellMar>
      </w:tblPr>
      <w:tblGrid>
        <w:gridCol w:w="38"/>
        <w:gridCol w:w="185"/>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with Management, at least annually, reports demonstrating compliance with risk management policies.</w:t>
            </w:r>
          </w:p>
        </w:tc>
      </w:tr>
    </w:tbl>
    <w:p>
      <w:pPr>
        <w:pStyle w:val="TextBody"/>
        <w:bidi w:val="0"/>
        <w:spacing w:before="0" w:after="283"/>
        <w:jc w:val="left"/>
        <w:rPr/>
      </w:pPr>
      <w:r>
        <w:rPr/>
        <w:t> </w:t>
      </w:r>
    </w:p>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with Management the quality and competence of Management appointed to administer risk management policies.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reports from the independent auditor at least annually relating to the adequacy of the Corporation’s risk management practices together with Management’s responses.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 with Management at least annually the Corporation’s major financial risk exposures and the steps Management has taken to monitor and control such exposures, including the Corporation’s risk assessment and risk management policies.</w:t>
            </w:r>
          </w:p>
        </w:tc>
      </w:tr>
    </w:tbl>
    <w:p>
      <w:pPr>
        <w:pStyle w:val="TextBody"/>
        <w:bidi w:val="0"/>
        <w:spacing w:before="0" w:after="0"/>
        <w:ind w:left="450" w:right="0" w:hanging="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275"/>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Oversight of Regulatory Compliance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procedures for the receipt, retention and treatment of complaints received by the Corporation regarding accounting, internal accounting controls or auditing matters, and the confidential, anonymous submission by employees of concerns regarding questionable accounting or auditing matters.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 with Management and the independent auditor at least annually any correspondence with regulators or governmental agencies and any published reports which raise material issues regarding the Corporation’s financial statements or accounting.</w:t>
            </w:r>
          </w:p>
        </w:tc>
      </w:tr>
    </w:tbl>
    <w:p>
      <w:pPr>
        <w:pStyle w:val="TextBody"/>
        <w:bidi w:val="0"/>
        <w:spacing w:before="0" w:after="283"/>
        <w:jc w:val="left"/>
        <w:rPr/>
      </w:pPr>
      <w:r>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 with the Corporation’s regulators, according to applicable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such other powers and perform such other duties and responsibilities as are incidental to the purposes, duties and responsibilities specified herein and as may from time to time be delegated to the Committee by the Board.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all matters related to the Corporation’s financing activities, including the review of financial strategies, capital structure, liquidity management, and compliance with applicable regulatory requirements. Funding for the Independent Auditor and Retention of Other Independent Advisors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provide for appropriate funding, as determined by the Committee, for payment of compensation to the independent auditor for the purpose of issuing an audit report and to any advisors retained by the Committee. The Committee shall also have the authority to retain and, at Bitfarms’ expense, to set and pay the compensation for such other independent counsel and other advisors as it may from time to time deem necessary or advisable for its purposes. The Committee also has the authority to communicate directly with internal and external auditors.</w:t>
            </w:r>
          </w:p>
        </w:tc>
      </w:tr>
    </w:tbl>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185"/>
        <w:gridCol w:w="73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Procedures for Receipt of Complaints and Submissions Relating to Accounting Matters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6"/>
        <w:gridCol w:w="10051"/>
      </w:tblGrid>
      <w:tr>
        <w:trPr/>
        <w:tc>
          <w:tcPr>
            <w:tcW w:w="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has adopted a Whistleblower Policy (the “Whistleblower Policy”), copies of which shall be made available to directors, officers, employees, consultants and contractors of the Company, either directly or by posting to the Bitfarms website at www.bitfarms.com. The Corporation shall inform employees on the Corporation’s intranet, if there is one, or via e-mail that is disseminated to all employees at least annually, about the Whistleblower Policy. Pursuant to the Whistleblower Policy, any person with a complaint or concern regarding a financial matter (or other matter relating to the Corporation) may submit anonymous complaints or concerns via an independent third-party platform (the “Complaints Platform”) available at http://bitfarms.ethicspoint.com/ or http://bitfarmsmobile.ethicspoint.com/ or by telephone at:</w:t>
            </w:r>
          </w:p>
        </w:tc>
      </w:tr>
    </w:tbl>
    <w:p>
      <w:pPr>
        <w:pStyle w:val="TextBody"/>
        <w:bidi w:val="0"/>
        <w:spacing w:before="0" w:after="0"/>
        <w:ind w:left="450" w:right="0" w:hanging="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1-844-992-4862 toll-free, (within the United States, Guam, Puerto Rico and Canada);</w:t>
            </w:r>
          </w:p>
        </w:tc>
      </w:tr>
    </w:tbl>
    <w:p>
      <w:pPr>
        <w:pStyle w:val="TextBody"/>
        <w:bidi w:val="0"/>
        <w:spacing w:before="0" w:after="283"/>
        <w:jc w:val="left"/>
        <w:rPr/>
      </w:pPr>
      <w:r>
        <w:rPr/>
        <w:t> </w:t>
      </w:r>
    </w:p>
    <w:tbl>
      <w:tblPr>
        <w:tblW w:w="4578" w:type="dxa"/>
        <w:jc w:val="left"/>
        <w:tblInd w:w="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008-11-800 then dial 844-486-1618 (from Paraguay);</w:t>
            </w:r>
          </w:p>
        </w:tc>
      </w:tr>
    </w:tbl>
    <w:p>
      <w:pPr>
        <w:pStyle w:val="TextBody"/>
        <w:bidi w:val="0"/>
        <w:spacing w:before="0" w:after="283"/>
        <w:jc w:val="left"/>
        <w:rPr/>
      </w:pPr>
      <w:r>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0-800-222-1288 then dial 1-844-486-1618 (from Argentina).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reporting channels are accessible 24 hours a day, 7 days a week.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will ensure the Whistleblower Policy provides review procedures for: (a) the receipt, retention and resolution of complaints received by the listed issuer regarding accounting, internal accounting controls, or auditing matters; and (b) The confidential, anonymous submission by employees of concerns regarding questionable accounting or auditing matters.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 report from the Whistleblower reporting mechanism, the Committee shall discuss the report and take such steps as the Committee may deem appropriate. Any reports so received will be kept confidential and the identity of employees making complaints or submissions shall only be communicated to the Committee or the Chair of the Committee.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reports or submissions shall be reported to the Committee as frequently as the Committee deems appropriate, but in any event no less frequently than on a quarterly basis prior to the quarterly meetings of the Committee called to approve interim and annual financial statements of the Corporation.</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will inform the Board of the filed complaints or concerns at regularly scheduled meetings (unless they are unfounded or unless the materiality of the complaint requires earlier action).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8"/>
        <w:gridCol w:w="10049"/>
      </w:tblGrid>
      <w:tr>
        <w:trPr/>
        <w:tc>
          <w:tcPr>
            <w:tcW w:w="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Committee, or Corporate Secretary, shall retain a record of complaint or submission received for a period of six years following resolution of the complaint or submission.</w:t>
            </w:r>
          </w:p>
        </w:tc>
      </w:tr>
    </w:tbl>
    <w:p>
      <w:pPr>
        <w:pStyle w:val="TextBody"/>
        <w:bidi w:val="0"/>
        <w:spacing w:before="0" w:after="0"/>
        <w:ind w:left="720" w:right="0" w:hanging="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85"/>
        <w:gridCol w:w="40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4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Procedures for Approval of Non-Audit Services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Corporation’s external auditors shall be prohibited from performing for the Corporation the following categories of non-audit services:</w:t>
            </w:r>
          </w:p>
        </w:tc>
      </w:tr>
    </w:tbl>
    <w:p>
      <w:pPr>
        <w:pStyle w:val="TextBody"/>
        <w:bidi w:val="0"/>
        <w:spacing w:before="0" w:after="0"/>
        <w:ind w:left="720" w:right="0" w:hanging="36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bookkeeping or other services related to the Corporation’s accounting records or financial statements;</w:t>
            </w:r>
          </w:p>
        </w:tc>
      </w:tr>
    </w:tbl>
    <w:p>
      <w:pPr>
        <w:pStyle w:val="TextBody"/>
        <w:bidi w:val="0"/>
        <w:spacing w:before="0" w:after="283"/>
        <w:jc w:val="left"/>
        <w:rPr/>
      </w:pPr>
      <w:r>
        <w:rPr/>
        <w:t> </w:t>
      </w:r>
    </w:p>
    <w:tbl>
      <w:tblPr>
        <w:tblW w:w="4983" w:type="dxa"/>
        <w:jc w:val="left"/>
        <w:tblInd w:w="0" w:type="dxa"/>
        <w:tblLayout w:type="fixed"/>
        <w:tblCellMar>
          <w:top w:w="0" w:type="dxa"/>
          <w:left w:w="0" w:type="dxa"/>
          <w:bottom w:w="0" w:type="dxa"/>
          <w:right w:w="0" w:type="dxa"/>
        </w:tblCellMar>
      </w:tblPr>
      <w:tblGrid>
        <w:gridCol w:w="38"/>
        <w:gridCol w:w="185"/>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information systems design and implementation;</w:t>
            </w:r>
          </w:p>
        </w:tc>
      </w:tr>
    </w:tbl>
    <w:p>
      <w:pPr>
        <w:pStyle w:val="TextBody"/>
        <w:bidi w:val="0"/>
        <w:spacing w:before="0" w:after="283"/>
        <w:jc w:val="left"/>
        <w:rPr/>
      </w:pPr>
      <w:r>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or valuation services, fairness opinion or contributions-in-kind reports;</w:t>
            </w:r>
          </w:p>
        </w:tc>
      </w:tr>
    </w:tbl>
    <w:p>
      <w:pPr>
        <w:pStyle w:val="TextBody"/>
        <w:bidi w:val="0"/>
        <w:spacing w:before="0" w:after="283"/>
        <w:jc w:val="left"/>
        <w:rPr/>
      </w:pPr>
      <w:r>
        <w:rPr/>
        <w:t> </w:t>
      </w:r>
    </w:p>
    <w:tbl>
      <w:tblPr>
        <w:tblW w:w="1713" w:type="dxa"/>
        <w:jc w:val="left"/>
        <w:tblInd w:w="0" w:type="dxa"/>
        <w:tblLayout w:type="fixed"/>
        <w:tblCellMar>
          <w:top w:w="0" w:type="dxa"/>
          <w:left w:w="0" w:type="dxa"/>
          <w:bottom w:w="0" w:type="dxa"/>
          <w:right w:w="0" w:type="dxa"/>
        </w:tblCellMar>
      </w:tblPr>
      <w:tblGrid>
        <w:gridCol w:w="38"/>
        <w:gridCol w:w="185"/>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actuarial services;</w:t>
            </w:r>
          </w:p>
        </w:tc>
      </w:tr>
    </w:tbl>
    <w:p>
      <w:pPr>
        <w:pStyle w:val="TextBody"/>
        <w:bidi w:val="0"/>
        <w:spacing w:before="0" w:after="283"/>
        <w:jc w:val="left"/>
        <w:rPr/>
      </w:pPr>
      <w:r>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audit outsourcing services;</w:t>
            </w:r>
          </w:p>
        </w:tc>
      </w:tr>
    </w:tbl>
    <w:p>
      <w:pPr>
        <w:pStyle w:val="TextBody"/>
        <w:bidi w:val="0"/>
        <w:spacing w:before="0" w:after="283"/>
        <w:jc w:val="left"/>
        <w:rPr/>
      </w:pPr>
      <w:r>
        <w:rPr/>
        <w:t> </w:t>
      </w:r>
    </w:p>
    <w:tbl>
      <w:tblPr>
        <w:tblW w:w="2118" w:type="dxa"/>
        <w:jc w:val="left"/>
        <w:tblInd w:w="0" w:type="dxa"/>
        <w:tblLayout w:type="fixed"/>
        <w:tblCellMar>
          <w:top w:w="0" w:type="dxa"/>
          <w:left w:w="0" w:type="dxa"/>
          <w:bottom w:w="0" w:type="dxa"/>
          <w:right w:w="0" w:type="dxa"/>
        </w:tblCellMar>
      </w:tblPr>
      <w:tblGrid>
        <w:gridCol w:w="38"/>
        <w:gridCol w:w="14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functions;</w:t>
            </w:r>
          </w:p>
        </w:tc>
      </w:tr>
    </w:tbl>
    <w:p>
      <w:pPr>
        <w:pStyle w:val="TextBody"/>
        <w:bidi w:val="0"/>
        <w:spacing w:before="0" w:after="283"/>
        <w:jc w:val="left"/>
        <w:rPr/>
      </w:pPr>
      <w:r>
        <w:rPr/>
        <w:t> </w:t>
      </w:r>
    </w:p>
    <w:tbl>
      <w:tblPr>
        <w:tblW w:w="1668" w:type="dxa"/>
        <w:jc w:val="left"/>
        <w:tblInd w:w="0" w:type="dxa"/>
        <w:tblLayout w:type="fixed"/>
        <w:tblCellMar>
          <w:top w:w="0" w:type="dxa"/>
          <w:left w:w="0" w:type="dxa"/>
          <w:bottom w:w="0" w:type="dxa"/>
          <w:right w:w="0" w:type="dxa"/>
        </w:tblCellMar>
      </w:tblPr>
      <w:tblGrid>
        <w:gridCol w:w="38"/>
        <w:gridCol w:w="18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resources;</w:t>
            </w:r>
          </w:p>
        </w:tc>
      </w:tr>
    </w:tbl>
    <w:p>
      <w:pPr>
        <w:pStyle w:val="TextBody"/>
        <w:bidi w:val="0"/>
        <w:spacing w:before="0" w:after="283"/>
        <w:jc w:val="left"/>
        <w:rPr/>
      </w:pPr>
      <w:r>
        <w:rPr/>
        <w:t> </w:t>
      </w:r>
    </w:p>
    <w:tbl>
      <w:tblPr>
        <w:tblW w:w="5778" w:type="dxa"/>
        <w:jc w:val="left"/>
        <w:tblInd w:w="0" w:type="dxa"/>
        <w:tblLayout w:type="fixed"/>
        <w:tblCellMar>
          <w:top w:w="0" w:type="dxa"/>
          <w:left w:w="0" w:type="dxa"/>
          <w:bottom w:w="0" w:type="dxa"/>
          <w:right w:w="0" w:type="dxa"/>
        </w:tblCellMar>
      </w:tblPr>
      <w:tblGrid>
        <w:gridCol w:w="38"/>
        <w:gridCol w:w="185"/>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or dealer, investment adviser or investment banking services;</w:t>
            </w:r>
          </w:p>
        </w:tc>
      </w:tr>
    </w:tbl>
    <w:p>
      <w:pPr>
        <w:pStyle w:val="TextBody"/>
        <w:bidi w:val="0"/>
        <w:spacing w:before="0" w:after="283"/>
        <w:jc w:val="left"/>
        <w:rPr/>
      </w:pPr>
      <w:r>
        <w:rPr/>
        <w:t> </w:t>
      </w:r>
    </w:p>
    <w:tbl>
      <w:tblPr>
        <w:tblW w:w="1368" w:type="dxa"/>
        <w:jc w:val="left"/>
        <w:tblInd w:w="0" w:type="dxa"/>
        <w:tblLayout w:type="fixed"/>
        <w:tblCellMar>
          <w:top w:w="0" w:type="dxa"/>
          <w:left w:w="0" w:type="dxa"/>
          <w:bottom w:w="0" w:type="dxa"/>
          <w:right w:w="0" w:type="dxa"/>
        </w:tblCellMar>
      </w:tblPr>
      <w:tblGrid>
        <w:gridCol w:w="38"/>
        <w:gridCol w:w="14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services;</w:t>
            </w:r>
          </w:p>
        </w:tc>
      </w:tr>
    </w:tbl>
    <w:p>
      <w:pPr>
        <w:pStyle w:val="TextBody"/>
        <w:bidi w:val="0"/>
        <w:spacing w:before="0" w:after="283"/>
        <w:jc w:val="left"/>
        <w:rPr/>
      </w:pPr>
      <w:r>
        <w:rPr/>
        <w:t> </w:t>
      </w:r>
    </w:p>
    <w:tbl>
      <w:tblPr>
        <w:tblW w:w="3603" w:type="dxa"/>
        <w:jc w:val="left"/>
        <w:tblInd w:w="0" w:type="dxa"/>
        <w:tblLayout w:type="fixed"/>
        <w:tblCellMar>
          <w:top w:w="0" w:type="dxa"/>
          <w:left w:w="0" w:type="dxa"/>
          <w:bottom w:w="0" w:type="dxa"/>
          <w:right w:w="0" w:type="dxa"/>
        </w:tblCellMar>
      </w:tblPr>
      <w:tblGrid>
        <w:gridCol w:w="38"/>
        <w:gridCol w:w="14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expert services unrelated to the audit; and</w:t>
            </w:r>
          </w:p>
        </w:tc>
      </w:tr>
    </w:tbl>
    <w:p>
      <w:pPr>
        <w:pStyle w:val="TextBody"/>
        <w:bidi w:val="0"/>
        <w:spacing w:before="0" w:after="283"/>
        <w:jc w:val="left"/>
        <w:rPr/>
      </w:pPr>
      <w:r>
        <w:rPr/>
        <w:t> </w:t>
      </w:r>
    </w:p>
    <w:tbl>
      <w:tblPr>
        <w:tblW w:w="7848" w:type="dxa"/>
        <w:jc w:val="left"/>
        <w:tblInd w:w="0" w:type="dxa"/>
        <w:tblLayout w:type="fixed"/>
        <w:tblCellMar>
          <w:top w:w="0" w:type="dxa"/>
          <w:left w:w="0" w:type="dxa"/>
          <w:bottom w:w="0" w:type="dxa"/>
          <w:right w:w="0" w:type="dxa"/>
        </w:tblCellMar>
      </w:tblPr>
      <w:tblGrid>
        <w:gridCol w:w="38"/>
        <w:gridCol w:w="185"/>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service that the Canadian Public Accountability Board determines is impermissible.</w:t>
            </w:r>
          </w:p>
        </w:tc>
      </w:tr>
    </w:tbl>
    <w:p>
      <w:pPr>
        <w:pStyle w:val="TextBody"/>
        <w:bidi w:val="0"/>
        <w:spacing w:before="0" w:after="0"/>
        <w:ind w:left="45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Corporation wishes to retain the services of the Corporation’s external auditors for tax compliance, tax advice or tax planning, the Chief Financial Officer of the Corporation shall consult with the Chair of the Committee, who shall have the authority to approve or disapprove on behalf of the Committee, such non-audit services. All other non-audit services shall be approved or disapproved by the Committee as a whole.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Financial Officer of the Corporation shall maintain a record of non-audit services approved by the Chair of the Committee or the Committee for each fiscal year and provide a report to the Committee no less frequently than on a quarterly basis.</w:t>
            </w:r>
          </w:p>
        </w:tc>
      </w:tr>
    </w:tbl>
    <w:p>
      <w:pPr>
        <w:pStyle w:val="TextBody"/>
        <w:bidi w:val="0"/>
        <w:spacing w:before="0" w:after="0"/>
        <w:ind w:left="720" w:right="0" w:hanging="360"/>
        <w:jc w:val="both"/>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185"/>
        <w:gridCol w:w="8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will report to the Board at each Board meeting on the Committee’s activities since the last Board meeting. The Committee will annually review and approve the Committee’s report for inclusion in the Annual Information Form. The Corporate Secretary will circulate the minutes of each meeting of the Committee to the members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 | Page</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BITFARMS LTD.</w:t>
      </w:r>
    </w:p>
    <w:p>
      <w:pPr>
        <w:pStyle w:val="TextBody"/>
        <w:bidi w:val="0"/>
        <w:spacing w:before="0" w:after="0"/>
        <w:ind w:left="0" w:right="0" w:hanging="0"/>
        <w:jc w:val="left"/>
        <w:rPr>
          <w:rFonts w:ascii="Times New Roman;Times;Serif" w:hAnsi="Times New Roman;Times;Serif"/>
          <w:b/>
          <w:sz w:val="20"/>
          <w:bdr w:val="single" w:sz="12" w:space="1" w:color="000000"/>
        </w:rPr>
      </w:pPr>
      <w:r>
        <w:rPr>
          <w:rFonts w:ascii="Times New Roman;Times;Serif" w:hAnsi="Times New Roman;Times;Serif"/>
          <w:b/>
          <w:sz w:val="20"/>
          <w:bdr w:val="single" w:sz="12" w:space="1" w:color="000000"/>
        </w:rPr>
        <w:t>2024 Annual Information Form</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85"/>
        <w:gridCol w:w="31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1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Information and Authority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will be granted unrestricted access to all information regarding Bitfarms that is necessary or desirable to fulfill its duties and all directors, officers and employees will be directed to cooperate as requested by Members.</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185"/>
        <w:gridCol w:w="15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of Charter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will annually review and assess the adequacy of this Charter and recommend any proposed changes to the Board for consideration.</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1745"/>
        <w:gridCol w:w="6485"/>
      </w:tblGrid>
      <w:tr>
        <w:trPr/>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12, 2019</w:t>
            </w:r>
          </w:p>
        </w:tc>
      </w:tr>
      <w:tr>
        <w:trPr/>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Revised and updated</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7, 2025 (Previously revised on December 11, 2023, and March 24, 2022)</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54"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 | Page</w:t>
      </w:r>
    </w:p>
    <w:p>
      <w:pPr>
        <w:pStyle w:val="TextBody"/>
        <w:bidi w:val="0"/>
        <w:spacing w:before="0" w:after="0"/>
        <w:ind w:left="1554" w:right="0" w:firstLine="72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6" w:name="ea023426801ex99-2_bitfarms.htm"/>
      <w:bookmarkStart w:id="7" w:name="ksea023426801ex992_bitfarms"/>
      <w:bookmarkEnd w:id="6"/>
      <w:bookmarkEnd w:id="7"/>
      <w:r>
        <w:rPr>
          <w:rFonts w:ascii="Times New Roman;Times;Serif" w:hAnsi="Times New Roman;Times;Serif"/>
          <w:b/>
          <w:i w:val="false"/>
          <w:caps w:val="false"/>
          <w:smallCaps w:val="false"/>
          <w:sz w:val="20"/>
        </w:rPr>
        <w:t>Exhibit 99.2</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429000" cy="571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429000" cy="57150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AND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thousands of U.S. dollars - 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2210" w:type="dxa"/>
        <w:jc w:val="left"/>
        <w:tblInd w:w="0" w:type="dxa"/>
        <w:tblLayout w:type="fixed"/>
        <w:tblCellMar>
          <w:top w:w="0" w:type="dxa"/>
          <w:left w:w="0" w:type="dxa"/>
          <w:bottom w:w="0" w:type="dxa"/>
          <w:right w:w="0" w:type="dxa"/>
        </w:tblCellMar>
      </w:tblPr>
      <w:tblGrid>
        <w:gridCol w:w="2210"/>
      </w:tblGrid>
      <w:tr>
        <w:trPr/>
        <w:tc>
          <w:tcPr>
            <w:tcW w:w="22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22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TABLE OF CONTENTS</w:t>
            </w:r>
          </w:p>
        </w:tc>
      </w:tr>
    </w:tbl>
    <w:p>
      <w:pPr>
        <w:pStyle w:val="TextBody"/>
        <w:bidi w:val="0"/>
        <w:spacing w:before="0" w:after="0"/>
        <w:jc w:val="both"/>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320"/>
        <w:gridCol w:w="7100"/>
        <w:gridCol w:w="335"/>
      </w:tblGrid>
      <w:tr>
        <w:trPr/>
        <w:tc>
          <w:tcPr>
            <w:tcW w:w="320" w:type="dxa"/>
            <w:tcBorders/>
            <w:shd w:fill="CCEEFF" w:val="clear"/>
            <w:vAlign w:val="center"/>
          </w:tcPr>
          <w:p>
            <w:pPr>
              <w:pStyle w:val="TableContents"/>
              <w:bidi w:val="0"/>
              <w:spacing w:before="0" w:after="283"/>
              <w:jc w:val="left"/>
              <w:rPr/>
            </w:pPr>
            <w:r>
              <w:rPr/>
              <w:t> </w:t>
            </w:r>
          </w:p>
        </w:tc>
        <w:tc>
          <w:tcPr>
            <w:tcW w:w="710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Management’s Responsibility for Financial Reporting</w:t>
              </w:r>
            </w:hyperlink>
          </w:p>
        </w:tc>
        <w:tc>
          <w:tcPr>
            <w:tcW w:w="335" w:type="dxa"/>
            <w:tcBorders/>
            <w:shd w:fill="CCEEFF" w:val="clear"/>
            <w:vAlign w:val="center"/>
          </w:tcPr>
          <w:p>
            <w:pPr>
              <w:pStyle w:val="TableContents"/>
              <w:bidi w:val="0"/>
              <w:spacing w:before="0" w:after="283"/>
              <w:jc w:val="center"/>
              <w:rPr/>
            </w:pPr>
            <w:r>
              <w:rPr/>
              <w:t>3</w:t>
            </w:r>
          </w:p>
        </w:tc>
      </w:tr>
      <w:tr>
        <w:trPr/>
        <w:tc>
          <w:tcPr>
            <w:tcW w:w="32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Management’s Report on Internal Control over Financial Reporting</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320" w:type="dxa"/>
            <w:tcBorders/>
            <w:shd w:fill="CCEEFF" w:val="clear"/>
            <w:vAlign w:val="center"/>
          </w:tcPr>
          <w:p>
            <w:pPr>
              <w:pStyle w:val="TableContents"/>
              <w:bidi w:val="0"/>
              <w:spacing w:before="0" w:after="283"/>
              <w:jc w:val="left"/>
              <w:rPr/>
            </w:pPr>
            <w:r>
              <w:rPr/>
              <w:t> </w:t>
            </w:r>
          </w:p>
        </w:tc>
        <w:tc>
          <w:tcPr>
            <w:tcW w:w="710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Report of Independent Registered Public Accounting Firm</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32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320" w:type="dxa"/>
            <w:tcBorders/>
            <w:shd w:fill="CCEEFF" w:val="clear"/>
            <w:vAlign w:val="center"/>
          </w:tcPr>
          <w:p>
            <w:pPr>
              <w:pStyle w:val="TableContents"/>
              <w:bidi w:val="0"/>
              <w:spacing w:before="0" w:after="283"/>
              <w:jc w:val="left"/>
              <w:rPr/>
            </w:pPr>
            <w:r>
              <w:rPr/>
              <w:t> </w:t>
            </w:r>
          </w:p>
        </w:tc>
        <w:tc>
          <w:tcPr>
            <w:tcW w:w="71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w:t>
            </w:r>
          </w:p>
        </w:tc>
        <w:tc>
          <w:tcPr>
            <w:tcW w:w="335" w:type="dxa"/>
            <w:tcBorders/>
            <w:shd w:fill="CCEEFF" w:val="clear"/>
            <w:vAlign w:val="center"/>
          </w:tcPr>
          <w:p>
            <w:pPr>
              <w:pStyle w:val="TableContents"/>
              <w:bidi w:val="0"/>
              <w:spacing w:before="0" w:after="283"/>
              <w:jc w:val="center"/>
              <w:rPr/>
            </w:pPr>
            <w:r>
              <w:rPr/>
              <w:t> </w:t>
            </w:r>
          </w:p>
        </w:tc>
      </w:tr>
      <w:tr>
        <w:trPr/>
        <w:tc>
          <w:tcPr>
            <w:tcW w:w="32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Consolidated Statements of Financial Position</w:t>
              </w:r>
            </w:hyperlink>
          </w:p>
        </w:tc>
        <w:tc>
          <w:tcPr>
            <w:tcW w:w="335" w:type="dxa"/>
            <w:tcBorders/>
            <w:vAlign w:val="center"/>
          </w:tcPr>
          <w:p>
            <w:pPr>
              <w:pStyle w:val="TableContents"/>
              <w:bidi w:val="0"/>
              <w:spacing w:before="0" w:after="283"/>
              <w:jc w:val="center"/>
              <w:rPr/>
            </w:pPr>
            <w:r>
              <w:rPr/>
              <w:t>8</w:t>
            </w:r>
          </w:p>
        </w:tc>
      </w:tr>
      <w:tr>
        <w:trPr/>
        <w:tc>
          <w:tcPr>
            <w:tcW w:w="320" w:type="dxa"/>
            <w:tcBorders/>
            <w:shd w:fill="CCEEFF" w:val="clear"/>
            <w:vAlign w:val="center"/>
          </w:tcPr>
          <w:p>
            <w:pPr>
              <w:pStyle w:val="TableContents"/>
              <w:bidi w:val="0"/>
              <w:spacing w:before="0" w:after="283"/>
              <w:jc w:val="left"/>
              <w:rPr/>
            </w:pPr>
            <w:r>
              <w:rPr/>
              <w:t> </w:t>
            </w:r>
          </w:p>
        </w:tc>
        <w:tc>
          <w:tcPr>
            <w:tcW w:w="710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Consolidated Statements of Profit or Loss and Comprehensive Profit or Loss</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32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Consolidated Statements of Changes in Equity</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320" w:type="dxa"/>
            <w:tcBorders/>
            <w:shd w:fill="CCEEFF" w:val="clear"/>
            <w:vAlign w:val="center"/>
          </w:tcPr>
          <w:p>
            <w:pPr>
              <w:pStyle w:val="TableContents"/>
              <w:bidi w:val="0"/>
              <w:spacing w:before="0" w:after="283"/>
              <w:jc w:val="left"/>
              <w:rPr/>
            </w:pPr>
            <w:r>
              <w:rPr/>
              <w:t> </w:t>
            </w:r>
          </w:p>
        </w:tc>
        <w:tc>
          <w:tcPr>
            <w:tcW w:w="710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Consolidated Statements of Cash Flows</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32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320" w:type="dxa"/>
            <w:tcBorders/>
            <w:shd w:fill="CCEEFF" w:val="clear"/>
            <w:vAlign w:val="center"/>
          </w:tcPr>
          <w:p>
            <w:pPr>
              <w:pStyle w:val="TableContents"/>
              <w:bidi w:val="0"/>
              <w:spacing w:before="0" w:after="283"/>
              <w:jc w:val="left"/>
              <w:rPr/>
            </w:pPr>
            <w:r>
              <w:rPr/>
              <w:t> </w:t>
            </w:r>
          </w:p>
        </w:tc>
        <w:tc>
          <w:tcPr>
            <w:tcW w:w="710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sz w:val="20"/>
                </w:rPr>
                <w:t>Notes to the Consolidated Financial Statements</w:t>
              </w:r>
            </w:hyperlink>
          </w:p>
        </w:tc>
        <w:tc>
          <w:tcPr>
            <w:tcW w:w="335" w:type="dxa"/>
            <w:tcBorders/>
            <w:shd w:fill="CCEEFF" w:val="clear"/>
            <w:vAlign w:val="center"/>
          </w:tcPr>
          <w:p>
            <w:pPr>
              <w:pStyle w:val="TableContents"/>
              <w:bidi w:val="0"/>
              <w:spacing w:before="0" w:after="283"/>
              <w:jc w:val="center"/>
              <w:rPr/>
            </w:pPr>
            <w:r>
              <w:rPr/>
              <w:t> </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00" w:type="dxa"/>
            <w:tcBorders/>
            <w:vAlign w:val="center"/>
          </w:tcPr>
          <w:p>
            <w:pPr>
              <w:pStyle w:val="TableContents"/>
              <w:bidi w:val="0"/>
              <w:spacing w:before="0" w:after="283"/>
              <w:jc w:val="left"/>
              <w:rPr/>
            </w:pPr>
            <w:hyperlink w:anchor="a_009">
              <w:r>
                <w:rPr>
                  <w:rStyle w:val="InternetLink"/>
                  <w:rFonts w:ascii="Times New Roman;Times;Serif" w:hAnsi="Times New Roman;Times;Serif"/>
                  <w:sz w:val="20"/>
                </w:rPr>
                <w:t>Nature of Operations</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10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Liquidity</w:t>
              </w:r>
            </w:hyperlink>
            <w:hyperlink w:anchor="a_010">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100" w:type="dxa"/>
            <w:tcBorders/>
            <w:vAlign w:val="center"/>
          </w:tcPr>
          <w:p>
            <w:pPr>
              <w:pStyle w:val="TableContents"/>
              <w:bidi w:val="0"/>
              <w:spacing w:before="0" w:after="283"/>
              <w:jc w:val="left"/>
              <w:rPr/>
            </w:pPr>
            <w:hyperlink w:anchor="a_011">
              <w:r>
                <w:rPr>
                  <w:rStyle w:val="InternetLink"/>
                  <w:rFonts w:ascii="Times New Roman;Times;Serif" w:hAnsi="Times New Roman;Times;Serif"/>
                  <w:sz w:val="20"/>
                </w:rPr>
                <w:t>Basis of Presentation and Material Accounting Policy Information</w:t>
              </w:r>
            </w:hyperlink>
            <w:hyperlink w:anchor="a_011">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10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Significant Accounting Judgments and Estimates</w:t>
              </w:r>
            </w:hyperlink>
          </w:p>
        </w:tc>
        <w:tc>
          <w:tcPr>
            <w:tcW w:w="335" w:type="dxa"/>
            <w:tcBorders/>
            <w:shd w:fill="CCEEFF" w:val="clear"/>
            <w:vAlign w:val="center"/>
          </w:tcPr>
          <w:p>
            <w:pPr>
              <w:pStyle w:val="TableContents"/>
              <w:bidi w:val="0"/>
              <w:spacing w:before="0" w:after="283"/>
              <w:jc w:val="center"/>
              <w:rPr/>
            </w:pPr>
            <w:r>
              <w:rPr/>
              <w:t>30</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100" w:type="dxa"/>
            <w:tcBorders/>
            <w:vAlign w:val="center"/>
          </w:tcPr>
          <w:p>
            <w:pPr>
              <w:pStyle w:val="TableContents"/>
              <w:bidi w:val="0"/>
              <w:spacing w:before="0" w:after="283"/>
              <w:jc w:val="left"/>
              <w:rPr/>
            </w:pPr>
            <w:hyperlink w:anchor="a_013">
              <w:r>
                <w:rPr>
                  <w:rStyle w:val="InternetLink"/>
                  <w:rFonts w:ascii="Times New Roman;Times;Serif" w:hAnsi="Times New Roman;Times;Serif"/>
                  <w:sz w:val="20"/>
                </w:rPr>
                <w:t>Acquisitions of Assets</w:t>
              </w:r>
            </w:hyperlink>
            <w:hyperlink w:anchor="a_013">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10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Trade Receivables</w:t>
              </w:r>
            </w:hyperlink>
            <w:hyperlink w:anchor="a_014">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7100" w:type="dxa"/>
            <w:tcBorders/>
            <w:vAlign w:val="center"/>
          </w:tcPr>
          <w:p>
            <w:pPr>
              <w:pStyle w:val="TableContents"/>
              <w:bidi w:val="0"/>
              <w:spacing w:before="0" w:after="283"/>
              <w:jc w:val="left"/>
              <w:rPr/>
            </w:pPr>
            <w:hyperlink w:anchor="a_015">
              <w:r>
                <w:rPr>
                  <w:rStyle w:val="InternetLink"/>
                  <w:rFonts w:ascii="Times New Roman;Times;Serif" w:hAnsi="Times New Roman;Times;Serif"/>
                  <w:sz w:val="20"/>
                </w:rPr>
                <w:t>Other Assets</w:t>
              </w:r>
            </w:hyperlink>
            <w:hyperlink w:anchor="a_015">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710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Digital Assets</w:t>
              </w:r>
            </w:hyperlink>
            <w:hyperlink w:anchor="a_016">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7100" w:type="dxa"/>
            <w:tcBorders/>
            <w:vAlign w:val="center"/>
          </w:tcPr>
          <w:p>
            <w:pPr>
              <w:pStyle w:val="TableContents"/>
              <w:bidi w:val="0"/>
              <w:spacing w:before="0" w:after="283"/>
              <w:jc w:val="left"/>
              <w:rPr/>
            </w:pPr>
            <w:hyperlink w:anchor="a_017">
              <w:r>
                <w:rPr>
                  <w:rStyle w:val="InternetLink"/>
                  <w:rFonts w:ascii="Times New Roman;Times;Serif" w:hAnsi="Times New Roman;Times;Serif"/>
                  <w:sz w:val="20"/>
                </w:rPr>
                <w:t>Derivative Assets and Liabilities</w:t>
              </w:r>
            </w:hyperlink>
            <w:hyperlink w:anchor="a_017">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710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Assets Held for Sale</w:t>
              </w:r>
            </w:hyperlink>
            <w:hyperlink w:anchor="a_018">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7100" w:type="dxa"/>
            <w:tcBorders/>
            <w:vAlign w:val="center"/>
          </w:tcPr>
          <w:p>
            <w:pPr>
              <w:pStyle w:val="TableContents"/>
              <w:bidi w:val="0"/>
              <w:spacing w:before="0" w:after="283"/>
              <w:jc w:val="left"/>
              <w:rPr/>
            </w:pPr>
            <w:hyperlink w:anchor="a_019">
              <w:r>
                <w:rPr>
                  <w:rStyle w:val="InternetLink"/>
                  <w:rFonts w:ascii="Times New Roman;Times;Serif" w:hAnsi="Times New Roman;Times;Serif"/>
                  <w:sz w:val="20"/>
                </w:rPr>
                <w:t>Impairment</w:t>
              </w:r>
            </w:hyperlink>
            <w:hyperlink w:anchor="a_019">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7100"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Property, Plant and Equipment</w:t>
              </w:r>
            </w:hyperlink>
            <w:hyperlink w:anchor="a_020">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7100" w:type="dxa"/>
            <w:tcBorders/>
            <w:vAlign w:val="center"/>
          </w:tcPr>
          <w:p>
            <w:pPr>
              <w:pStyle w:val="TableContents"/>
              <w:bidi w:val="0"/>
              <w:spacing w:before="0" w:after="283"/>
              <w:jc w:val="left"/>
              <w:rPr/>
            </w:pPr>
            <w:hyperlink w:anchor="a_021">
              <w:r>
                <w:rPr>
                  <w:rStyle w:val="InternetLink"/>
                  <w:rFonts w:ascii="Times New Roman;Times;Serif" w:hAnsi="Times New Roman;Times;Serif"/>
                  <w:sz w:val="20"/>
                </w:rPr>
                <w:t>Intangible Assets</w:t>
              </w:r>
            </w:hyperlink>
            <w:hyperlink w:anchor="a_021">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7100"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Long-term Deposits, Equipment Prepayments and Other</w:t>
              </w:r>
            </w:hyperlink>
            <w:hyperlink w:anchor="a_022">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7100" w:type="dxa"/>
            <w:tcBorders/>
            <w:vAlign w:val="center"/>
          </w:tcPr>
          <w:p>
            <w:pPr>
              <w:pStyle w:val="TableContents"/>
              <w:bidi w:val="0"/>
              <w:spacing w:before="0" w:after="283"/>
              <w:jc w:val="left"/>
              <w:rPr/>
            </w:pPr>
            <w:hyperlink w:anchor="a_023">
              <w:r>
                <w:rPr>
                  <w:rStyle w:val="InternetLink"/>
                  <w:rFonts w:ascii="Times New Roman;Times;Serif" w:hAnsi="Times New Roman;Times;Serif"/>
                  <w:sz w:val="20"/>
                </w:rPr>
                <w:t>Refundable deposits</w:t>
              </w:r>
            </w:hyperlink>
            <w:hyperlink w:anchor="a_023">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7100"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Trade Payables and Accrued Liabilities</w:t>
              </w:r>
            </w:hyperlink>
            <w:hyperlink w:anchor="a_024">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7100" w:type="dxa"/>
            <w:tcBorders/>
            <w:vAlign w:val="center"/>
          </w:tcPr>
          <w:p>
            <w:pPr>
              <w:pStyle w:val="TableContents"/>
              <w:bidi w:val="0"/>
              <w:spacing w:before="0" w:after="283"/>
              <w:jc w:val="left"/>
              <w:rPr/>
            </w:pPr>
            <w:hyperlink w:anchor="a_025">
              <w:r>
                <w:rPr>
                  <w:rStyle w:val="InternetLink"/>
                  <w:rFonts w:ascii="Times New Roman;Times;Serif" w:hAnsi="Times New Roman;Times;Serif"/>
                  <w:sz w:val="20"/>
                </w:rPr>
                <w:t>Warrant Liabilities</w:t>
              </w:r>
            </w:hyperlink>
            <w:hyperlink w:anchor="a_025">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7100"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Long-term Debt</w:t>
              </w:r>
            </w:hyperlink>
            <w:hyperlink w:anchor="a_026">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7100" w:type="dxa"/>
            <w:tcBorders/>
            <w:vAlign w:val="center"/>
          </w:tcPr>
          <w:p>
            <w:pPr>
              <w:pStyle w:val="TableContents"/>
              <w:bidi w:val="0"/>
              <w:spacing w:before="0" w:after="283"/>
              <w:jc w:val="left"/>
              <w:rPr/>
            </w:pPr>
            <w:hyperlink w:anchor="a_027">
              <w:r>
                <w:rPr>
                  <w:rStyle w:val="InternetLink"/>
                  <w:rFonts w:ascii="Times New Roman;Times;Serif" w:hAnsi="Times New Roman;Times;Serif"/>
                  <w:sz w:val="20"/>
                </w:rPr>
                <w:t>Leases</w:t>
              </w:r>
            </w:hyperlink>
            <w:hyperlink w:anchor="a_027">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7100"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Income Taxes</w:t>
              </w:r>
            </w:hyperlink>
            <w:hyperlink w:anchor="a_028">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7100" w:type="dxa"/>
            <w:tcBorders/>
            <w:vAlign w:val="center"/>
          </w:tcPr>
          <w:p>
            <w:pPr>
              <w:pStyle w:val="TableContents"/>
              <w:bidi w:val="0"/>
              <w:spacing w:before="0" w:after="283"/>
              <w:jc w:val="left"/>
              <w:rPr/>
            </w:pPr>
            <w:hyperlink w:anchor="a_029">
              <w:r>
                <w:rPr>
                  <w:rStyle w:val="InternetLink"/>
                  <w:rFonts w:ascii="Times New Roman;Times;Serif" w:hAnsi="Times New Roman;Times;Serif"/>
                  <w:sz w:val="20"/>
                </w:rPr>
                <w:t>Asset Retirement Provision</w:t>
              </w:r>
            </w:hyperlink>
            <w:hyperlink w:anchor="a_029">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7100"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Share Capital</w:t>
              </w:r>
            </w:hyperlink>
            <w:hyperlink w:anchor="a_030">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7100" w:type="dxa"/>
            <w:tcBorders/>
            <w:vAlign w:val="center"/>
          </w:tcPr>
          <w:p>
            <w:pPr>
              <w:pStyle w:val="TableContents"/>
              <w:bidi w:val="0"/>
              <w:spacing w:before="0" w:after="283"/>
              <w:jc w:val="left"/>
              <w:rPr/>
            </w:pPr>
            <w:hyperlink w:anchor="a_031">
              <w:r>
                <w:rPr>
                  <w:rStyle w:val="InternetLink"/>
                  <w:rFonts w:ascii="Times New Roman;Times;Serif" w:hAnsi="Times New Roman;Times;Serif"/>
                  <w:sz w:val="20"/>
                </w:rPr>
                <w:t>Financial Instruments</w:t>
              </w:r>
            </w:hyperlink>
            <w:hyperlink w:anchor="a_031">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7100"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sz w:val="20"/>
                </w:rPr>
                <w:t>Transactions and Balances with Related Parties</w:t>
              </w:r>
            </w:hyperlink>
            <w:hyperlink w:anchor="a_032">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7100" w:type="dxa"/>
            <w:tcBorders/>
            <w:vAlign w:val="center"/>
          </w:tcPr>
          <w:p>
            <w:pPr>
              <w:pStyle w:val="TableContents"/>
              <w:bidi w:val="0"/>
              <w:spacing w:before="0" w:after="283"/>
              <w:jc w:val="left"/>
              <w:rPr/>
            </w:pPr>
            <w:hyperlink w:anchor="a_033">
              <w:r>
                <w:rPr>
                  <w:rStyle w:val="InternetLink"/>
                  <w:rFonts w:ascii="Times New Roman;Times;Serif" w:hAnsi="Times New Roman;Times;Serif"/>
                  <w:sz w:val="20"/>
                </w:rPr>
                <w:t>Capital Management Policies and Procedures</w:t>
              </w:r>
            </w:hyperlink>
            <w:hyperlink w:anchor="a_033">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7100" w:type="dxa"/>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sz w:val="20"/>
                </w:rPr>
                <w:t>Subsidiaries</w:t>
              </w:r>
            </w:hyperlink>
            <w:hyperlink w:anchor="a_034">
              <w:r>
                <w:rPr>
                  <w:rStyle w:val="InternetLink"/>
                </w:rPr>
                <w:t xml:space="preserve"> </w:t>
              </w:r>
            </w:hyperlink>
          </w:p>
        </w:tc>
        <w:tc>
          <w:tcPr>
            <w:tcW w:w="335" w:type="dxa"/>
            <w:tcBorders/>
            <w:shd w:fill="CCEEFF" w:val="clear"/>
            <w:vAlign w:val="center"/>
          </w:tcPr>
          <w:p>
            <w:pPr>
              <w:pStyle w:val="TableContents"/>
              <w:bidi w:val="0"/>
              <w:spacing w:before="0" w:after="283"/>
              <w:jc w:val="center"/>
              <w:rPr/>
            </w:pPr>
            <w:r>
              <w:rPr/>
              <w:t>70</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7100" w:type="dxa"/>
            <w:tcBorders/>
            <w:vAlign w:val="center"/>
          </w:tcPr>
          <w:p>
            <w:pPr>
              <w:pStyle w:val="TableContents"/>
              <w:bidi w:val="0"/>
              <w:spacing w:before="0" w:after="283"/>
              <w:jc w:val="left"/>
              <w:rPr/>
            </w:pPr>
            <w:hyperlink w:anchor="a_035">
              <w:r>
                <w:rPr>
                  <w:rStyle w:val="InternetLink"/>
                  <w:rFonts w:ascii="Times New Roman;Times;Serif" w:hAnsi="Times New Roman;Times;Serif"/>
                  <w:sz w:val="20"/>
                </w:rPr>
                <w:t>Net Loss Per Share</w:t>
              </w:r>
            </w:hyperlink>
            <w:hyperlink w:anchor="a_035">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7100" w:type="dxa"/>
            <w:tcBorders/>
            <w:shd w:fill="CCEEFF" w:val="clear"/>
            <w:vAlign w:val="center"/>
          </w:tcPr>
          <w:p>
            <w:pPr>
              <w:pStyle w:val="TableContents"/>
              <w:bidi w:val="0"/>
              <w:spacing w:before="0" w:after="283"/>
              <w:jc w:val="left"/>
              <w:rPr/>
            </w:pPr>
            <w:hyperlink w:anchor="a_036">
              <w:r>
                <w:rPr>
                  <w:rStyle w:val="InternetLink"/>
                  <w:rFonts w:ascii="Times New Roman;Times;Serif" w:hAnsi="Times New Roman;Times;Serif"/>
                  <w:sz w:val="20"/>
                </w:rPr>
                <w:t>Share-based Payments</w:t>
              </w:r>
            </w:hyperlink>
            <w:hyperlink w:anchor="a_036">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7100" w:type="dxa"/>
            <w:tcBorders/>
            <w:vAlign w:val="center"/>
          </w:tcPr>
          <w:p>
            <w:pPr>
              <w:pStyle w:val="TableContents"/>
              <w:bidi w:val="0"/>
              <w:spacing w:before="0" w:after="283"/>
              <w:jc w:val="left"/>
              <w:rPr/>
            </w:pPr>
            <w:hyperlink w:anchor="a_037">
              <w:r>
                <w:rPr>
                  <w:rStyle w:val="InternetLink"/>
                  <w:rFonts w:ascii="Times New Roman;Times;Serif" w:hAnsi="Times New Roman;Times;Serif"/>
                  <w:sz w:val="20"/>
                </w:rPr>
                <w:t>Additional Details to the Statement of Profit or Loss and Comprehensive Profit or Loss</w:t>
              </w:r>
            </w:hyperlink>
            <w:hyperlink w:anchor="a_037">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7100" w:type="dxa"/>
            <w:tcBorders/>
            <w:shd w:fill="CCEEFF" w:val="clear"/>
            <w:vAlign w:val="center"/>
          </w:tcPr>
          <w:p>
            <w:pPr>
              <w:pStyle w:val="TableContents"/>
              <w:bidi w:val="0"/>
              <w:spacing w:before="0" w:after="283"/>
              <w:jc w:val="left"/>
              <w:rPr/>
            </w:pPr>
            <w:hyperlink w:anchor="a_038">
              <w:r>
                <w:rPr>
                  <w:rStyle w:val="InternetLink"/>
                  <w:rFonts w:ascii="Times New Roman;Times;Serif" w:hAnsi="Times New Roman;Times;Serif"/>
                  <w:sz w:val="20"/>
                </w:rPr>
                <w:t>Geographical Information</w:t>
              </w:r>
            </w:hyperlink>
            <w:hyperlink w:anchor="a_038">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7100" w:type="dxa"/>
            <w:tcBorders/>
            <w:vAlign w:val="center"/>
          </w:tcPr>
          <w:p>
            <w:pPr>
              <w:pStyle w:val="TableContents"/>
              <w:bidi w:val="0"/>
              <w:spacing w:before="0" w:after="283"/>
              <w:jc w:val="left"/>
              <w:rPr/>
            </w:pPr>
            <w:hyperlink w:anchor="a_039">
              <w:r>
                <w:rPr>
                  <w:rStyle w:val="InternetLink"/>
                  <w:rFonts w:ascii="Times New Roman;Times;Serif" w:hAnsi="Times New Roman;Times;Serif"/>
                  <w:sz w:val="20"/>
                </w:rPr>
                <w:t>Additional Details to the Statements of Cash Flows</w:t>
              </w:r>
            </w:hyperlink>
            <w:hyperlink w:anchor="a_039">
              <w:r>
                <w:rPr>
                  <w:rStyle w:val="InternetLink"/>
                </w:rPr>
                <w:t xml:space="preserve"> </w:t>
              </w:r>
            </w:hyperlink>
          </w:p>
        </w:tc>
        <w:tc>
          <w:tcPr>
            <w:tcW w:w="3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7100" w:type="dxa"/>
            <w:tcBorders/>
            <w:shd w:fill="CCEEFF" w:val="clear"/>
            <w:vAlign w:val="center"/>
          </w:tcPr>
          <w:p>
            <w:pPr>
              <w:pStyle w:val="TableContents"/>
              <w:bidi w:val="0"/>
              <w:spacing w:before="0" w:after="283"/>
              <w:jc w:val="left"/>
              <w:rPr/>
            </w:pPr>
            <w:hyperlink w:anchor="a_040">
              <w:r>
                <w:rPr>
                  <w:rStyle w:val="InternetLink"/>
                  <w:rFonts w:ascii="Times New Roman;Times;Serif" w:hAnsi="Times New Roman;Times;Serif"/>
                  <w:sz w:val="20"/>
                </w:rPr>
                <w:t>Subsequent Events</w:t>
              </w:r>
            </w:hyperlink>
            <w:hyperlink w:anchor="a_040">
              <w:r>
                <w:rPr>
                  <w:rStyle w:val="InternetLink"/>
                </w:rPr>
                <w:t xml:space="preserve"> </w:t>
              </w:r>
            </w:hyperlink>
          </w:p>
        </w:tc>
        <w:tc>
          <w:tcPr>
            <w:tcW w:w="3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r>
    </w:tbl>
    <w:p>
      <w:pPr>
        <w:pStyle w:val="TextBody"/>
        <w:bidi w:val="0"/>
        <w:spacing w:before="0" w:after="0"/>
        <w:jc w:val="center"/>
        <w:rPr>
          <w:caps w:val="false"/>
          <w:smallCaps w:val="false"/>
        </w:rPr>
      </w:pPr>
      <w:r>
        <w:rPr>
          <w:caps w:val="false"/>
          <w:smallCaps w:val="false"/>
        </w:rPr>
        <w:t> </w:t>
      </w:r>
    </w:p>
    <w:tbl>
      <w:tblPr>
        <w:tblW w:w="760" w:type="dxa"/>
        <w:jc w:val="left"/>
        <w:tblInd w:w="0" w:type="dxa"/>
        <w:tblLayout w:type="fixed"/>
        <w:tblCellMar>
          <w:top w:w="28" w:type="dxa"/>
          <w:left w:w="0" w:type="dxa"/>
          <w:bottom w:w="0" w:type="dxa"/>
          <w:right w:w="0" w:type="dxa"/>
        </w:tblCellMar>
      </w:tblPr>
      <w:tblGrid>
        <w:gridCol w:w="215"/>
        <w:gridCol w:w="545"/>
      </w:tblGrid>
      <w:tr>
        <w:trPr/>
        <w:tc>
          <w:tcPr>
            <w:tcW w:w="215" w:type="dxa"/>
            <w:tcBorders>
              <w:top w:val="single" w:sz="12" w:space="0" w:color="000000"/>
            </w:tcBorders>
            <w:vAlign w:val="center"/>
          </w:tcPr>
          <w:p>
            <w:pPr>
              <w:pStyle w:val="TableContents"/>
              <w:bidi w:val="0"/>
              <w:spacing w:before="0" w:after="283"/>
              <w:jc w:val="right"/>
              <w:rPr>
                <w:sz w:val="20"/>
              </w:rPr>
            </w:pPr>
            <w:r>
              <w:rPr>
                <w:sz w:val="20"/>
              </w:rPr>
              <w:t>2 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 w:name="a_001"/>
      <w:bookmarkStart w:id="9" w:name="a_001"/>
      <w:bookmarkEnd w:id="9"/>
    </w:p>
    <w:tbl>
      <w:tblPr>
        <w:tblW w:w="6215" w:type="dxa"/>
        <w:jc w:val="left"/>
        <w:tblInd w:w="0" w:type="dxa"/>
        <w:tblLayout w:type="fixed"/>
        <w:tblCellMar>
          <w:top w:w="0" w:type="dxa"/>
          <w:left w:w="0" w:type="dxa"/>
          <w:bottom w:w="0" w:type="dxa"/>
          <w:right w:w="0" w:type="dxa"/>
        </w:tblCellMar>
      </w:tblPr>
      <w:tblGrid>
        <w:gridCol w:w="6215"/>
      </w:tblGrid>
      <w:tr>
        <w:trPr/>
        <w:tc>
          <w:tcPr>
            <w:tcW w:w="6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62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RESPONSIBILITY FOR FINANCIAL REPORTING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the Shareholders and Board of Directors of Bitfarms Ltd.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Bitfarms Ltd., their presentation and the information contained in the Management’s Discussion and Analysis (“MD&amp;A”) including information determined by specialists, are the responsibility of management and have been approved the Board of Directors (the “Board”).</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International Financial Reporting Standards as issued by the International Accounting Standards Board (“IFRS Accounting Standards”). The most significant of these accounting principles are set out in Note 3 to the consolidated financial statements.</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composed of a majority of independent directors who are neither Management nor employees of the Company. The Board is responsible for overseeing Management in the performance of its financial reporting responsibilities, and for approving the financial information included in the consolidated financial statements. The Board fulfills these responsibilities by reviewing the financial information prepared by Management and discussing relevant matters with Management.</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composed of independent directors who are neither Management nor employees of the Company. The Audit Committee has the responsibility of meeting with Management and the Company’s independent registered public accounting firm to discuss the internal controls over financial reporting, auditing matters and financial reporting issues. The Audit Committee is also responsible for recommending the appointment of the Company’s external auditors.</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auditors have full and free access to, and meet periodically and separately with, both the Audit Committee and Management to discuss their audit findings.</w:t>
      </w:r>
    </w:p>
    <w:p>
      <w:pPr>
        <w:pStyle w:val="TextBody"/>
        <w:bidi w:val="0"/>
        <w:spacing w:before="0" w:after="0"/>
        <w:jc w:val="both"/>
        <w:rPr>
          <w:caps w:val="false"/>
          <w:smallCaps w:val="false"/>
        </w:rPr>
      </w:pPr>
      <w:r>
        <w:rPr>
          <w:caps w:val="false"/>
          <w:smallCaps w:val="false"/>
        </w:rPr>
        <w:t> </w:t>
      </w:r>
    </w:p>
    <w:tbl>
      <w:tblPr>
        <w:tblW w:w="6760" w:type="dxa"/>
        <w:jc w:val="left"/>
        <w:tblInd w:w="0" w:type="dxa"/>
        <w:tblLayout w:type="fixed"/>
        <w:tblCellMar>
          <w:top w:w="0" w:type="dxa"/>
          <w:left w:w="0" w:type="dxa"/>
          <w:bottom w:w="28" w:type="dxa"/>
          <w:right w:w="0" w:type="dxa"/>
        </w:tblCellMar>
      </w:tblPr>
      <w:tblGrid>
        <w:gridCol w:w="3800"/>
        <w:gridCol w:w="90"/>
        <w:gridCol w:w="2870"/>
      </w:tblGrid>
      <w:tr>
        <w:trPr/>
        <w:tc>
          <w:tcPr>
            <w:tcW w:w="3800" w:type="dxa"/>
            <w:tcBorders>
              <w:bottom w:val="single" w:sz="12" w:space="0" w:color="000000"/>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/s/ Ben Gagnon</w:t>
            </w:r>
          </w:p>
        </w:tc>
        <w:tc>
          <w:tcPr>
            <w:tcW w:w="9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/s/ Jeffrey Lucas</w:t>
            </w:r>
          </w:p>
        </w:tc>
      </w:tr>
      <w:tr>
        <w:trPr/>
        <w:tc>
          <w:tcPr>
            <w:tcW w:w="3800" w:type="dxa"/>
            <w:tcBorders/>
            <w:tcMar>
              <w:bottom w:w="0" w:type="dxa"/>
            </w:tcMar>
            <w:vAlign w:val="center"/>
          </w:tcPr>
          <w:p>
            <w:pPr>
              <w:pStyle w:val="TableContents"/>
              <w:bidi w:val="0"/>
              <w:spacing w:before="0" w:after="283"/>
              <w:jc w:val="center"/>
              <w:rPr/>
            </w:pPr>
            <w:r>
              <w:rPr>
                <w:rFonts w:ascii="Times New Roman;Times;Serif" w:hAnsi="Times New Roman;Times;Serif"/>
                <w:b/>
                <w:sz w:val="20"/>
              </w:rPr>
              <w:t>Chief Executive Officer (</w:t>
            </w:r>
            <w:r>
              <w:rPr/>
              <w:t>“</w:t>
            </w:r>
            <w:r>
              <w:rPr>
                <w:rFonts w:ascii="Times New Roman;Times;Serif" w:hAnsi="Times New Roman;Times;Serif"/>
                <w:b/>
                <w:sz w:val="20"/>
              </w:rPr>
              <w:t>CEO</w:t>
            </w:r>
            <w:r>
              <w:rPr>
                <w:sz w:val="20"/>
              </w:rPr>
              <w:t>”</w:t>
            </w:r>
            <w:r>
              <w:rPr>
                <w:rFonts w:ascii="Times New Roman;Times;Serif" w:hAnsi="Times New Roman;Times;Serif"/>
                <w:b/>
                <w:sz w:val="20"/>
              </w:rPr>
              <w:t>) &amp; Director</w:t>
            </w:r>
          </w:p>
        </w:tc>
        <w:tc>
          <w:tcPr>
            <w:tcW w:w="90" w:type="dxa"/>
            <w:tcBorders/>
            <w:tcMar>
              <w:bottom w:w="0" w:type="dxa"/>
            </w:tcMar>
            <w:vAlign w:val="center"/>
          </w:tcPr>
          <w:p>
            <w:pPr>
              <w:pStyle w:val="TableContents"/>
              <w:bidi w:val="0"/>
              <w:spacing w:before="0" w:after="283"/>
              <w:jc w:val="left"/>
              <w:rPr/>
            </w:pPr>
            <w:r>
              <w:rPr/>
              <w:t> </w:t>
            </w:r>
          </w:p>
        </w:tc>
        <w:tc>
          <w:tcPr>
            <w:tcW w:w="2870" w:type="dxa"/>
            <w:tcBorders/>
            <w:tcMar>
              <w:bottom w:w="0" w:type="dxa"/>
            </w:tcMar>
            <w:vAlign w:val="center"/>
          </w:tcPr>
          <w:p>
            <w:pPr>
              <w:pStyle w:val="TableContents"/>
              <w:bidi w:val="0"/>
              <w:spacing w:before="0" w:after="283"/>
              <w:jc w:val="center"/>
              <w:rPr/>
            </w:pPr>
            <w:r>
              <w:rPr/>
              <w:t> </w:t>
            </w:r>
            <w:r>
              <w:rPr>
                <w:rFonts w:ascii="Times New Roman;Times;Serif" w:hAnsi="Times New Roman;Times;Serif"/>
                <w:b/>
                <w:sz w:val="20"/>
              </w:rPr>
              <w:t>Chief Financial Officer (</w:t>
            </w:r>
            <w:r>
              <w:rPr/>
              <w:t>“</w:t>
            </w:r>
            <w:r>
              <w:rPr>
                <w:rFonts w:ascii="Times New Roman;Times;Serif" w:hAnsi="Times New Roman;Times;Serif"/>
                <w:b/>
                <w:sz w:val="20"/>
              </w:rPr>
              <w:t>CFO</w:t>
            </w:r>
            <w:r>
              <w:rPr>
                <w:sz w:val="20"/>
              </w:rPr>
              <w:t>”</w:t>
            </w:r>
            <w:r>
              <w:rPr>
                <w:rFonts w:ascii="Times New Roman;Times;Serif" w:hAnsi="Times New Roman;Times;Serif"/>
                <w:b/>
                <w:sz w:val="20"/>
              </w:rPr>
              <w:t>)</w:t>
            </w:r>
          </w:p>
        </w:tc>
      </w:tr>
    </w:tbl>
    <w:p>
      <w:pPr>
        <w:pStyle w:val="TextBody"/>
        <w:bidi w:val="0"/>
        <w:spacing w:before="0" w:after="0"/>
        <w:jc w:val="both"/>
        <w:rPr>
          <w:caps w:val="false"/>
          <w:smallCaps w:val="false"/>
        </w:rPr>
      </w:pPr>
      <w:r>
        <w:rPr>
          <w:caps w:val="false"/>
          <w:smallCaps w:val="false"/>
        </w:rPr>
        <w:t> </w:t>
      </w:r>
    </w:p>
    <w:tbl>
      <w:tblPr>
        <w:tblW w:w="760" w:type="dxa"/>
        <w:jc w:val="left"/>
        <w:tblInd w:w="0" w:type="dxa"/>
        <w:tblLayout w:type="fixed"/>
        <w:tblCellMar>
          <w:top w:w="28" w:type="dxa"/>
          <w:left w:w="0" w:type="dxa"/>
          <w:bottom w:w="0" w:type="dxa"/>
          <w:right w:w="0" w:type="dxa"/>
        </w:tblCellMar>
      </w:tblPr>
      <w:tblGrid>
        <w:gridCol w:w="215"/>
        <w:gridCol w:w="545"/>
      </w:tblGrid>
      <w:tr>
        <w:trPr/>
        <w:tc>
          <w:tcPr>
            <w:tcW w:w="215" w:type="dxa"/>
            <w:tcBorders>
              <w:top w:val="single" w:sz="12" w:space="0" w:color="000000"/>
            </w:tcBorders>
            <w:vAlign w:val="center"/>
          </w:tcPr>
          <w:p>
            <w:pPr>
              <w:pStyle w:val="TableContents"/>
              <w:bidi w:val="0"/>
              <w:spacing w:before="0" w:after="283"/>
              <w:jc w:val="right"/>
              <w:rPr>
                <w:sz w:val="20"/>
              </w:rPr>
            </w:pPr>
            <w:r>
              <w:rPr>
                <w:sz w:val="20"/>
              </w:rPr>
              <w:t>3 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 w:name="a_002"/>
      <w:bookmarkStart w:id="11" w:name="a_002"/>
      <w:bookmarkEnd w:id="11"/>
    </w:p>
    <w:tbl>
      <w:tblPr>
        <w:tblW w:w="8045" w:type="dxa"/>
        <w:jc w:val="left"/>
        <w:tblInd w:w="0" w:type="dxa"/>
        <w:tblLayout w:type="fixed"/>
        <w:tblCellMar>
          <w:top w:w="0" w:type="dxa"/>
          <w:left w:w="0" w:type="dxa"/>
          <w:bottom w:w="0" w:type="dxa"/>
          <w:right w:w="0" w:type="dxa"/>
        </w:tblCellMar>
      </w:tblPr>
      <w:tblGrid>
        <w:gridCol w:w="8045"/>
      </w:tblGrid>
      <w:tr>
        <w:trPr/>
        <w:tc>
          <w:tcPr>
            <w:tcW w:w="8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80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REPORT ON INTERNAL CONTROLS OVER FINANCIAL REPORTING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under the supervision of the Company’s CEO and CFO, is responsible for establishing and maintaining adequate internal controls over financial reporting (“ICFR”). Internal controls over financial reporting is a process designed to provide reasonable assurance regarding the reliability of financial reporting and the preparation of financial statements for external purposes in accordance with IFRS Accounting Standards.</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control systems contain inherent limitations, regardless of how well designed. As a result, Management acknowledges that its internal controls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under the supervision of the CEO and CFO, has evaluated the effectiveness of the Company’s ICFR, as at December 31, 2024, in accordance with the criteria established in the </w:t>
      </w:r>
      <w:r>
        <w:rPr>
          <w:rFonts w:ascii="Times New Roman;Times;Serif" w:hAnsi="Times New Roman;Times;Serif"/>
          <w:b w:val="false"/>
          <w:i/>
          <w:caps w:val="false"/>
          <w:smallCaps w:val="false"/>
          <w:sz w:val="20"/>
        </w:rPr>
        <w:t>Internal Control – Integrated Framework (2013)</w:t>
      </w:r>
      <w:r>
        <w:rPr>
          <w:rFonts w:ascii="Times New Roman;Times;Serif" w:hAnsi="Times New Roman;Times;Serif"/>
          <w:b w:val="false"/>
          <w:i w:val="false"/>
          <w:caps w:val="false"/>
          <w:smallCaps w:val="false"/>
          <w:sz w:val="20"/>
        </w:rPr>
        <w:t xml:space="preserve"> issued by the Committee of Sponsoring Organizations of the Treadway Commission (COSO). Based on that assessment, Management concluded that its ICFR was not effective as of December 31, 2024 due to the identification of the material weakness discussed below.</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ICFR such that there is a reasonable possibility that a material misstatement of the Company’s annual or interim financial statements will not be prevented or detected on a timely basis. Based on this definition Management has concluded that the material weakness noted below existed in the Company’s ICFR.</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2024, Management determined that the restatement of financial information presented was necessary to correct the classification of proceeds from the sales of digital assets from cash flows from operations to cash flows from investing activities. The error was corrected in the restated consolidated financial statements for the year ended December 31, 2023, filed on December 9, 2024.</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also identified errors in the accounting for warrants that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2023, filed on December 9, 2024.</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determined that they did not maintain effective internal controls over the cash flow classification relating to the proceeds from the sales of digital assets. Management also determined that they did not maintain effective controls over the financial instruments that impacted the presentation, disclosure and accuracy of the accounting for complex financial instruments. Specifically, in both matters, Management did not design effective controls that enable the finance department to evaluate the appropriate accounting for more complex arrangements. This material weakness resulted in the misstatements in the consolidated financial statements, as described above, and could result in further misstatement of the financial statements or disclosures that would result in a material misstatement to the annual or interim consolidated financial statements that would not be prevented or detected.</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Company’s internal control over financial reporting as of December 31, 2024 has been audited by PricewaterhouseCoopers LLP, an independent registered public accounting firm, as stated in their report which is included herein.</w:t>
      </w:r>
    </w:p>
    <w:p>
      <w:pPr>
        <w:pStyle w:val="TextBody"/>
        <w:bidi w:val="0"/>
        <w:spacing w:before="0" w:after="0"/>
        <w:jc w:val="both"/>
        <w:rPr>
          <w:caps w:val="false"/>
          <w:smallCaps w:val="false"/>
        </w:rPr>
      </w:pPr>
      <w:r>
        <w:rPr>
          <w:caps w:val="false"/>
          <w:smallCaps w:val="false"/>
        </w:rPr>
        <w:t> </w:t>
      </w:r>
    </w:p>
    <w:tbl>
      <w:tblPr>
        <w:tblW w:w="760" w:type="dxa"/>
        <w:jc w:val="left"/>
        <w:tblInd w:w="0" w:type="dxa"/>
        <w:tblLayout w:type="fixed"/>
        <w:tblCellMar>
          <w:top w:w="28" w:type="dxa"/>
          <w:left w:w="0" w:type="dxa"/>
          <w:bottom w:w="0" w:type="dxa"/>
          <w:right w:w="0" w:type="dxa"/>
        </w:tblCellMar>
      </w:tblPr>
      <w:tblGrid>
        <w:gridCol w:w="215"/>
        <w:gridCol w:w="545"/>
      </w:tblGrid>
      <w:tr>
        <w:trPr/>
        <w:tc>
          <w:tcPr>
            <w:tcW w:w="215" w:type="dxa"/>
            <w:tcBorders>
              <w:top w:val="single" w:sz="12" w:space="0" w:color="000000"/>
            </w:tcBorders>
            <w:vAlign w:val="center"/>
          </w:tcPr>
          <w:p>
            <w:pPr>
              <w:pStyle w:val="TableContents"/>
              <w:bidi w:val="0"/>
              <w:spacing w:before="0" w:after="283"/>
              <w:jc w:val="right"/>
              <w:rPr>
                <w:sz w:val="20"/>
              </w:rPr>
            </w:pPr>
            <w:r>
              <w:rPr>
                <w:sz w:val="20"/>
              </w:rPr>
              <w:t>4 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 w:name="a_003"/>
      <w:bookmarkStart w:id="13" w:name="a_003"/>
      <w:bookmarkEnd w:id="13"/>
    </w:p>
    <w:tbl>
      <w:tblPr>
        <w:tblW w:w="6710" w:type="dxa"/>
        <w:jc w:val="left"/>
        <w:tblInd w:w="0" w:type="dxa"/>
        <w:tblLayout w:type="fixed"/>
        <w:tblCellMar>
          <w:top w:w="0" w:type="dxa"/>
          <w:left w:w="0" w:type="dxa"/>
          <w:bottom w:w="0" w:type="dxa"/>
          <w:right w:w="0" w:type="dxa"/>
        </w:tblCellMar>
      </w:tblPr>
      <w:tblGrid>
        <w:gridCol w:w="6710"/>
      </w:tblGrid>
      <w:tr>
        <w:trPr/>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67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REPORT OF INDEPENDENT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04875" cy="676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 cy="6762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Independent Registered Public Accounting Firm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Bitfarms Ltd.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 on the Financial Statements and Internal Control over Financial Reporting</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audited the accompanying consolidated statements of financial position of Bitfarms Ltd. and its subsidiaries (the Company) as of December 31, 2024 and 2023, and the related consolidated statements of profit or loss and comprehensive profit or loss, of changes in equity and of cash flows for the years then ended, including the related notes (collectively referred to as the consolidated financial statements). We also have audited the Company’s internal control over financial reporting as of December 31, 2024, based on criteria established in </w:t>
      </w:r>
      <w:r>
        <w:rPr>
          <w:rFonts w:ascii="Times New Roman;Times;Serif" w:hAnsi="Times New Roman;Times;Serif"/>
          <w:b w:val="false"/>
          <w:i/>
          <w:caps w:val="false"/>
          <w:smallCaps w:val="false"/>
          <w:sz w:val="20"/>
        </w:rPr>
        <w:t>Internal Control ‒ Integrated Framework</w:t>
      </w:r>
      <w:r>
        <w:rPr>
          <w:rFonts w:ascii="Times New Roman;Times;Serif" w:hAnsi="Times New Roman;Times;Serif"/>
          <w:b w:val="false"/>
          <w:i w:val="false"/>
          <w:caps w:val="false"/>
          <w:smallCaps w:val="false"/>
          <w:sz w:val="20"/>
        </w:rPr>
        <w:t xml:space="preserve"> (2013) issued by the Committee of Sponsoring Organizations of the Treadway Commission (COSO).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our opinion, the consolidated financial statements referred to above present fairly, in all material respects, the financial position of the Company as of December 31, 2024 and 2023, and its financial performance and its cash flows for the years then ended in conformity with International Financial Reporting Standards as issued by the International Accounting Standards Board. Also in our opinion, the Company did not maintain, in all material respects, effective internal control over financial reporting as of December 31, 2024, based on criteria established in </w:t>
      </w:r>
      <w:r>
        <w:rPr>
          <w:rFonts w:ascii="Times New Roman;Times;Serif" w:hAnsi="Times New Roman;Times;Serif"/>
          <w:b w:val="false"/>
          <w:i/>
          <w:caps w:val="false"/>
          <w:smallCaps w:val="false"/>
          <w:sz w:val="20"/>
        </w:rPr>
        <w:t>Internal Control ‒ Integrated Framework</w:t>
      </w:r>
      <w:r>
        <w:rPr>
          <w:rFonts w:ascii="Times New Roman;Times;Serif" w:hAnsi="Times New Roman;Times;Serif"/>
          <w:b w:val="false"/>
          <w:i w:val="false"/>
          <w:caps w:val="false"/>
          <w:smallCaps w:val="false"/>
          <w:sz w:val="20"/>
        </w:rPr>
        <w:t xml:space="preserve"> (2013) issued by the COSO because a material weakness in internal control over financial reporting existed as of that date related to the control over accounting for complex transactions.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the accompanying Management’s Report on Internal Control Over Financial Reporting. We considered this material weakness in determining the nature, timing, and extent of audit tests applied in our audit of the 2024 consolidated financial statements, and our opinion regarding the effectiveness of the Company’s internal control over financial reporting does not affect our opinion on those consolidated financial statements.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PricewaterhouseCoopers LLP</w:t>
      </w:r>
    </w:p>
    <w:p>
      <w:pPr>
        <w:pStyle w:val="TextBody"/>
        <w:bidi w:val="0"/>
        <w:spacing w:before="0" w:after="0"/>
        <w:ind w:left="72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PwC Tower, 18 York Street, Suite 2500, Toronto, Ontario, Canada M5J 0B2</w:t>
      </w:r>
    </w:p>
    <w:p>
      <w:pPr>
        <w:pStyle w:val="TextBody"/>
        <w:bidi w:val="0"/>
        <w:spacing w:before="0" w:after="0"/>
        <w:ind w:left="72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 +1 416 863 1133, F: +1 416 365 8215, ca_toronto_18_york_fax@pwc.com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PwC” refers to PricewaterhouseCoopers LLP, an Ontario limited liability partnership.</w:t>
      </w:r>
    </w:p>
    <w:p>
      <w:pPr>
        <w:pStyle w:val="TextBody"/>
        <w:bidi w:val="0"/>
        <w:spacing w:before="0" w:after="0"/>
        <w:jc w:val="left"/>
        <w:rPr>
          <w:caps w:val="false"/>
          <w:smallCaps w:val="false"/>
        </w:rPr>
      </w:pPr>
      <w:r>
        <w:rPr>
          <w:caps w:val="false"/>
          <w:smallCaps w:val="false"/>
        </w:rPr>
        <w:t> </w:t>
      </w:r>
    </w:p>
    <w:tbl>
      <w:tblPr>
        <w:tblW w:w="760" w:type="dxa"/>
        <w:jc w:val="left"/>
        <w:tblInd w:w="0" w:type="dxa"/>
        <w:tblLayout w:type="fixed"/>
        <w:tblCellMar>
          <w:top w:w="28" w:type="dxa"/>
          <w:left w:w="0" w:type="dxa"/>
          <w:bottom w:w="0" w:type="dxa"/>
          <w:right w:w="0" w:type="dxa"/>
        </w:tblCellMar>
      </w:tblPr>
      <w:tblGrid>
        <w:gridCol w:w="215"/>
        <w:gridCol w:w="545"/>
      </w:tblGrid>
      <w:tr>
        <w:trPr/>
        <w:tc>
          <w:tcPr>
            <w:tcW w:w="215" w:type="dxa"/>
            <w:tcBorders>
              <w:top w:val="single" w:sz="12" w:space="0" w:color="000000"/>
            </w:tcBorders>
            <w:vAlign w:val="center"/>
          </w:tcPr>
          <w:p>
            <w:pPr>
              <w:pStyle w:val="TableContents"/>
              <w:bidi w:val="0"/>
              <w:spacing w:before="0" w:after="283"/>
              <w:jc w:val="right"/>
              <w:rPr>
                <w:sz w:val="20"/>
              </w:rPr>
            </w:pPr>
            <w:r>
              <w:rPr>
                <w:sz w:val="20"/>
              </w:rPr>
              <w:t>5 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6710" w:type="dxa"/>
        <w:jc w:val="left"/>
        <w:tblInd w:w="0" w:type="dxa"/>
        <w:tblLayout w:type="fixed"/>
        <w:tblCellMar>
          <w:top w:w="0" w:type="dxa"/>
          <w:left w:w="0" w:type="dxa"/>
          <w:bottom w:w="0" w:type="dxa"/>
          <w:right w:w="0" w:type="dxa"/>
        </w:tblCellMar>
      </w:tblPr>
      <w:tblGrid>
        <w:gridCol w:w="6710"/>
      </w:tblGrid>
      <w:tr>
        <w:trPr/>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67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REPORT OF INDEPENDENT REGISTERED PUBLIC ACCOUNTING FIRM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04875" cy="676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 cy="6762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Limitations of Internal Control over Financial Reporting</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720" w:right="0" w:hanging="0"/>
        <w:jc w:val="left"/>
        <w:rPr>
          <w:caps w:val="false"/>
          <w:smallCaps w:val="false"/>
        </w:rPr>
      </w:pPr>
      <w:r>
        <w:rPr>
          <w:caps w:val="false"/>
          <w:smallCaps w:val="false"/>
        </w:rPr>
        <w:t> </w:t>
      </w:r>
    </w:p>
    <w:tbl>
      <w:tblPr>
        <w:tblW w:w="760" w:type="dxa"/>
        <w:jc w:val="left"/>
        <w:tblInd w:w="0" w:type="dxa"/>
        <w:tblLayout w:type="fixed"/>
        <w:tblCellMar>
          <w:top w:w="28" w:type="dxa"/>
          <w:left w:w="0" w:type="dxa"/>
          <w:bottom w:w="0" w:type="dxa"/>
          <w:right w:w="0" w:type="dxa"/>
        </w:tblCellMar>
      </w:tblPr>
      <w:tblGrid>
        <w:gridCol w:w="215"/>
        <w:gridCol w:w="545"/>
      </w:tblGrid>
      <w:tr>
        <w:trPr/>
        <w:tc>
          <w:tcPr>
            <w:tcW w:w="215" w:type="dxa"/>
            <w:tcBorders>
              <w:top w:val="single" w:sz="12" w:space="0" w:color="000000"/>
            </w:tcBorders>
            <w:vAlign w:val="center"/>
          </w:tcPr>
          <w:p>
            <w:pPr>
              <w:pStyle w:val="TableContents"/>
              <w:bidi w:val="0"/>
              <w:spacing w:before="0" w:after="283"/>
              <w:jc w:val="right"/>
              <w:rPr>
                <w:sz w:val="20"/>
              </w:rPr>
            </w:pPr>
            <w:r>
              <w:rPr>
                <w:sz w:val="20"/>
              </w:rPr>
              <w:t>6 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6710" w:type="dxa"/>
        <w:jc w:val="left"/>
        <w:tblInd w:w="0" w:type="dxa"/>
        <w:tblLayout w:type="fixed"/>
        <w:tblCellMar>
          <w:top w:w="0" w:type="dxa"/>
          <w:left w:w="0" w:type="dxa"/>
          <w:bottom w:w="0" w:type="dxa"/>
          <w:right w:w="0" w:type="dxa"/>
        </w:tblCellMar>
      </w:tblPr>
      <w:tblGrid>
        <w:gridCol w:w="6710"/>
      </w:tblGrid>
      <w:tr>
        <w:trPr/>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67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REPORT OF INDEPENDENT REGISTERED PUBLIC ACCOUNTING FIRM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04875" cy="676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 cy="676275"/>
                    </a:xfrm>
                    <a:prstGeom prst="rect">
                      <a:avLst/>
                    </a:prstGeom>
                  </pic:spPr>
                </pic:pic>
              </a:graphicData>
            </a:graphic>
          </wp:inline>
        </w:drawing>
      </w: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from sale of computational power used for hashing calculations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Notes 3, 9 and 30 to the consolidated financial statements, the Company recorded $186.5 million of revenues from sale of computational power used for hashing calculations to mining pool operators for the year ended December 31, 2024, of which a significant portion related to one mining pool operator (the Mining Pool Operator). In exchange for providing computational power to mining pool operators, the Company receives non-cash consideration in the form of Bitcoin based on a prescribed formula, and accounts for the Bitcoin to be received as variable consideration.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considerations for our determination that performing procedures relating to revenues from sale of computational power used for hashing calculations is a critical audit matter are the significant judgment used by the auditor in determining the procedures to be performed over the revenue balance and a high degree of auditor effort required to perform the procedures to test (i) the computational power provided to the Mining Pool Operator, (ii) the associated contractual amounts the Company is entitled to receive in return for providing the computational power, and (iii) the quantity of the Bitcoin received from the Mining Pool Operator.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matter involved performing procedures and evaluating audit evidence in connection with forming our overall opinion on the consolidated financial statements. These procedures included testing the effectiveness of certain controls relating to the revenues from the sale of computational power used for hashing calculations. These procedures also included, among others (i) testing the computational power provided to the Mining Pool Operator by confirming directly with the Mining Pool Operator, (ii) testing the associated contractual amounts the Company is entitled to receive by recalculating the amount based on the prescribed formula; (iii) agreeing all the Bitcoin received directly to the blockchain and tracing all receipts during the year to the Company’s wallet addresses by using our proprietary software; and (iv) testing the settlement and ending balances of Bitcoin or cash by agreeing to third party custodian data and the Company’s bank statements.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PricewaterhouseCoopers LLP</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Licensed Public Accountants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Canada</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bidi w:val="0"/>
        <w:spacing w:before="0" w:after="0"/>
        <w:jc w:val="left"/>
        <w:rPr>
          <w:caps w:val="false"/>
          <w:smallCaps w:val="false"/>
        </w:rPr>
      </w:pPr>
      <w:r>
        <w:rPr>
          <w:caps w:val="false"/>
          <w:smallCaps w:val="false"/>
        </w:rPr>
        <w:t> </w:t>
      </w:r>
    </w:p>
    <w:tbl>
      <w:tblPr>
        <w:tblW w:w="760" w:type="dxa"/>
        <w:jc w:val="left"/>
        <w:tblInd w:w="0" w:type="dxa"/>
        <w:tblLayout w:type="fixed"/>
        <w:tblCellMar>
          <w:top w:w="28" w:type="dxa"/>
          <w:left w:w="0" w:type="dxa"/>
          <w:bottom w:w="0" w:type="dxa"/>
          <w:right w:w="0" w:type="dxa"/>
        </w:tblCellMar>
      </w:tblPr>
      <w:tblGrid>
        <w:gridCol w:w="215"/>
        <w:gridCol w:w="545"/>
      </w:tblGrid>
      <w:tr>
        <w:trPr/>
        <w:tc>
          <w:tcPr>
            <w:tcW w:w="215" w:type="dxa"/>
            <w:tcBorders>
              <w:top w:val="single" w:sz="12" w:space="0" w:color="000000"/>
            </w:tcBorders>
            <w:vAlign w:val="center"/>
          </w:tcPr>
          <w:p>
            <w:pPr>
              <w:pStyle w:val="TableContents"/>
              <w:bidi w:val="0"/>
              <w:spacing w:before="0" w:after="283"/>
              <w:jc w:val="right"/>
              <w:rPr>
                <w:sz w:val="20"/>
              </w:rPr>
            </w:pPr>
            <w:r>
              <w:rPr>
                <w:sz w:val="20"/>
              </w:rPr>
              <w:t>7 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 w:name="a_004"/>
      <w:bookmarkStart w:id="15" w:name="a_004"/>
      <w:bookmarkEnd w:id="15"/>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54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STATEMENTS OF FINANCIAL POSITION</w:t>
            </w:r>
          </w:p>
        </w:tc>
      </w:tr>
      <w:tr>
        <w:trPr/>
        <w:tc>
          <w:tcPr>
            <w:tcW w:w="54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08"/>
        <w:gridCol w:w="90"/>
        <w:gridCol w:w="90"/>
        <w:gridCol w:w="558"/>
        <w:gridCol w:w="90"/>
        <w:gridCol w:w="90"/>
        <w:gridCol w:w="178"/>
        <w:gridCol w:w="1799"/>
        <w:gridCol w:w="125"/>
        <w:gridCol w:w="90"/>
        <w:gridCol w:w="171"/>
        <w:gridCol w:w="1746"/>
        <w:gridCol w:w="170"/>
      </w:tblGrid>
      <w:tr>
        <w:trPr/>
        <w:tc>
          <w:tcPr>
            <w:tcW w:w="5008" w:type="dxa"/>
            <w:tcBorders>
              <w:bottom w:val="single" w:sz="8" w:space="0" w:color="000000"/>
            </w:tcBorders>
            <w:vAlign w:val="center"/>
          </w:tcPr>
          <w:p>
            <w:pPr>
              <w:pStyle w:val="TableContents"/>
              <w:bidi w:val="0"/>
              <w:spacing w:before="0" w:after="283"/>
              <w:ind w:left="0" w:right="0" w:hanging="180"/>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48"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77"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17" w:type="dxa"/>
            <w:gridSpan w:val="2"/>
            <w:tcBorders>
              <w:bottom w:val="single" w:sz="8" w:space="0" w:color="000000"/>
            </w:tcBorders>
            <w:vAlign w:val="center"/>
          </w:tcPr>
          <w:p>
            <w:pPr>
              <w:pStyle w:val="TableContents"/>
              <w:bidi w:val="0"/>
              <w:spacing w:before="0" w:after="283"/>
              <w:jc w:val="right"/>
              <w:rPr/>
            </w:pPr>
            <w:r>
              <w:rPr/>
              <w:t>As of December 31,</w:t>
            </w:r>
          </w:p>
        </w:tc>
        <w:tc>
          <w:tcPr>
            <w:tcW w:w="170"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008"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48" w:type="dxa"/>
            <w:gridSpan w:val="2"/>
            <w:tcBorders>
              <w:bottom w:val="single" w:sz="8" w:space="0" w:color="000000"/>
            </w:tcBorders>
            <w:vAlign w:val="center"/>
          </w:tcPr>
          <w:p>
            <w:pPr>
              <w:pStyle w:val="TableContents"/>
              <w:bidi w:val="0"/>
              <w:spacing w:before="0" w:after="283"/>
              <w:jc w:val="right"/>
              <w:rPr>
                <w:b/>
              </w:rPr>
            </w:pPr>
            <w:r>
              <w:rPr>
                <w:b/>
              </w:rPr>
              <w:t>Notes</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77" w:type="dxa"/>
            <w:gridSpan w:val="2"/>
            <w:tcBorders>
              <w:bottom w:val="single" w:sz="8" w:space="0" w:color="000000"/>
            </w:tcBorders>
            <w:vAlign w:val="center"/>
          </w:tcPr>
          <w:p>
            <w:pPr>
              <w:pStyle w:val="TableContents"/>
              <w:bidi w:val="0"/>
              <w:spacing w:before="0" w:after="283"/>
              <w:jc w:val="right"/>
              <w:rPr>
                <w:b/>
              </w:rPr>
            </w:pPr>
            <w:r>
              <w:rPr>
                <w:b/>
              </w:rPr>
              <w:t>2024</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17" w:type="dxa"/>
            <w:gridSpan w:val="2"/>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b/>
              </w:rPr>
            </w:pPr>
            <w:r>
              <w:rPr>
                <w:b/>
              </w:rPr>
              <w:t>Assets</w:t>
            </w:r>
          </w:p>
        </w:tc>
        <w:tc>
          <w:tcPr>
            <w:tcW w:w="90" w:type="dxa"/>
            <w:tcBorders/>
            <w:tcMar>
              <w:bottom w:w="0" w:type="dxa"/>
            </w:tcMar>
            <w:vAlign w:val="center"/>
          </w:tcPr>
          <w:p>
            <w:pPr>
              <w:pStyle w:val="TableContents"/>
              <w:bidi w:val="0"/>
              <w:spacing w:before="0" w:after="283"/>
              <w:jc w:val="left"/>
              <w:rPr/>
            </w:pPr>
            <w:r>
              <w:rPr/>
              <w:t> </w:t>
            </w:r>
          </w:p>
        </w:tc>
        <w:tc>
          <w:tcPr>
            <w:tcW w:w="648"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7"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17"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Current</w:t>
            </w:r>
          </w:p>
        </w:tc>
        <w:tc>
          <w:tcPr>
            <w:tcW w:w="90" w:type="dxa"/>
            <w:tcBorders/>
            <w:tcMar>
              <w:bottom w:w="0" w:type="dxa"/>
            </w:tcMar>
            <w:vAlign w:val="center"/>
          </w:tcPr>
          <w:p>
            <w:pPr>
              <w:pStyle w:val="TableContents"/>
              <w:bidi w:val="0"/>
              <w:spacing w:before="0" w:after="283"/>
              <w:jc w:val="left"/>
              <w:rPr/>
            </w:pPr>
            <w:r>
              <w:rPr/>
              <w:t> </w:t>
            </w:r>
          </w:p>
        </w:tc>
        <w:tc>
          <w:tcPr>
            <w:tcW w:w="648"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7"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17"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Cash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59,542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84,038</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Trade receivables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b/>
              </w:rPr>
            </w:pPr>
            <w:r>
              <w:rPr>
                <w:b/>
              </w:rPr>
              <w:t>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1,259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714</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Other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b/>
              </w:rPr>
            </w:pPr>
            <w:r>
              <w:rPr>
                <w:b/>
              </w:rPr>
              <w:t>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7,285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1,494</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Short-term prepaid deposits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14,554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6,393</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Income taxes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424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Digital assets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b/>
              </w:rPr>
            </w:pPr>
            <w:r>
              <w:rPr>
                <w:b/>
              </w:rPr>
              <w:t>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87,298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31,870</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Digital assets - restricted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b/>
              </w:rPr>
            </w:pPr>
            <w:r>
              <w:rPr>
                <w:b/>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32,826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Digital assets - collateralized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8, 18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2,101</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Electrical component inventory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1,180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705</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Derivative assets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9, 23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3,418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1,281</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bottom w:val="single" w:sz="8" w:space="0" w:color="000000"/>
            </w:tcBorders>
            <w:shd w:fill="CCEEFF" w:val="clear"/>
            <w:tcMar>
              <w:bottom w:w="30" w:type="dxa"/>
            </w:tcMar>
            <w:vAlign w:val="center"/>
          </w:tcPr>
          <w:p>
            <w:pPr>
              <w:pStyle w:val="TableContents"/>
              <w:bidi w:val="0"/>
              <w:spacing w:before="0" w:after="283"/>
              <w:jc w:val="left"/>
              <w:rPr/>
            </w:pPr>
            <w:r>
              <w:rPr/>
              <w:t>Assets held for sale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58" w:type="dxa"/>
            <w:tcBorders>
              <w:bottom w:val="single" w:sz="8" w:space="0" w:color="000000"/>
            </w:tcBorders>
            <w:shd w:fill="CCEEFF" w:val="clear"/>
            <w:vAlign w:val="center"/>
          </w:tcPr>
          <w:p>
            <w:pPr>
              <w:pStyle w:val="TableContents"/>
              <w:bidi w:val="0"/>
              <w:spacing w:before="0" w:after="283"/>
              <w:jc w:val="right"/>
              <w:rPr>
                <w:b/>
              </w:rPr>
            </w:pPr>
            <w:r>
              <w:rPr>
                <w:b/>
              </w:rPr>
              <w:t>10</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vAlign w:val="center"/>
          </w:tcPr>
          <w:p>
            <w:pPr>
              <w:pStyle w:val="TableContents"/>
              <w:bidi w:val="0"/>
              <w:spacing w:before="0" w:after="283"/>
              <w:jc w:val="left"/>
              <w:rPr/>
            </w:pPr>
            <w:r>
              <w:rPr/>
              <w:t> </w:t>
            </w:r>
          </w:p>
        </w:tc>
        <w:tc>
          <w:tcPr>
            <w:tcW w:w="1799" w:type="dxa"/>
            <w:tcBorders>
              <w:bottom w:val="single" w:sz="8" w:space="0" w:color="000000"/>
            </w:tcBorders>
            <w:shd w:fill="CCEEFF" w:val="clear"/>
            <w:vAlign w:val="center"/>
          </w:tcPr>
          <w:p>
            <w:pPr>
              <w:pStyle w:val="TableContents"/>
              <w:bidi w:val="0"/>
              <w:spacing w:before="0" w:after="283"/>
              <w:jc w:val="right"/>
              <w:rPr>
                <w:b/>
              </w:rPr>
            </w:pPr>
            <w:r>
              <w:rPr>
                <w:b/>
              </w:rPr>
              <w:t>5,923</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vAlign w:val="center"/>
          </w:tcPr>
          <w:p>
            <w:pPr>
              <w:pStyle w:val="TableContents"/>
              <w:bidi w:val="0"/>
              <w:spacing w:before="0" w:after="283"/>
              <w:jc w:val="left"/>
              <w:rPr/>
            </w:pPr>
            <w:r>
              <w:rPr/>
              <w:t> </w:t>
            </w:r>
          </w:p>
        </w:tc>
        <w:tc>
          <w:tcPr>
            <w:tcW w:w="1746" w:type="dxa"/>
            <w:tcBorders>
              <w:bottom w:val="single" w:sz="8" w:space="0" w:color="000000"/>
            </w:tcBorders>
            <w:shd w:fill="CCEEFF" w:val="clear"/>
            <w:vAlign w:val="center"/>
          </w:tcPr>
          <w:p>
            <w:pPr>
              <w:pStyle w:val="TableContents"/>
              <w:bidi w:val="0"/>
              <w:spacing w:before="0" w:after="283"/>
              <w:jc w:val="right"/>
              <w:rPr/>
            </w:pPr>
            <w:r>
              <w:rPr/>
              <w:t>1,388</w:t>
            </w:r>
          </w:p>
        </w:tc>
        <w:tc>
          <w:tcPr>
            <w:tcW w:w="170"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213,709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129,984</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Non-current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Property, plant and equipment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12, 30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348,525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186,012</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Right-of-use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b/>
              </w:rPr>
            </w:pPr>
            <w:r>
              <w:rPr>
                <w:b/>
              </w:rPr>
              <w:t>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23,020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14,315</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Long-term deposits, equipment prepayments and other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b/>
              </w:rPr>
            </w:pPr>
            <w:r>
              <w:rPr>
                <w:b/>
              </w:rPr>
              <w:t>14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56,367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44,437</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Refundable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b/>
              </w:rPr>
            </w:pPr>
            <w:r>
              <w:rPr>
                <w:b/>
              </w:rPr>
              <w:t>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21,956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277</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Intangible assets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b/>
              </w:rPr>
            </w:pPr>
            <w:r>
              <w:rPr>
                <w:b/>
              </w:rPr>
              <w:t>13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4,039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3,700</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bottom w:val="single" w:sz="8" w:space="0" w:color="000000"/>
            </w:tcBorders>
            <w:shd w:fill="CCEEFF" w:val="clear"/>
            <w:tcMar>
              <w:bottom w:w="30" w:type="dxa"/>
            </w:tcMar>
            <w:vAlign w:val="center"/>
          </w:tcPr>
          <w:p>
            <w:pPr>
              <w:pStyle w:val="TableContents"/>
              <w:bidi w:val="0"/>
              <w:spacing w:before="0" w:after="283"/>
              <w:jc w:val="left"/>
              <w:rPr/>
            </w:pPr>
            <w:r>
              <w:rPr/>
              <w:t>Deferred tax asset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58" w:type="dxa"/>
            <w:tcBorders>
              <w:bottom w:val="single" w:sz="8" w:space="0" w:color="000000"/>
            </w:tcBorders>
            <w:shd w:fill="CCEEFF" w:val="clear"/>
            <w:vAlign w:val="center"/>
          </w:tcPr>
          <w:p>
            <w:pPr>
              <w:pStyle w:val="TableContents"/>
              <w:bidi w:val="0"/>
              <w:spacing w:before="0" w:after="283"/>
              <w:jc w:val="right"/>
              <w:rPr>
                <w:b/>
              </w:rPr>
            </w:pPr>
            <w:r>
              <w:rPr>
                <w:b/>
              </w:rPr>
              <w:t>20</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vAlign w:val="center"/>
          </w:tcPr>
          <w:p>
            <w:pPr>
              <w:pStyle w:val="TableContents"/>
              <w:bidi w:val="0"/>
              <w:spacing w:before="0" w:after="283"/>
              <w:jc w:val="left"/>
              <w:rPr/>
            </w:pPr>
            <w:r>
              <w:rPr/>
              <w:t> </w:t>
            </w:r>
          </w:p>
        </w:tc>
        <w:tc>
          <w:tcPr>
            <w:tcW w:w="1799"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vAlign w:val="center"/>
          </w:tcPr>
          <w:p>
            <w:pPr>
              <w:pStyle w:val="TableContents"/>
              <w:bidi w:val="0"/>
              <w:spacing w:before="0" w:after="283"/>
              <w:jc w:val="left"/>
              <w:rPr/>
            </w:pPr>
            <w:r>
              <w:rPr/>
              <w:t> </w:t>
            </w:r>
          </w:p>
        </w:tc>
        <w:tc>
          <w:tcPr>
            <w:tcW w:w="1746" w:type="dxa"/>
            <w:tcBorders>
              <w:bottom w:val="single" w:sz="8" w:space="0" w:color="000000"/>
            </w:tcBorders>
            <w:shd w:fill="CCEEFF" w:val="clear"/>
            <w:vAlign w:val="center"/>
          </w:tcPr>
          <w:p>
            <w:pPr>
              <w:pStyle w:val="TableContents"/>
              <w:bidi w:val="0"/>
              <w:spacing w:before="0" w:after="0"/>
              <w:jc w:val="right"/>
              <w:rPr/>
            </w:pPr>
            <w:r>
              <w:rPr/>
              <w:t>—</w:t>
            </w:r>
          </w:p>
        </w:tc>
        <w:tc>
          <w:tcPr>
            <w:tcW w:w="170"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5008" w:type="dxa"/>
            <w:tcBorders>
              <w:bottom w:val="single" w:sz="12" w:space="0" w:color="000000"/>
            </w:tcBorders>
            <w:tcMar>
              <w:bottom w:w="30" w:type="dxa"/>
            </w:tcMar>
            <w:vAlign w:val="center"/>
          </w:tcPr>
          <w:p>
            <w:pPr>
              <w:pStyle w:val="TableContents"/>
              <w:bidi w:val="0"/>
              <w:spacing w:before="0" w:after="283"/>
              <w:jc w:val="left"/>
              <w:rPr>
                <w:b/>
              </w:rPr>
            </w:pPr>
            <w:r>
              <w:rPr>
                <w:b/>
              </w:rPr>
              <w:t>Total assets</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58"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8" w:type="dxa"/>
            <w:tcBorders>
              <w:bottom w:val="single" w:sz="12" w:space="0" w:color="000000"/>
            </w:tcBorders>
            <w:vAlign w:val="center"/>
          </w:tcPr>
          <w:p>
            <w:pPr>
              <w:pStyle w:val="TableContents"/>
              <w:bidi w:val="0"/>
              <w:spacing w:before="0" w:after="283"/>
              <w:jc w:val="left"/>
              <w:rPr/>
            </w:pPr>
            <w:r>
              <w:rPr/>
              <w:t> </w:t>
            </w:r>
          </w:p>
        </w:tc>
        <w:tc>
          <w:tcPr>
            <w:tcW w:w="1799" w:type="dxa"/>
            <w:tcBorders>
              <w:bottom w:val="single" w:sz="12" w:space="0" w:color="000000"/>
            </w:tcBorders>
            <w:vAlign w:val="center"/>
          </w:tcPr>
          <w:p>
            <w:pPr>
              <w:pStyle w:val="TableContents"/>
              <w:bidi w:val="0"/>
              <w:spacing w:before="0" w:after="283"/>
              <w:jc w:val="right"/>
              <w:rPr>
                <w:b/>
              </w:rPr>
            </w:pPr>
            <w:r>
              <w:rPr>
                <w:b/>
              </w:rPr>
              <w:t>667,616</w:t>
            </w:r>
          </w:p>
        </w:tc>
        <w:tc>
          <w:tcPr>
            <w:tcW w:w="12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1" w:type="dxa"/>
            <w:tcBorders>
              <w:bottom w:val="single" w:sz="12" w:space="0" w:color="000000"/>
            </w:tcBorders>
            <w:vAlign w:val="center"/>
          </w:tcPr>
          <w:p>
            <w:pPr>
              <w:pStyle w:val="TableContents"/>
              <w:bidi w:val="0"/>
              <w:spacing w:before="0" w:after="283"/>
              <w:jc w:val="left"/>
              <w:rPr/>
            </w:pPr>
            <w:r>
              <w:rPr/>
              <w:t> </w:t>
            </w:r>
          </w:p>
        </w:tc>
        <w:tc>
          <w:tcPr>
            <w:tcW w:w="1746" w:type="dxa"/>
            <w:tcBorders>
              <w:bottom w:val="single" w:sz="12" w:space="0" w:color="000000"/>
            </w:tcBorders>
            <w:vAlign w:val="center"/>
          </w:tcPr>
          <w:p>
            <w:pPr>
              <w:pStyle w:val="TableContents"/>
              <w:bidi w:val="0"/>
              <w:spacing w:before="0" w:after="283"/>
              <w:jc w:val="right"/>
              <w:rPr/>
            </w:pPr>
            <w:r>
              <w:rPr/>
              <w:t>378,725</w:t>
            </w:r>
          </w:p>
        </w:tc>
        <w:tc>
          <w:tcPr>
            <w:tcW w:w="170" w:type="dxa"/>
            <w:tcBorders>
              <w:bottom w:val="single" w:sz="12" w:space="0" w:color="000000"/>
            </w:tcBorders>
            <w:tcMar>
              <w:bottom w:w="3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b/>
              </w:rPr>
            </w:pPr>
            <w:r>
              <w:rPr>
                <w:b/>
              </w:rPr>
              <w:t>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Current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Trade payables and accrued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b/>
              </w:rPr>
            </w:pPr>
            <w:r>
              <w:rPr>
                <w:b/>
              </w:rPr>
              <w:t>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25,894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20,739</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Derivative liabilities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9, 23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128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Current portion of 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b/>
              </w:rPr>
            </w:pPr>
            <w:r>
              <w:rPr>
                <w:b/>
              </w:rPr>
              <w:t>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146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4,022</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Current portion of lease liabilities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b/>
              </w:rPr>
            </w:pPr>
            <w:r>
              <w:rPr>
                <w:b/>
              </w:rPr>
              <w:t>19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2,089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2,857</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Taxes payable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b/>
              </w:rPr>
            </w:pPr>
            <w:r>
              <w:rPr>
                <w:b/>
              </w:rPr>
              <w:t>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1,110</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bottom w:val="single" w:sz="8" w:space="0" w:color="000000"/>
            </w:tcBorders>
            <w:tcMar>
              <w:bottom w:w="30" w:type="dxa"/>
            </w:tcMar>
            <w:vAlign w:val="center"/>
          </w:tcPr>
          <w:p>
            <w:pPr>
              <w:pStyle w:val="TableContents"/>
              <w:bidi w:val="0"/>
              <w:spacing w:before="0" w:after="283"/>
              <w:jc w:val="left"/>
              <w:rPr/>
            </w:pPr>
            <w:r>
              <w:rPr/>
              <w:t>Warrant liabilities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58" w:type="dxa"/>
            <w:tcBorders>
              <w:bottom w:val="single" w:sz="8" w:space="0" w:color="000000"/>
            </w:tcBorders>
            <w:vAlign w:val="center"/>
          </w:tcPr>
          <w:p>
            <w:pPr>
              <w:pStyle w:val="TableContents"/>
              <w:bidi w:val="0"/>
              <w:spacing w:before="0" w:after="283"/>
              <w:jc w:val="right"/>
              <w:rPr>
                <w:b/>
              </w:rPr>
            </w:pPr>
            <w:r>
              <w:rPr>
                <w:b/>
              </w:rPr>
              <w:t>17</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78" w:type="dxa"/>
            <w:tcBorders>
              <w:bottom w:val="single" w:sz="8" w:space="0" w:color="000000"/>
            </w:tcBorders>
            <w:vAlign w:val="center"/>
          </w:tcPr>
          <w:p>
            <w:pPr>
              <w:pStyle w:val="TableContents"/>
              <w:bidi w:val="0"/>
              <w:spacing w:before="0" w:after="283"/>
              <w:jc w:val="left"/>
              <w:rPr/>
            </w:pPr>
            <w:r>
              <w:rPr/>
              <w:t> </w:t>
            </w:r>
          </w:p>
        </w:tc>
        <w:tc>
          <w:tcPr>
            <w:tcW w:w="1799" w:type="dxa"/>
            <w:tcBorders>
              <w:bottom w:val="single" w:sz="8" w:space="0" w:color="000000"/>
            </w:tcBorders>
            <w:vAlign w:val="center"/>
          </w:tcPr>
          <w:p>
            <w:pPr>
              <w:pStyle w:val="TableContents"/>
              <w:bidi w:val="0"/>
              <w:spacing w:before="0" w:after="283"/>
              <w:jc w:val="right"/>
              <w:rPr>
                <w:b/>
              </w:rPr>
            </w:pPr>
            <w:r>
              <w:rPr>
                <w:b/>
              </w:rPr>
              <w:t>8,013</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71" w:type="dxa"/>
            <w:tcBorders>
              <w:bottom w:val="single" w:sz="8" w:space="0" w:color="000000"/>
            </w:tcBorders>
            <w:vAlign w:val="center"/>
          </w:tcPr>
          <w:p>
            <w:pPr>
              <w:pStyle w:val="TableContents"/>
              <w:bidi w:val="0"/>
              <w:spacing w:before="0" w:after="283"/>
              <w:jc w:val="left"/>
              <w:rPr/>
            </w:pPr>
            <w:r>
              <w:rPr/>
              <w:t> </w:t>
            </w:r>
          </w:p>
        </w:tc>
        <w:tc>
          <w:tcPr>
            <w:tcW w:w="1746" w:type="dxa"/>
            <w:tcBorders>
              <w:bottom w:val="single" w:sz="8" w:space="0" w:color="000000"/>
            </w:tcBorders>
            <w:vAlign w:val="center"/>
          </w:tcPr>
          <w:p>
            <w:pPr>
              <w:pStyle w:val="TableContents"/>
              <w:bidi w:val="0"/>
              <w:spacing w:before="0" w:after="283"/>
              <w:jc w:val="right"/>
              <w:rPr/>
            </w:pPr>
            <w:r>
              <w:rPr/>
              <w:t>40,426</w:t>
            </w:r>
          </w:p>
        </w:tc>
        <w:tc>
          <w:tcPr>
            <w:tcW w:w="170"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36,270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69,154</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Non-current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b/>
              </w:rPr>
            </w:pPr>
            <w:r>
              <w:rPr>
                <w:b/>
              </w:rPr>
              <w:t>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1,430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Lease liabilities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b/>
              </w:rPr>
            </w:pPr>
            <w:r>
              <w:rPr>
                <w:b/>
              </w:rPr>
              <w:t>19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19,750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12,993</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Asset retirement provision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b/>
              </w:rPr>
            </w:pPr>
            <w:r>
              <w:rPr>
                <w:b/>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2,106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1,816</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bottom w:val="single" w:sz="8" w:space="0" w:color="000000"/>
            </w:tcBorders>
            <w:tcMar>
              <w:bottom w:w="30" w:type="dxa"/>
            </w:tcMar>
            <w:vAlign w:val="center"/>
          </w:tcPr>
          <w:p>
            <w:pPr>
              <w:pStyle w:val="TableContents"/>
              <w:bidi w:val="0"/>
              <w:spacing w:before="0" w:after="283"/>
              <w:jc w:val="left"/>
              <w:rPr/>
            </w:pPr>
            <w:r>
              <w:rPr/>
              <w:t>Deferred tax liability</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58" w:type="dxa"/>
            <w:tcBorders>
              <w:bottom w:val="single" w:sz="8" w:space="0" w:color="000000"/>
            </w:tcBorders>
            <w:vAlign w:val="center"/>
          </w:tcPr>
          <w:p>
            <w:pPr>
              <w:pStyle w:val="TableContents"/>
              <w:bidi w:val="0"/>
              <w:spacing w:before="0" w:after="283"/>
              <w:jc w:val="right"/>
              <w:rPr>
                <w:b/>
              </w:rPr>
            </w:pPr>
            <w:r>
              <w:rPr>
                <w:b/>
              </w:rPr>
              <w:t>20</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78" w:type="dxa"/>
            <w:tcBorders>
              <w:bottom w:val="single" w:sz="8" w:space="0" w:color="000000"/>
            </w:tcBorders>
            <w:vAlign w:val="center"/>
          </w:tcPr>
          <w:p>
            <w:pPr>
              <w:pStyle w:val="TableContents"/>
              <w:bidi w:val="0"/>
              <w:spacing w:before="0" w:after="283"/>
              <w:jc w:val="left"/>
              <w:rPr/>
            </w:pPr>
            <w:r>
              <w:rPr/>
              <w:t> </w:t>
            </w:r>
          </w:p>
        </w:tc>
        <w:tc>
          <w:tcPr>
            <w:tcW w:w="1799" w:type="dxa"/>
            <w:tcBorders>
              <w:bottom w:val="single" w:sz="8" w:space="0" w:color="000000"/>
            </w:tcBorders>
            <w:vAlign w:val="center"/>
          </w:tcPr>
          <w:p>
            <w:pPr>
              <w:pStyle w:val="TableContents"/>
              <w:bidi w:val="0"/>
              <w:spacing w:before="0" w:after="283"/>
              <w:jc w:val="right"/>
              <w:rPr>
                <w:b/>
              </w:rPr>
            </w:pPr>
            <w:r>
              <w:rPr>
                <w:b/>
              </w:rPr>
              <w:t>65</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71" w:type="dxa"/>
            <w:tcBorders>
              <w:bottom w:val="single" w:sz="8" w:space="0" w:color="000000"/>
            </w:tcBorders>
            <w:vAlign w:val="center"/>
          </w:tcPr>
          <w:p>
            <w:pPr>
              <w:pStyle w:val="TableContents"/>
              <w:bidi w:val="0"/>
              <w:spacing w:before="0" w:after="283"/>
              <w:jc w:val="left"/>
              <w:rPr/>
            </w:pPr>
            <w:r>
              <w:rPr/>
              <w:t> </w:t>
            </w:r>
          </w:p>
        </w:tc>
        <w:tc>
          <w:tcPr>
            <w:tcW w:w="1746" w:type="dxa"/>
            <w:tcBorders>
              <w:bottom w:val="single" w:sz="8" w:space="0" w:color="000000"/>
            </w:tcBorders>
            <w:vAlign w:val="center"/>
          </w:tcPr>
          <w:p>
            <w:pPr>
              <w:pStyle w:val="TableContents"/>
              <w:bidi w:val="0"/>
              <w:spacing w:before="0" w:after="0"/>
              <w:jc w:val="right"/>
              <w:rPr/>
            </w:pPr>
            <w:r>
              <w:rPr/>
              <w:t>—</w:t>
            </w:r>
          </w:p>
        </w:tc>
        <w:tc>
          <w:tcPr>
            <w:tcW w:w="170"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008"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Total liabilities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58"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799" w:type="dxa"/>
            <w:tcBorders>
              <w:bottom w:val="single" w:sz="12" w:space="0" w:color="000000"/>
            </w:tcBorders>
            <w:shd w:fill="CCEEFF" w:val="clear"/>
            <w:vAlign w:val="center"/>
          </w:tcPr>
          <w:p>
            <w:pPr>
              <w:pStyle w:val="TableContents"/>
              <w:bidi w:val="0"/>
              <w:spacing w:before="0" w:after="283"/>
              <w:jc w:val="right"/>
              <w:rPr>
                <w:b/>
              </w:rPr>
            </w:pPr>
            <w:r>
              <w:rPr>
                <w:b/>
              </w:rPr>
              <w:t>59,621</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vAlign w:val="center"/>
          </w:tcPr>
          <w:p>
            <w:pPr>
              <w:pStyle w:val="TableContents"/>
              <w:bidi w:val="0"/>
              <w:spacing w:before="0" w:after="283"/>
              <w:jc w:val="left"/>
              <w:rPr/>
            </w:pPr>
            <w:r>
              <w:rPr/>
              <w:t> </w:t>
            </w:r>
          </w:p>
        </w:tc>
        <w:tc>
          <w:tcPr>
            <w:tcW w:w="1746" w:type="dxa"/>
            <w:tcBorders>
              <w:bottom w:val="single" w:sz="12" w:space="0" w:color="000000"/>
            </w:tcBorders>
            <w:shd w:fill="CCEEFF" w:val="clear"/>
            <w:vAlign w:val="center"/>
          </w:tcPr>
          <w:p>
            <w:pPr>
              <w:pStyle w:val="TableContents"/>
              <w:bidi w:val="0"/>
              <w:spacing w:before="0" w:after="283"/>
              <w:jc w:val="right"/>
              <w:rPr/>
            </w:pPr>
            <w:r>
              <w:rPr/>
              <w:t>83,963</w:t>
            </w:r>
          </w:p>
        </w:tc>
        <w:tc>
          <w:tcPr>
            <w:tcW w:w="170" w:type="dxa"/>
            <w:tcBorders>
              <w:bottom w:val="single" w:sz="12"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b/>
              </w:rPr>
            </w:pPr>
            <w:r>
              <w:rPr>
                <w:b/>
              </w:rPr>
              <w:t>Shareholders’ equity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Share capital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b/>
              </w:rPr>
            </w:pPr>
            <w:r>
              <w:rPr>
                <w:b/>
              </w:rPr>
              <w:t>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852,286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535,009</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08" w:type="dxa"/>
            <w:tcBorders/>
            <w:tcMar>
              <w:bottom w:w="0" w:type="dxa"/>
            </w:tcMar>
            <w:vAlign w:val="center"/>
          </w:tcPr>
          <w:p>
            <w:pPr>
              <w:pStyle w:val="TableContents"/>
              <w:bidi w:val="0"/>
              <w:spacing w:before="0" w:after="283"/>
              <w:jc w:val="left"/>
              <w:rPr/>
            </w:pPr>
            <w:r>
              <w:rPr/>
              <w:t>Contributed surplus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8" w:type="dxa"/>
            <w:tcBorders/>
            <w:tcMar>
              <w:bottom w:w="0" w:type="dxa"/>
            </w:tcMar>
            <w:vAlign w:val="center"/>
          </w:tcPr>
          <w:p>
            <w:pPr>
              <w:pStyle w:val="TableContents"/>
              <w:bidi w:val="0"/>
              <w:spacing w:before="0" w:after="283"/>
              <w:jc w:val="left"/>
              <w:rPr/>
            </w:pPr>
            <w:r>
              <w:rPr/>
              <w:t> </w:t>
            </w:r>
          </w:p>
        </w:tc>
        <w:tc>
          <w:tcPr>
            <w:tcW w:w="1799" w:type="dxa"/>
            <w:tcBorders/>
            <w:tcMar>
              <w:bottom w:w="0" w:type="dxa"/>
            </w:tcMar>
            <w:vAlign w:val="center"/>
          </w:tcPr>
          <w:p>
            <w:pPr>
              <w:pStyle w:val="TableContents"/>
              <w:bidi w:val="0"/>
              <w:spacing w:before="0" w:after="283"/>
              <w:jc w:val="right"/>
              <w:rPr>
                <w:b/>
              </w:rPr>
            </w:pPr>
            <w:r>
              <w:rPr>
                <w:b/>
              </w:rPr>
              <w:t>67,521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746" w:type="dxa"/>
            <w:tcBorders/>
            <w:tcMar>
              <w:bottom w:w="0" w:type="dxa"/>
            </w:tcMar>
            <w:vAlign w:val="center"/>
          </w:tcPr>
          <w:p>
            <w:pPr>
              <w:pStyle w:val="TableContents"/>
              <w:bidi w:val="0"/>
              <w:spacing w:before="0" w:after="283"/>
              <w:jc w:val="right"/>
              <w:rPr/>
            </w:pPr>
            <w:r>
              <w:rPr/>
              <w:t>56,622</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008" w:type="dxa"/>
            <w:tcBorders/>
            <w:shd w:fill="CCEEFF" w:val="clear"/>
            <w:tcMar>
              <w:bottom w:w="0" w:type="dxa"/>
            </w:tcMar>
            <w:vAlign w:val="center"/>
          </w:tcPr>
          <w:p>
            <w:pPr>
              <w:pStyle w:val="TableContents"/>
              <w:bidi w:val="0"/>
              <w:spacing w:before="0" w:after="283"/>
              <w:jc w:val="left"/>
              <w:rPr/>
            </w:pPr>
            <w:r>
              <w:rPr/>
              <w:t>Accumulated deficit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b/>
              </w:rPr>
            </w:pPr>
            <w:r>
              <w:rPr>
                <w:b/>
              </w:rPr>
              <w:t>(334,507</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746" w:type="dxa"/>
            <w:tcBorders/>
            <w:shd w:fill="CCEEFF" w:val="clear"/>
            <w:tcMar>
              <w:bottom w:w="0" w:type="dxa"/>
            </w:tcMar>
            <w:vAlign w:val="center"/>
          </w:tcPr>
          <w:p>
            <w:pPr>
              <w:pStyle w:val="TableContents"/>
              <w:bidi w:val="0"/>
              <w:spacing w:before="0" w:after="283"/>
              <w:jc w:val="right"/>
              <w:rPr/>
            </w:pPr>
            <w:r>
              <w:rPr/>
              <w:t>(299,810</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008" w:type="dxa"/>
            <w:tcBorders>
              <w:bottom w:val="single" w:sz="8" w:space="0" w:color="000000"/>
            </w:tcBorders>
            <w:tcMar>
              <w:bottom w:w="30" w:type="dxa"/>
            </w:tcMar>
            <w:vAlign w:val="center"/>
          </w:tcPr>
          <w:p>
            <w:pPr>
              <w:pStyle w:val="TableContents"/>
              <w:bidi w:val="0"/>
              <w:spacing w:before="0" w:after="283"/>
              <w:jc w:val="left"/>
              <w:rPr/>
            </w:pPr>
            <w:r>
              <w:rPr/>
              <w:t>Revaluation surplus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58"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78" w:type="dxa"/>
            <w:tcBorders>
              <w:bottom w:val="single" w:sz="8" w:space="0" w:color="000000"/>
            </w:tcBorders>
            <w:vAlign w:val="center"/>
          </w:tcPr>
          <w:p>
            <w:pPr>
              <w:pStyle w:val="TableContents"/>
              <w:bidi w:val="0"/>
              <w:spacing w:before="0" w:after="283"/>
              <w:jc w:val="left"/>
              <w:rPr/>
            </w:pPr>
            <w:r>
              <w:rPr/>
              <w:t> </w:t>
            </w:r>
          </w:p>
        </w:tc>
        <w:tc>
          <w:tcPr>
            <w:tcW w:w="1799" w:type="dxa"/>
            <w:tcBorders>
              <w:bottom w:val="single" w:sz="8" w:space="0" w:color="000000"/>
            </w:tcBorders>
            <w:vAlign w:val="center"/>
          </w:tcPr>
          <w:p>
            <w:pPr>
              <w:pStyle w:val="TableContents"/>
              <w:bidi w:val="0"/>
              <w:spacing w:before="0" w:after="283"/>
              <w:jc w:val="right"/>
              <w:rPr>
                <w:b/>
              </w:rPr>
            </w:pPr>
            <w:r>
              <w:rPr>
                <w:b/>
              </w:rPr>
              <w:t>22,695</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71" w:type="dxa"/>
            <w:tcBorders>
              <w:bottom w:val="single" w:sz="8" w:space="0" w:color="000000"/>
            </w:tcBorders>
            <w:vAlign w:val="center"/>
          </w:tcPr>
          <w:p>
            <w:pPr>
              <w:pStyle w:val="TableContents"/>
              <w:bidi w:val="0"/>
              <w:spacing w:before="0" w:after="283"/>
              <w:jc w:val="left"/>
              <w:rPr/>
            </w:pPr>
            <w:r>
              <w:rPr/>
              <w:t> </w:t>
            </w:r>
          </w:p>
        </w:tc>
        <w:tc>
          <w:tcPr>
            <w:tcW w:w="1746" w:type="dxa"/>
            <w:tcBorders>
              <w:bottom w:val="single" w:sz="8" w:space="0" w:color="000000"/>
            </w:tcBorders>
            <w:vAlign w:val="center"/>
          </w:tcPr>
          <w:p>
            <w:pPr>
              <w:pStyle w:val="TableContents"/>
              <w:bidi w:val="0"/>
              <w:spacing w:before="0" w:after="283"/>
              <w:jc w:val="right"/>
              <w:rPr/>
            </w:pPr>
            <w:r>
              <w:rPr/>
              <w:t>2,941</w:t>
            </w:r>
          </w:p>
        </w:tc>
        <w:tc>
          <w:tcPr>
            <w:tcW w:w="170"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008"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Total equity</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58"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vAlign w:val="center"/>
          </w:tcPr>
          <w:p>
            <w:pPr>
              <w:pStyle w:val="TableContents"/>
              <w:bidi w:val="0"/>
              <w:spacing w:before="0" w:after="283"/>
              <w:jc w:val="left"/>
              <w:rPr/>
            </w:pPr>
            <w:r>
              <w:rPr/>
              <w:t> </w:t>
            </w:r>
          </w:p>
        </w:tc>
        <w:tc>
          <w:tcPr>
            <w:tcW w:w="1799" w:type="dxa"/>
            <w:tcBorders>
              <w:bottom w:val="single" w:sz="8" w:space="0" w:color="000000"/>
            </w:tcBorders>
            <w:shd w:fill="CCEEFF" w:val="clear"/>
            <w:vAlign w:val="center"/>
          </w:tcPr>
          <w:p>
            <w:pPr>
              <w:pStyle w:val="TableContents"/>
              <w:bidi w:val="0"/>
              <w:spacing w:before="0" w:after="283"/>
              <w:jc w:val="right"/>
              <w:rPr>
                <w:b/>
              </w:rPr>
            </w:pPr>
            <w:r>
              <w:rPr>
                <w:b/>
              </w:rPr>
              <w:t>607,995</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vAlign w:val="center"/>
          </w:tcPr>
          <w:p>
            <w:pPr>
              <w:pStyle w:val="TableContents"/>
              <w:bidi w:val="0"/>
              <w:spacing w:before="0" w:after="283"/>
              <w:jc w:val="left"/>
              <w:rPr/>
            </w:pPr>
            <w:r>
              <w:rPr/>
              <w:t> </w:t>
            </w:r>
          </w:p>
        </w:tc>
        <w:tc>
          <w:tcPr>
            <w:tcW w:w="1746" w:type="dxa"/>
            <w:tcBorders>
              <w:bottom w:val="single" w:sz="8" w:space="0" w:color="000000"/>
            </w:tcBorders>
            <w:shd w:fill="CCEEFF" w:val="clear"/>
            <w:vAlign w:val="center"/>
          </w:tcPr>
          <w:p>
            <w:pPr>
              <w:pStyle w:val="TableContents"/>
              <w:bidi w:val="0"/>
              <w:spacing w:before="0" w:after="283"/>
              <w:jc w:val="right"/>
              <w:rPr/>
            </w:pPr>
            <w:r>
              <w:rPr/>
              <w:t>294,762</w:t>
            </w:r>
          </w:p>
        </w:tc>
        <w:tc>
          <w:tcPr>
            <w:tcW w:w="170"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5008" w:type="dxa"/>
            <w:tcBorders>
              <w:bottom w:val="single" w:sz="12" w:space="0" w:color="000000"/>
            </w:tcBorders>
            <w:tcMar>
              <w:bottom w:w="30" w:type="dxa"/>
            </w:tcMar>
            <w:vAlign w:val="center"/>
          </w:tcPr>
          <w:p>
            <w:pPr>
              <w:pStyle w:val="TableContents"/>
              <w:bidi w:val="0"/>
              <w:spacing w:before="0" w:after="283"/>
              <w:jc w:val="left"/>
              <w:rPr>
                <w:b/>
              </w:rPr>
            </w:pPr>
            <w:r>
              <w:rPr>
                <w:b/>
              </w:rPr>
              <w:t>Total liabilities and equity</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58"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8" w:type="dxa"/>
            <w:tcBorders>
              <w:bottom w:val="single" w:sz="12" w:space="0" w:color="000000"/>
            </w:tcBorders>
            <w:vAlign w:val="center"/>
          </w:tcPr>
          <w:p>
            <w:pPr>
              <w:pStyle w:val="TableContents"/>
              <w:bidi w:val="0"/>
              <w:spacing w:before="0" w:after="283"/>
              <w:jc w:val="left"/>
              <w:rPr/>
            </w:pPr>
            <w:r>
              <w:rPr/>
              <w:t> </w:t>
            </w:r>
          </w:p>
        </w:tc>
        <w:tc>
          <w:tcPr>
            <w:tcW w:w="1799" w:type="dxa"/>
            <w:tcBorders>
              <w:bottom w:val="single" w:sz="12" w:space="0" w:color="000000"/>
            </w:tcBorders>
            <w:vAlign w:val="center"/>
          </w:tcPr>
          <w:p>
            <w:pPr>
              <w:pStyle w:val="TableContents"/>
              <w:bidi w:val="0"/>
              <w:spacing w:before="0" w:after="283"/>
              <w:jc w:val="right"/>
              <w:rPr>
                <w:b/>
              </w:rPr>
            </w:pPr>
            <w:r>
              <w:rPr>
                <w:b/>
              </w:rPr>
              <w:t>667,616</w:t>
            </w:r>
          </w:p>
        </w:tc>
        <w:tc>
          <w:tcPr>
            <w:tcW w:w="12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1" w:type="dxa"/>
            <w:tcBorders>
              <w:bottom w:val="single" w:sz="12" w:space="0" w:color="000000"/>
            </w:tcBorders>
            <w:vAlign w:val="center"/>
          </w:tcPr>
          <w:p>
            <w:pPr>
              <w:pStyle w:val="TableContents"/>
              <w:bidi w:val="0"/>
              <w:spacing w:before="0" w:after="283"/>
              <w:jc w:val="left"/>
              <w:rPr/>
            </w:pPr>
            <w:r>
              <w:rPr/>
              <w:t> </w:t>
            </w:r>
          </w:p>
        </w:tc>
        <w:tc>
          <w:tcPr>
            <w:tcW w:w="1746" w:type="dxa"/>
            <w:tcBorders>
              <w:bottom w:val="single" w:sz="12" w:space="0" w:color="000000"/>
            </w:tcBorders>
            <w:vAlign w:val="center"/>
          </w:tcPr>
          <w:p>
            <w:pPr>
              <w:pStyle w:val="TableContents"/>
              <w:bidi w:val="0"/>
              <w:spacing w:before="0" w:after="283"/>
              <w:jc w:val="right"/>
              <w:rPr/>
            </w:pPr>
            <w:r>
              <w:rPr/>
              <w:t>378,725</w:t>
            </w:r>
          </w:p>
        </w:tc>
        <w:tc>
          <w:tcPr>
            <w:tcW w:w="170" w:type="dxa"/>
            <w:tcBorders>
              <w:bottom w:val="single" w:sz="12" w:space="0" w:color="000000"/>
            </w:tcBorders>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be read in conjunction with the notes to the consolidated financial statements</w:t>
      </w:r>
    </w:p>
    <w:p>
      <w:pPr>
        <w:pStyle w:val="TextBody"/>
        <w:bidi w:val="0"/>
        <w:spacing w:before="0" w:after="0"/>
        <w:jc w:val="both"/>
        <w:rPr>
          <w:caps w:val="false"/>
          <w:smallCaps w:val="false"/>
        </w:rPr>
      </w:pPr>
      <w:r>
        <w:rPr>
          <w:caps w:val="false"/>
          <w:smallCaps w:val="false"/>
        </w:rPr>
        <w:t> </w:t>
      </w:r>
    </w:p>
    <w:tbl>
      <w:tblPr>
        <w:tblW w:w="9950" w:type="dxa"/>
        <w:jc w:val="left"/>
        <w:tblInd w:w="0" w:type="dxa"/>
        <w:tblLayout w:type="fixed"/>
        <w:tblCellMar>
          <w:top w:w="0" w:type="dxa"/>
          <w:left w:w="0" w:type="dxa"/>
          <w:bottom w:w="30" w:type="dxa"/>
          <w:right w:w="0" w:type="dxa"/>
        </w:tblCellMar>
      </w:tblPr>
      <w:tblGrid>
        <w:gridCol w:w="3725"/>
        <w:gridCol w:w="90"/>
        <w:gridCol w:w="3065"/>
        <w:gridCol w:w="90"/>
        <w:gridCol w:w="1445"/>
        <w:gridCol w:w="90"/>
        <w:gridCol w:w="1445"/>
      </w:tblGrid>
      <w:tr>
        <w:trPr/>
        <w:tc>
          <w:tcPr>
            <w:tcW w:w="3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26, 2025</w:t>
            </w:r>
          </w:p>
        </w:tc>
        <w:tc>
          <w:tcPr>
            <w:tcW w:w="90" w:type="dxa"/>
            <w:tcBorders/>
            <w:tcMar>
              <w:bottom w:w="0" w:type="dxa"/>
            </w:tcMar>
            <w:vAlign w:val="center"/>
          </w:tcPr>
          <w:p>
            <w:pPr>
              <w:pStyle w:val="TableContents"/>
              <w:bidi w:val="0"/>
              <w:spacing w:before="0" w:after="283"/>
              <w:jc w:val="left"/>
              <w:rPr/>
            </w:pPr>
            <w:r>
              <w:rPr/>
              <w:t> </w:t>
            </w:r>
          </w:p>
        </w:tc>
        <w:tc>
          <w:tcPr>
            <w:tcW w:w="3065" w:type="dxa"/>
            <w:tcBorders>
              <w:bottom w:val="single" w:sz="8" w:space="0" w:color="000000"/>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/s/ Brian Howlett</w:t>
            </w:r>
          </w:p>
        </w:tc>
        <w:tc>
          <w:tcPr>
            <w:tcW w:w="9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/s/ Ben Gagnon</w:t>
            </w:r>
          </w:p>
        </w:tc>
        <w:tc>
          <w:tcPr>
            <w:tcW w:w="9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/s/ Jeffrey Lucas</w:t>
            </w:r>
          </w:p>
        </w:tc>
      </w:tr>
      <w:tr>
        <w:trPr/>
        <w:tc>
          <w:tcPr>
            <w:tcW w:w="372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 approval of the financial statements</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Chairman of the Board of Directors</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CEO &amp; Director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CFO</w:t>
            </w:r>
          </w:p>
        </w:tc>
      </w:tr>
    </w:tbl>
    <w:p>
      <w:pPr>
        <w:pStyle w:val="TextBody"/>
        <w:bidi w:val="0"/>
        <w:spacing w:before="0" w:after="0"/>
        <w:jc w:val="both"/>
        <w:rPr>
          <w:caps w:val="false"/>
          <w:smallCaps w:val="false"/>
        </w:rPr>
      </w:pPr>
      <w:r>
        <w:rPr>
          <w:caps w:val="false"/>
          <w:smallCaps w:val="false"/>
        </w:rPr>
        <w:t> </w:t>
      </w:r>
    </w:p>
    <w:tbl>
      <w:tblPr>
        <w:tblW w:w="760" w:type="dxa"/>
        <w:jc w:val="left"/>
        <w:tblInd w:w="0" w:type="dxa"/>
        <w:tblLayout w:type="fixed"/>
        <w:tblCellMar>
          <w:top w:w="28" w:type="dxa"/>
          <w:left w:w="0" w:type="dxa"/>
          <w:bottom w:w="0" w:type="dxa"/>
          <w:right w:w="0" w:type="dxa"/>
        </w:tblCellMar>
      </w:tblPr>
      <w:tblGrid>
        <w:gridCol w:w="215"/>
        <w:gridCol w:w="545"/>
      </w:tblGrid>
      <w:tr>
        <w:trPr/>
        <w:tc>
          <w:tcPr>
            <w:tcW w:w="215" w:type="dxa"/>
            <w:tcBorders>
              <w:top w:val="single" w:sz="12" w:space="0" w:color="000000"/>
            </w:tcBorders>
            <w:vAlign w:val="center"/>
          </w:tcPr>
          <w:p>
            <w:pPr>
              <w:pStyle w:val="TableContents"/>
              <w:bidi w:val="0"/>
              <w:spacing w:before="0" w:after="283"/>
              <w:jc w:val="right"/>
              <w:rPr>
                <w:sz w:val="20"/>
              </w:rPr>
            </w:pPr>
            <w:r>
              <w:rPr>
                <w:sz w:val="20"/>
              </w:rPr>
              <w:t>8 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 w:name="a_005"/>
      <w:bookmarkStart w:id="17" w:name="a_005"/>
      <w:bookmarkEnd w:id="17"/>
    </w:p>
    <w:tbl>
      <w:tblPr>
        <w:tblW w:w="8885" w:type="dxa"/>
        <w:jc w:val="left"/>
        <w:tblInd w:w="0" w:type="dxa"/>
        <w:tblLayout w:type="fixed"/>
        <w:tblCellMar>
          <w:top w:w="0" w:type="dxa"/>
          <w:left w:w="0" w:type="dxa"/>
          <w:bottom w:w="0" w:type="dxa"/>
          <w:right w:w="0" w:type="dxa"/>
        </w:tblCellMar>
      </w:tblPr>
      <w:tblGrid>
        <w:gridCol w:w="8885"/>
      </w:tblGrid>
      <w:tr>
        <w:trPr/>
        <w:tc>
          <w:tcPr>
            <w:tcW w:w="88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88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STATEMENTS OF PROFIT OR LOSS AND COMPREHENSIVE PROFIT OR LOSS</w:t>
            </w:r>
          </w:p>
        </w:tc>
      </w:tr>
      <w:tr>
        <w:trPr/>
        <w:tc>
          <w:tcPr>
            <w:tcW w:w="888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(Expressed in thousands of U.S. dollars, except per share amounts - audited)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63"/>
        <w:gridCol w:w="90"/>
        <w:gridCol w:w="146"/>
        <w:gridCol w:w="474"/>
        <w:gridCol w:w="90"/>
        <w:gridCol w:w="90"/>
        <w:gridCol w:w="90"/>
        <w:gridCol w:w="1250"/>
        <w:gridCol w:w="125"/>
        <w:gridCol w:w="90"/>
        <w:gridCol w:w="90"/>
        <w:gridCol w:w="1250"/>
        <w:gridCol w:w="157"/>
      </w:tblGrid>
      <w:tr>
        <w:trPr/>
        <w:tc>
          <w:tcPr>
            <w:tcW w:w="6263" w:type="dxa"/>
            <w:tcBorders>
              <w:bottom w:val="single" w:sz="8" w:space="0" w:color="000000"/>
            </w:tcBorders>
            <w:vAlign w:val="center"/>
          </w:tcPr>
          <w:p>
            <w:pPr>
              <w:pStyle w:val="TableContents"/>
              <w:bidi w:val="0"/>
              <w:spacing w:before="0" w:after="283"/>
              <w:ind w:left="0" w:right="0" w:hanging="180"/>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2895"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57"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6263"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right"/>
              <w:rPr>
                <w:b/>
              </w:rPr>
            </w:pPr>
            <w:r>
              <w:rPr>
                <w:b/>
              </w:rPr>
              <w:t>Notes</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40" w:type="dxa"/>
            <w:gridSpan w:val="2"/>
            <w:tcBorders>
              <w:bottom w:val="single" w:sz="8" w:space="0" w:color="000000"/>
            </w:tcBorders>
            <w:vAlign w:val="center"/>
          </w:tcPr>
          <w:p>
            <w:pPr>
              <w:pStyle w:val="TableContents"/>
              <w:bidi w:val="0"/>
              <w:spacing w:before="0" w:after="283"/>
              <w:jc w:val="right"/>
              <w:rPr>
                <w:b/>
              </w:rPr>
            </w:pPr>
            <w:r>
              <w:rPr>
                <w:b/>
              </w:rPr>
              <w:t>2024</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40" w:type="dxa"/>
            <w:gridSpan w:val="2"/>
            <w:tcBorders>
              <w:bottom w:val="single" w:sz="8" w:space="0" w:color="000000"/>
            </w:tcBorders>
            <w:vAlign w:val="center"/>
          </w:tcPr>
          <w:p>
            <w:pPr>
              <w:pStyle w:val="TableContents"/>
              <w:bidi w:val="0"/>
              <w:spacing w:before="0" w:after="283"/>
              <w:jc w:val="right"/>
              <w:rPr/>
            </w:pPr>
            <w:r>
              <w:rPr/>
              <w:t>2023</w:t>
            </w:r>
          </w:p>
        </w:tc>
        <w:tc>
          <w:tcPr>
            <w:tcW w:w="157"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62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right"/>
              <w:rPr/>
            </w:pPr>
            <w:r>
              <w:rPr/>
              <w:t> </w:t>
            </w:r>
          </w:p>
        </w:tc>
        <w:tc>
          <w:tcPr>
            <w:tcW w:w="157" w:type="dxa"/>
            <w:tcBorders/>
            <w:tcMar>
              <w:bottom w:w="0" w:type="dxa"/>
            </w:tcMar>
            <w:vAlign w:val="center"/>
          </w:tcPr>
          <w:p>
            <w:pPr>
              <w:pStyle w:val="TableContents"/>
              <w:bidi w:val="0"/>
              <w:spacing w:before="0" w:after="283"/>
              <w:ind w:left="0" w:right="0" w:hanging="180"/>
              <w:jc w:val="left"/>
              <w:rPr/>
            </w:pPr>
            <w:r>
              <w:rPr/>
              <w:t> </w:t>
            </w:r>
          </w:p>
        </w:tc>
      </w:tr>
      <w:tr>
        <w:trPr/>
        <w:tc>
          <w:tcPr>
            <w:tcW w:w="6263" w:type="dxa"/>
            <w:tcBorders/>
            <w:shd w:fill="CCEEFF" w:val="clear"/>
            <w:tcMar>
              <w:bottom w:w="0" w:type="dxa"/>
            </w:tcMar>
            <w:vAlign w:val="center"/>
          </w:tcPr>
          <w:p>
            <w:pPr>
              <w:pStyle w:val="TableContents"/>
              <w:bidi w:val="0"/>
              <w:spacing w:before="0" w:after="283"/>
              <w:jc w:val="left"/>
              <w:rPr>
                <w:b/>
              </w:rPr>
            </w:pPr>
            <w:r>
              <w:rPr>
                <w:b/>
              </w:rPr>
              <w:t>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8, 30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192,881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146,366</w:t>
            </w:r>
          </w:p>
        </w:tc>
        <w:tc>
          <w:tcPr>
            <w:tcW w:w="15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63" w:type="dxa"/>
            <w:tcBorders>
              <w:bottom w:val="single" w:sz="8" w:space="0" w:color="000000"/>
            </w:tcBorders>
            <w:tcMar>
              <w:bottom w:w="30" w:type="dxa"/>
            </w:tcMar>
            <w:vAlign w:val="center"/>
          </w:tcPr>
          <w:p>
            <w:pPr>
              <w:pStyle w:val="TableContents"/>
              <w:bidi w:val="0"/>
              <w:spacing w:before="0" w:after="283"/>
              <w:jc w:val="left"/>
              <w:rPr/>
            </w:pPr>
            <w:r>
              <w:rPr/>
              <w:t>Cost of revenues</w:t>
            </w:r>
          </w:p>
        </w:tc>
        <w:tc>
          <w:tcPr>
            <w:tcW w:w="90" w:type="dxa"/>
            <w:tcBorders>
              <w:bottom w:val="single" w:sz="8" w:space="0" w:color="000000"/>
            </w:tcBorders>
            <w:vAlign w:val="center"/>
          </w:tcPr>
          <w:p>
            <w:pPr>
              <w:pStyle w:val="TableContents"/>
              <w:bidi w:val="0"/>
              <w:spacing w:before="0" w:after="283"/>
              <w:jc w:val="left"/>
              <w:rPr/>
            </w:pPr>
            <w:r>
              <w:rPr/>
              <w:t> </w:t>
            </w:r>
          </w:p>
        </w:tc>
        <w:tc>
          <w:tcPr>
            <w:tcW w:w="146" w:type="dxa"/>
            <w:tcBorders>
              <w:bottom w:val="single" w:sz="8" w:space="0" w:color="000000"/>
            </w:tcBorders>
            <w:vAlign w:val="center"/>
          </w:tcPr>
          <w:p>
            <w:pPr>
              <w:pStyle w:val="TableContents"/>
              <w:bidi w:val="0"/>
              <w:spacing w:before="0" w:after="283"/>
              <w:jc w:val="left"/>
              <w:rPr/>
            </w:pPr>
            <w:r>
              <w:rPr/>
              <w:t> </w:t>
            </w:r>
          </w:p>
        </w:tc>
        <w:tc>
          <w:tcPr>
            <w:tcW w:w="474" w:type="dxa"/>
            <w:tcBorders>
              <w:bottom w:val="single" w:sz="8" w:space="0" w:color="000000"/>
            </w:tcBorders>
            <w:vAlign w:val="center"/>
          </w:tcPr>
          <w:p>
            <w:pPr>
              <w:pStyle w:val="TableContents"/>
              <w:bidi w:val="0"/>
              <w:spacing w:before="0" w:after="283"/>
              <w:jc w:val="right"/>
              <w:rPr>
                <w:b/>
              </w:rPr>
            </w:pPr>
            <w:r>
              <w:rPr>
                <w:b/>
              </w:rPr>
              <w:t>29</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b/>
              </w:rPr>
            </w:pPr>
            <w:r>
              <w:rPr>
                <w:b/>
              </w:rPr>
              <w:t>(225,240</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pPr>
            <w:r>
              <w:rPr/>
              <w:t>(167,868</w:t>
            </w:r>
          </w:p>
        </w:tc>
        <w:tc>
          <w:tcPr>
            <w:tcW w:w="157" w:type="dxa"/>
            <w:tcBorders>
              <w:bottom w:val="single" w:sz="8" w:space="0" w:color="000000"/>
            </w:tcBorders>
            <w:vAlign w:val="center"/>
          </w:tcPr>
          <w:p>
            <w:pPr>
              <w:pStyle w:val="TableContents"/>
              <w:bidi w:val="0"/>
              <w:spacing w:before="0" w:after="283"/>
              <w:ind w:left="0" w:right="0" w:hanging="180"/>
              <w:jc w:val="left"/>
              <w:rPr/>
            </w:pPr>
            <w:r>
              <w:rPr/>
              <w:t>)</w:t>
            </w:r>
          </w:p>
        </w:tc>
      </w:tr>
      <w:tr>
        <w:trPr/>
        <w:tc>
          <w:tcPr>
            <w:tcW w:w="6263"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Gross loss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b/>
              </w:rPr>
            </w:pPr>
            <w:r>
              <w:rPr>
                <w:b/>
              </w:rPr>
              <w:t>(32,359</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(21,502</w:t>
            </w:r>
          </w:p>
        </w:tc>
        <w:tc>
          <w:tcPr>
            <w:tcW w:w="157" w:type="dxa"/>
            <w:tcBorders>
              <w:bottom w:val="single" w:sz="8" w:space="0" w:color="000000"/>
            </w:tcBorders>
            <w:shd w:fill="CCEEFF" w:val="clear"/>
            <w:vAlign w:val="center"/>
          </w:tcPr>
          <w:p>
            <w:pPr>
              <w:pStyle w:val="TableContents"/>
              <w:bidi w:val="0"/>
              <w:spacing w:before="0" w:after="283"/>
              <w:ind w:left="0" w:right="0" w:hanging="180"/>
              <w:jc w:val="left"/>
              <w:rPr/>
            </w:pPr>
            <w:r>
              <w:rPr/>
              <w:t>)</w:t>
            </w:r>
          </w:p>
        </w:tc>
      </w:tr>
      <w:tr>
        <w:trPr/>
        <w:tc>
          <w:tcPr>
            <w:tcW w:w="62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57" w:type="dxa"/>
            <w:tcBorders/>
            <w:tcMar>
              <w:bottom w:w="0" w:type="dxa"/>
            </w:tcMar>
            <w:vAlign w:val="center"/>
          </w:tcPr>
          <w:p>
            <w:pPr>
              <w:pStyle w:val="TableContents"/>
              <w:bidi w:val="0"/>
              <w:spacing w:before="0" w:after="283"/>
              <w:ind w:left="0" w:right="0" w:hanging="180"/>
              <w:jc w:val="left"/>
              <w:rPr/>
            </w:pPr>
            <w:r>
              <w:rPr/>
              <w:t> </w:t>
            </w:r>
          </w:p>
        </w:tc>
      </w:tr>
      <w:tr>
        <w:trPr/>
        <w:tc>
          <w:tcPr>
            <w:tcW w:w="6263" w:type="dxa"/>
            <w:tcBorders/>
            <w:shd w:fill="CCEEFF" w:val="clear"/>
            <w:tcMar>
              <w:bottom w:w="0" w:type="dxa"/>
            </w:tcMar>
            <w:vAlign w:val="center"/>
          </w:tcPr>
          <w:p>
            <w:pPr>
              <w:pStyle w:val="TableContents"/>
              <w:bidi w:val="0"/>
              <w:spacing w:before="0" w:after="283"/>
              <w:jc w:val="left"/>
              <w:rPr>
                <w:b/>
              </w:rPr>
            </w:pPr>
            <w:r>
              <w:rPr>
                <w:b/>
              </w:rPr>
              <w:t>Operating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5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63" w:type="dxa"/>
            <w:tcBorders/>
            <w:tcMar>
              <w:bottom w:w="0" w:type="dxa"/>
            </w:tcMar>
            <w:vAlign w:val="center"/>
          </w:tcPr>
          <w:p>
            <w:pPr>
              <w:pStyle w:val="TableContents"/>
              <w:bidi w:val="0"/>
              <w:spacing w:before="0" w:after="283"/>
              <w:jc w:val="left"/>
              <w:rPr/>
            </w:pPr>
            <w:r>
              <w:rPr/>
              <w:t>General and administrative expenses</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b/>
              </w:rPr>
            </w:pPr>
            <w:r>
              <w:rPr>
                <w:b/>
              </w:rPr>
              <w:t>29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b/>
              </w:rPr>
            </w:pPr>
            <w:r>
              <w:rPr>
                <w:b/>
              </w:rPr>
              <w:t>(71,240</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(39,292</w:t>
            </w:r>
          </w:p>
        </w:tc>
        <w:tc>
          <w:tcPr>
            <w:tcW w:w="157" w:type="dxa"/>
            <w:tcBorders/>
            <w:tcMar>
              <w:bottom w:w="0" w:type="dxa"/>
            </w:tcMar>
            <w:vAlign w:val="center"/>
          </w:tcPr>
          <w:p>
            <w:pPr>
              <w:pStyle w:val="TableContents"/>
              <w:bidi w:val="0"/>
              <w:spacing w:before="0" w:after="283"/>
              <w:ind w:left="0" w:right="0" w:hanging="180"/>
              <w:jc w:val="left"/>
              <w:rPr/>
            </w:pPr>
            <w:r>
              <w:rPr/>
              <w:t>)</w:t>
            </w:r>
          </w:p>
        </w:tc>
      </w:tr>
      <w:tr>
        <w:trPr/>
        <w:tc>
          <w:tcPr>
            <w:tcW w:w="6263" w:type="dxa"/>
            <w:tcBorders/>
            <w:shd w:fill="CCEEFF" w:val="clear"/>
            <w:tcMar>
              <w:bottom w:w="0" w:type="dxa"/>
            </w:tcMar>
            <w:vAlign w:val="center"/>
          </w:tcPr>
          <w:p>
            <w:pPr>
              <w:pStyle w:val="TableContents"/>
              <w:bidi w:val="0"/>
              <w:spacing w:before="0" w:after="283"/>
              <w:jc w:val="left"/>
              <w:rPr/>
            </w:pPr>
            <w:r>
              <w:rPr/>
              <w:t>Reversal of revaluation loss on digital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b/>
              </w:rPr>
            </w:pPr>
            <w:r>
              <w:rPr>
                <w:b/>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2,695</w:t>
            </w:r>
          </w:p>
        </w:tc>
        <w:tc>
          <w:tcPr>
            <w:tcW w:w="15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63" w:type="dxa"/>
            <w:tcBorders/>
            <w:tcMar>
              <w:bottom w:w="0" w:type="dxa"/>
            </w:tcMar>
            <w:vAlign w:val="center"/>
          </w:tcPr>
          <w:p>
            <w:pPr>
              <w:pStyle w:val="TableContents"/>
              <w:bidi w:val="0"/>
              <w:spacing w:before="0" w:after="283"/>
              <w:jc w:val="left"/>
              <w:rPr/>
            </w:pPr>
            <w:r>
              <w:rPr/>
              <w:t>Loss on disposition of property, plant and equipment and deposits</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b/>
              </w:rPr>
            </w:pPr>
            <w:r>
              <w:rPr>
                <w:b/>
              </w:rPr>
              <w:t>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b/>
              </w:rPr>
            </w:pPr>
            <w:r>
              <w:rPr>
                <w:b/>
              </w:rPr>
              <w:t>(336</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(1,778</w:t>
            </w:r>
          </w:p>
        </w:tc>
        <w:tc>
          <w:tcPr>
            <w:tcW w:w="157" w:type="dxa"/>
            <w:tcBorders/>
            <w:tcMar>
              <w:bottom w:w="0" w:type="dxa"/>
            </w:tcMar>
            <w:vAlign w:val="center"/>
          </w:tcPr>
          <w:p>
            <w:pPr>
              <w:pStyle w:val="TableContents"/>
              <w:bidi w:val="0"/>
              <w:spacing w:before="0" w:after="283"/>
              <w:ind w:left="0" w:right="0" w:hanging="180"/>
              <w:jc w:val="left"/>
              <w:rPr/>
            </w:pPr>
            <w:r>
              <w:rPr/>
              <w:t>)</w:t>
            </w:r>
          </w:p>
        </w:tc>
      </w:tr>
      <w:tr>
        <w:trPr/>
        <w:tc>
          <w:tcPr>
            <w:tcW w:w="6263" w:type="dxa"/>
            <w:tcBorders>
              <w:bottom w:val="single" w:sz="8" w:space="0" w:color="000000"/>
            </w:tcBorders>
            <w:shd w:fill="CCEEFF" w:val="clear"/>
            <w:tcMar>
              <w:bottom w:w="30" w:type="dxa"/>
            </w:tcMar>
            <w:vAlign w:val="center"/>
          </w:tcPr>
          <w:p>
            <w:pPr>
              <w:pStyle w:val="TableContents"/>
              <w:bidi w:val="0"/>
              <w:spacing w:before="0" w:after="283"/>
              <w:jc w:val="left"/>
              <w:rPr/>
            </w:pPr>
            <w:r>
              <w:rPr/>
              <w:t>Impairment on short-term prepaid deposits, property, plant and equipment and assets held for sale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b/>
              </w:rPr>
            </w:pPr>
            <w:r>
              <w:rPr>
                <w:b/>
              </w:rPr>
              <w:t>11</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b/>
              </w:rPr>
            </w:pPr>
            <w:r>
              <w:rPr>
                <w:b/>
              </w:rPr>
              <w:t>(3,628</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(12,252</w:t>
            </w:r>
          </w:p>
        </w:tc>
        <w:tc>
          <w:tcPr>
            <w:tcW w:w="157" w:type="dxa"/>
            <w:tcBorders>
              <w:bottom w:val="single" w:sz="8" w:space="0" w:color="000000"/>
            </w:tcBorders>
            <w:shd w:fill="CCEEFF" w:val="clear"/>
            <w:vAlign w:val="center"/>
          </w:tcPr>
          <w:p>
            <w:pPr>
              <w:pStyle w:val="TableContents"/>
              <w:bidi w:val="0"/>
              <w:spacing w:before="0" w:after="283"/>
              <w:ind w:left="0" w:right="0" w:hanging="180"/>
              <w:jc w:val="left"/>
              <w:rPr/>
            </w:pPr>
            <w:r>
              <w:rPr/>
              <w:t>)</w:t>
            </w:r>
          </w:p>
        </w:tc>
      </w:tr>
      <w:tr>
        <w:trPr/>
        <w:tc>
          <w:tcPr>
            <w:tcW w:w="6263" w:type="dxa"/>
            <w:tcBorders>
              <w:bottom w:val="single" w:sz="8" w:space="0" w:color="000000"/>
            </w:tcBorders>
            <w:tcMar>
              <w:bottom w:w="30" w:type="dxa"/>
            </w:tcMar>
            <w:vAlign w:val="center"/>
          </w:tcPr>
          <w:p>
            <w:pPr>
              <w:pStyle w:val="TableContents"/>
              <w:bidi w:val="0"/>
              <w:spacing w:before="0" w:after="283"/>
              <w:jc w:val="left"/>
              <w:rPr>
                <w:b/>
              </w:rPr>
            </w:pPr>
            <w:r>
              <w:rPr>
                <w:b/>
              </w:rPr>
              <w:t>Operating loss</w:t>
            </w:r>
          </w:p>
        </w:tc>
        <w:tc>
          <w:tcPr>
            <w:tcW w:w="90" w:type="dxa"/>
            <w:tcBorders>
              <w:bottom w:val="single" w:sz="8" w:space="0" w:color="000000"/>
            </w:tcBorders>
            <w:vAlign w:val="center"/>
          </w:tcPr>
          <w:p>
            <w:pPr>
              <w:pStyle w:val="TableContents"/>
              <w:bidi w:val="0"/>
              <w:spacing w:before="0" w:after="283"/>
              <w:jc w:val="left"/>
              <w:rPr/>
            </w:pPr>
            <w:r>
              <w:rPr/>
              <w:t> </w:t>
            </w:r>
          </w:p>
        </w:tc>
        <w:tc>
          <w:tcPr>
            <w:tcW w:w="146" w:type="dxa"/>
            <w:tcBorders>
              <w:bottom w:val="single" w:sz="8" w:space="0" w:color="000000"/>
            </w:tcBorders>
            <w:vAlign w:val="center"/>
          </w:tcPr>
          <w:p>
            <w:pPr>
              <w:pStyle w:val="TableContents"/>
              <w:bidi w:val="0"/>
              <w:spacing w:before="0" w:after="283"/>
              <w:jc w:val="left"/>
              <w:rPr/>
            </w:pPr>
            <w:r>
              <w:rPr/>
              <w:t> </w:t>
            </w:r>
          </w:p>
        </w:tc>
        <w:tc>
          <w:tcPr>
            <w:tcW w:w="474"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b/>
              </w:rPr>
            </w:pPr>
            <w:r>
              <w:rPr>
                <w:b/>
              </w:rPr>
              <w:t>(107,563</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pPr>
            <w:r>
              <w:rPr/>
              <w:t>(72,129</w:t>
            </w:r>
          </w:p>
        </w:tc>
        <w:tc>
          <w:tcPr>
            <w:tcW w:w="157" w:type="dxa"/>
            <w:tcBorders>
              <w:bottom w:val="single" w:sz="8" w:space="0" w:color="000000"/>
            </w:tcBorders>
            <w:vAlign w:val="center"/>
          </w:tcPr>
          <w:p>
            <w:pPr>
              <w:pStyle w:val="TableContents"/>
              <w:bidi w:val="0"/>
              <w:spacing w:before="0" w:after="283"/>
              <w:ind w:left="0" w:right="0" w:hanging="180"/>
              <w:jc w:val="left"/>
              <w:rPr/>
            </w:pPr>
            <w:r>
              <w:rPr/>
              <w:t>)</w:t>
            </w:r>
          </w:p>
        </w:tc>
      </w:tr>
      <w:tr>
        <w:trPr/>
        <w:tc>
          <w:tcPr>
            <w:tcW w:w="626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5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63" w:type="dxa"/>
            <w:tcBorders>
              <w:bottom w:val="single" w:sz="8" w:space="0" w:color="000000"/>
            </w:tcBorders>
            <w:tcMar>
              <w:bottom w:w="30" w:type="dxa"/>
            </w:tcMar>
            <w:vAlign w:val="center"/>
          </w:tcPr>
          <w:p>
            <w:pPr>
              <w:pStyle w:val="TableContents"/>
              <w:bidi w:val="0"/>
              <w:spacing w:before="0" w:after="283"/>
              <w:jc w:val="left"/>
              <w:rPr/>
            </w:pPr>
            <w:r>
              <w:rPr/>
              <w:t>Net financial income (expenses)</w:t>
            </w:r>
          </w:p>
        </w:tc>
        <w:tc>
          <w:tcPr>
            <w:tcW w:w="90" w:type="dxa"/>
            <w:tcBorders>
              <w:bottom w:val="single" w:sz="8" w:space="0" w:color="000000"/>
            </w:tcBorders>
            <w:vAlign w:val="center"/>
          </w:tcPr>
          <w:p>
            <w:pPr>
              <w:pStyle w:val="TableContents"/>
              <w:bidi w:val="0"/>
              <w:spacing w:before="0" w:after="283"/>
              <w:jc w:val="left"/>
              <w:rPr/>
            </w:pPr>
            <w:r>
              <w:rPr/>
              <w:t> </w:t>
            </w:r>
          </w:p>
        </w:tc>
        <w:tc>
          <w:tcPr>
            <w:tcW w:w="146" w:type="dxa"/>
            <w:tcBorders>
              <w:bottom w:val="single" w:sz="8" w:space="0" w:color="000000"/>
            </w:tcBorders>
            <w:vAlign w:val="center"/>
          </w:tcPr>
          <w:p>
            <w:pPr>
              <w:pStyle w:val="TableContents"/>
              <w:bidi w:val="0"/>
              <w:spacing w:before="0" w:after="283"/>
              <w:jc w:val="left"/>
              <w:rPr/>
            </w:pPr>
            <w:r>
              <w:rPr/>
              <w:t> </w:t>
            </w:r>
          </w:p>
        </w:tc>
        <w:tc>
          <w:tcPr>
            <w:tcW w:w="474" w:type="dxa"/>
            <w:tcBorders>
              <w:bottom w:val="single" w:sz="8" w:space="0" w:color="000000"/>
            </w:tcBorders>
            <w:vAlign w:val="center"/>
          </w:tcPr>
          <w:p>
            <w:pPr>
              <w:pStyle w:val="TableContents"/>
              <w:bidi w:val="0"/>
              <w:spacing w:before="0" w:after="283"/>
              <w:jc w:val="right"/>
              <w:rPr>
                <w:b/>
              </w:rPr>
            </w:pPr>
            <w:r>
              <w:rPr>
                <w:b/>
              </w:rPr>
              <w:t>29</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b/>
              </w:rPr>
            </w:pPr>
            <w:r>
              <w:rPr>
                <w:b/>
              </w:rPr>
              <w:t>39,210</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pPr>
            <w:r>
              <w:rPr/>
              <w:t>(37,194</w:t>
            </w:r>
          </w:p>
        </w:tc>
        <w:tc>
          <w:tcPr>
            <w:tcW w:w="157" w:type="dxa"/>
            <w:tcBorders>
              <w:bottom w:val="single" w:sz="8" w:space="0" w:color="000000"/>
            </w:tcBorders>
            <w:vAlign w:val="center"/>
          </w:tcPr>
          <w:p>
            <w:pPr>
              <w:pStyle w:val="TableContents"/>
              <w:bidi w:val="0"/>
              <w:spacing w:before="0" w:after="283"/>
              <w:ind w:left="0" w:right="0" w:hanging="180"/>
              <w:jc w:val="left"/>
              <w:rPr/>
            </w:pPr>
            <w:r>
              <w:rPr/>
              <w:t>)</w:t>
            </w:r>
          </w:p>
        </w:tc>
      </w:tr>
      <w:tr>
        <w:trPr/>
        <w:tc>
          <w:tcPr>
            <w:tcW w:w="6263"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Net loss before income taxes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b/>
              </w:rPr>
            </w:pPr>
            <w:r>
              <w:rPr>
                <w:b/>
              </w:rPr>
              <w:t>(68,353</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(109,323</w:t>
            </w:r>
          </w:p>
        </w:tc>
        <w:tc>
          <w:tcPr>
            <w:tcW w:w="157" w:type="dxa"/>
            <w:tcBorders>
              <w:bottom w:val="single" w:sz="8" w:space="0" w:color="000000"/>
            </w:tcBorders>
            <w:shd w:fill="CCEEFF" w:val="clear"/>
            <w:vAlign w:val="center"/>
          </w:tcPr>
          <w:p>
            <w:pPr>
              <w:pStyle w:val="TableContents"/>
              <w:bidi w:val="0"/>
              <w:spacing w:before="0" w:after="283"/>
              <w:ind w:left="0" w:right="0" w:hanging="180"/>
              <w:jc w:val="left"/>
              <w:rPr/>
            </w:pPr>
            <w:r>
              <w:rPr/>
              <w:t>)</w:t>
            </w:r>
          </w:p>
        </w:tc>
      </w:tr>
      <w:tr>
        <w:trPr/>
        <w:tc>
          <w:tcPr>
            <w:tcW w:w="62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57" w:type="dxa"/>
            <w:tcBorders/>
            <w:tcMar>
              <w:bottom w:w="0" w:type="dxa"/>
            </w:tcMar>
            <w:vAlign w:val="center"/>
          </w:tcPr>
          <w:p>
            <w:pPr>
              <w:pStyle w:val="TableContents"/>
              <w:bidi w:val="0"/>
              <w:spacing w:before="0" w:after="283"/>
              <w:ind w:left="0" w:right="0" w:hanging="180"/>
              <w:jc w:val="left"/>
              <w:rPr/>
            </w:pPr>
            <w:r>
              <w:rPr/>
              <w:t> </w:t>
            </w:r>
          </w:p>
        </w:tc>
      </w:tr>
      <w:tr>
        <w:trPr/>
        <w:tc>
          <w:tcPr>
            <w:tcW w:w="6263" w:type="dxa"/>
            <w:tcBorders>
              <w:bottom w:val="single" w:sz="8" w:space="0" w:color="000000"/>
            </w:tcBorders>
            <w:shd w:fill="CCEEFF" w:val="clear"/>
            <w:tcMar>
              <w:bottom w:w="30" w:type="dxa"/>
            </w:tcMar>
            <w:vAlign w:val="center"/>
          </w:tcPr>
          <w:p>
            <w:pPr>
              <w:pStyle w:val="TableContents"/>
              <w:bidi w:val="0"/>
              <w:spacing w:before="0" w:after="283"/>
              <w:jc w:val="left"/>
              <w:rPr/>
            </w:pPr>
            <w:r>
              <w:rPr/>
              <w:t>Income tax recovery</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b/>
              </w:rPr>
            </w:pPr>
            <w:r>
              <w:rPr>
                <w:b/>
              </w:rPr>
              <w:t>20</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b/>
              </w:rPr>
            </w:pPr>
            <w:r>
              <w:rPr>
                <w:b/>
              </w:rPr>
              <w:t>14,290</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401</w:t>
            </w:r>
          </w:p>
        </w:tc>
        <w:tc>
          <w:tcPr>
            <w:tcW w:w="157"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6263" w:type="dxa"/>
            <w:tcBorders>
              <w:bottom w:val="single" w:sz="12" w:space="0" w:color="000000"/>
            </w:tcBorders>
            <w:tcMar>
              <w:bottom w:w="30" w:type="dxa"/>
            </w:tcMar>
            <w:vAlign w:val="center"/>
          </w:tcPr>
          <w:p>
            <w:pPr>
              <w:pStyle w:val="TableContents"/>
              <w:bidi w:val="0"/>
              <w:spacing w:before="0" w:after="283"/>
              <w:jc w:val="left"/>
              <w:rPr>
                <w:b/>
              </w:rPr>
            </w:pPr>
            <w:r>
              <w:rPr>
                <w:b/>
              </w:rPr>
              <w:t>Net loss</w:t>
            </w:r>
          </w:p>
        </w:tc>
        <w:tc>
          <w:tcPr>
            <w:tcW w:w="90" w:type="dxa"/>
            <w:tcBorders>
              <w:bottom w:val="single" w:sz="12" w:space="0" w:color="000000"/>
            </w:tcBorders>
            <w:vAlign w:val="center"/>
          </w:tcPr>
          <w:p>
            <w:pPr>
              <w:pStyle w:val="TableContents"/>
              <w:bidi w:val="0"/>
              <w:spacing w:before="0" w:after="283"/>
              <w:jc w:val="left"/>
              <w:rPr/>
            </w:pPr>
            <w:r>
              <w:rPr/>
              <w:t> </w:t>
            </w:r>
          </w:p>
        </w:tc>
        <w:tc>
          <w:tcPr>
            <w:tcW w:w="146" w:type="dxa"/>
            <w:tcBorders>
              <w:bottom w:val="single" w:sz="12" w:space="0" w:color="000000"/>
            </w:tcBorders>
            <w:vAlign w:val="center"/>
          </w:tcPr>
          <w:p>
            <w:pPr>
              <w:pStyle w:val="TableContents"/>
              <w:bidi w:val="0"/>
              <w:spacing w:before="0" w:after="283"/>
              <w:jc w:val="left"/>
              <w:rPr/>
            </w:pPr>
            <w:r>
              <w:rPr/>
              <w:t> </w:t>
            </w:r>
          </w:p>
        </w:tc>
        <w:tc>
          <w:tcPr>
            <w:tcW w:w="474"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b/>
              </w:rPr>
            </w:pPr>
            <w:r>
              <w:rPr>
                <w:b/>
              </w:rPr>
              <w:t>(54,063</w:t>
            </w:r>
          </w:p>
        </w:tc>
        <w:tc>
          <w:tcPr>
            <w:tcW w:w="125" w:type="dxa"/>
            <w:tcBorders>
              <w:bottom w:val="single" w:sz="12"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pPr>
            <w:r>
              <w:rPr/>
              <w:t>(108,922</w:t>
            </w:r>
          </w:p>
        </w:tc>
        <w:tc>
          <w:tcPr>
            <w:tcW w:w="157" w:type="dxa"/>
            <w:tcBorders>
              <w:bottom w:val="single" w:sz="12" w:space="0" w:color="000000"/>
            </w:tcBorders>
            <w:tcMar>
              <w:bottom w:w="30" w:type="dxa"/>
            </w:tcMar>
            <w:vAlign w:val="center"/>
          </w:tcPr>
          <w:p>
            <w:pPr>
              <w:pStyle w:val="TableContents"/>
              <w:bidi w:val="0"/>
              <w:spacing w:before="0" w:after="283"/>
              <w:ind w:left="0" w:right="0" w:hanging="180"/>
              <w:jc w:val="left"/>
              <w:rPr/>
            </w:pPr>
            <w:r>
              <w:rPr/>
              <w:t>)</w:t>
            </w:r>
          </w:p>
        </w:tc>
      </w:tr>
      <w:tr>
        <w:trPr/>
        <w:tc>
          <w:tcPr>
            <w:tcW w:w="626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5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63" w:type="dxa"/>
            <w:tcBorders/>
            <w:tcMar>
              <w:bottom w:w="0" w:type="dxa"/>
            </w:tcMar>
            <w:vAlign w:val="center"/>
          </w:tcPr>
          <w:p>
            <w:pPr>
              <w:pStyle w:val="TableContents"/>
              <w:bidi w:val="0"/>
              <w:spacing w:before="0" w:after="283"/>
              <w:jc w:val="left"/>
              <w:rPr>
                <w:b/>
              </w:rPr>
            </w:pPr>
            <w:r>
              <w:rPr>
                <w:b/>
              </w:rPr>
              <w:t>Other comprehensive income (loss)</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57" w:type="dxa"/>
            <w:tcBorders/>
            <w:tcMar>
              <w:bottom w:w="0" w:type="dxa"/>
            </w:tcMar>
            <w:vAlign w:val="center"/>
          </w:tcPr>
          <w:p>
            <w:pPr>
              <w:pStyle w:val="TableContents"/>
              <w:bidi w:val="0"/>
              <w:spacing w:before="0" w:after="283"/>
              <w:ind w:left="0" w:right="0" w:hanging="180"/>
              <w:jc w:val="left"/>
              <w:rPr/>
            </w:pPr>
            <w:r>
              <w:rPr/>
              <w:t> </w:t>
            </w:r>
          </w:p>
        </w:tc>
      </w:tr>
      <w:tr>
        <w:trPr/>
        <w:tc>
          <w:tcPr>
            <w:tcW w:w="6263" w:type="dxa"/>
            <w:tcBorders/>
            <w:shd w:fill="CCEEFF" w:val="clear"/>
            <w:tcMar>
              <w:bottom w:w="0" w:type="dxa"/>
            </w:tcMar>
            <w:vAlign w:val="center"/>
          </w:tcPr>
          <w:p>
            <w:pPr>
              <w:pStyle w:val="TableContents"/>
              <w:bidi w:val="0"/>
              <w:spacing w:before="0" w:after="283"/>
              <w:jc w:val="left"/>
              <w:rPr/>
            </w:pPr>
            <w:r>
              <w:rPr/>
              <w:t>Item that will not be reclassified to profit or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5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63" w:type="dxa"/>
            <w:tcBorders>
              <w:bottom w:val="single" w:sz="8" w:space="0" w:color="000000"/>
            </w:tcBorders>
            <w:tcMar>
              <w:bottom w:w="30" w:type="dxa"/>
            </w:tcMar>
            <w:vAlign w:val="center"/>
          </w:tcPr>
          <w:p>
            <w:pPr>
              <w:pStyle w:val="TableContents"/>
              <w:bidi w:val="0"/>
              <w:spacing w:before="0" w:after="283"/>
              <w:jc w:val="left"/>
              <w:rPr/>
            </w:pPr>
            <w:r>
              <w:rPr/>
              <w:t>Change in revaluation surplus - digital assets, net of tax</w:t>
            </w:r>
          </w:p>
        </w:tc>
        <w:tc>
          <w:tcPr>
            <w:tcW w:w="90" w:type="dxa"/>
            <w:tcBorders>
              <w:bottom w:val="single" w:sz="8" w:space="0" w:color="000000"/>
            </w:tcBorders>
            <w:vAlign w:val="center"/>
          </w:tcPr>
          <w:p>
            <w:pPr>
              <w:pStyle w:val="TableContents"/>
              <w:bidi w:val="0"/>
              <w:spacing w:before="0" w:after="283"/>
              <w:jc w:val="left"/>
              <w:rPr/>
            </w:pPr>
            <w:r>
              <w:rPr/>
              <w:t> </w:t>
            </w:r>
          </w:p>
        </w:tc>
        <w:tc>
          <w:tcPr>
            <w:tcW w:w="146" w:type="dxa"/>
            <w:tcBorders>
              <w:bottom w:val="single" w:sz="8" w:space="0" w:color="000000"/>
            </w:tcBorders>
            <w:vAlign w:val="center"/>
          </w:tcPr>
          <w:p>
            <w:pPr>
              <w:pStyle w:val="TableContents"/>
              <w:bidi w:val="0"/>
              <w:spacing w:before="0" w:after="283"/>
              <w:jc w:val="left"/>
              <w:rPr/>
            </w:pPr>
            <w:r>
              <w:rPr/>
              <w:t> </w:t>
            </w:r>
          </w:p>
        </w:tc>
        <w:tc>
          <w:tcPr>
            <w:tcW w:w="474" w:type="dxa"/>
            <w:tcBorders>
              <w:bottom w:val="single" w:sz="8" w:space="0" w:color="000000"/>
            </w:tcBorders>
            <w:vAlign w:val="center"/>
          </w:tcPr>
          <w:p>
            <w:pPr>
              <w:pStyle w:val="TableContents"/>
              <w:bidi w:val="0"/>
              <w:spacing w:before="0" w:after="283"/>
              <w:jc w:val="right"/>
              <w:rPr>
                <w:b/>
              </w:rPr>
            </w:pPr>
            <w:r>
              <w:rPr>
                <w:b/>
              </w:rPr>
              <w:t>8</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b/>
              </w:rPr>
            </w:pPr>
            <w:r>
              <w:rPr>
                <w:b/>
              </w:rPr>
              <w:t>39,120</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pPr>
            <w:r>
              <w:rPr/>
              <w:t>9,242</w:t>
            </w:r>
          </w:p>
        </w:tc>
        <w:tc>
          <w:tcPr>
            <w:tcW w:w="157"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6263"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Total comprehensive loss, net of tax</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474"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(14,943</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(99,680</w:t>
            </w:r>
          </w:p>
        </w:tc>
        <w:tc>
          <w:tcPr>
            <w:tcW w:w="157" w:type="dxa"/>
            <w:tcBorders>
              <w:bottom w:val="single" w:sz="12"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62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157" w:type="dxa"/>
            <w:tcBorders/>
            <w:tcMar>
              <w:bottom w:w="0" w:type="dxa"/>
            </w:tcMar>
            <w:vAlign w:val="center"/>
          </w:tcPr>
          <w:p>
            <w:pPr>
              <w:pStyle w:val="TableContents"/>
              <w:bidi w:val="0"/>
              <w:spacing w:before="0" w:after="283"/>
              <w:ind w:left="0" w:right="0" w:hanging="180"/>
              <w:jc w:val="left"/>
              <w:rPr/>
            </w:pPr>
            <w:r>
              <w:rPr/>
              <w:t> </w:t>
            </w:r>
          </w:p>
        </w:tc>
      </w:tr>
      <w:tr>
        <w:trPr/>
        <w:tc>
          <w:tcPr>
            <w:tcW w:w="6263" w:type="dxa"/>
            <w:tcBorders/>
            <w:shd w:fill="CCEEFF" w:val="clear"/>
            <w:tcMar>
              <w:bottom w:w="0" w:type="dxa"/>
            </w:tcMar>
            <w:vAlign w:val="center"/>
          </w:tcPr>
          <w:p>
            <w:pPr>
              <w:pStyle w:val="TableContents"/>
              <w:bidi w:val="0"/>
              <w:spacing w:before="0" w:after="283"/>
              <w:jc w:val="left"/>
              <w:rPr>
                <w:b/>
              </w:rPr>
            </w:pPr>
            <w:r>
              <w:rPr>
                <w:b/>
              </w:rPr>
              <w:t>Loss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b/>
              </w:rPr>
            </w:pPr>
            <w:r>
              <w:rPr>
                <w:b/>
              </w:rPr>
              <w:t>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5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63" w:type="dxa"/>
            <w:tcBorders>
              <w:bottom w:val="single" w:sz="8" w:space="0" w:color="000000"/>
            </w:tcBorders>
            <w:tcMar>
              <w:bottom w:w="30" w:type="dxa"/>
            </w:tcMar>
            <w:vAlign w:val="center"/>
          </w:tcPr>
          <w:p>
            <w:pPr>
              <w:pStyle w:val="TableContents"/>
              <w:bidi w:val="0"/>
              <w:spacing w:before="0" w:after="283"/>
              <w:jc w:val="left"/>
              <w:rPr/>
            </w:pPr>
            <w:r>
              <w:rPr/>
              <w:t>Basic and diluted</w:t>
            </w:r>
          </w:p>
        </w:tc>
        <w:tc>
          <w:tcPr>
            <w:tcW w:w="90" w:type="dxa"/>
            <w:tcBorders>
              <w:bottom w:val="single" w:sz="8" w:space="0" w:color="000000"/>
            </w:tcBorders>
            <w:vAlign w:val="center"/>
          </w:tcPr>
          <w:p>
            <w:pPr>
              <w:pStyle w:val="TableContents"/>
              <w:bidi w:val="0"/>
              <w:spacing w:before="0" w:after="283"/>
              <w:jc w:val="left"/>
              <w:rPr/>
            </w:pPr>
            <w:r>
              <w:rPr/>
              <w:t> </w:t>
            </w:r>
          </w:p>
        </w:tc>
        <w:tc>
          <w:tcPr>
            <w:tcW w:w="146" w:type="dxa"/>
            <w:tcBorders>
              <w:bottom w:val="single" w:sz="8" w:space="0" w:color="000000"/>
            </w:tcBorders>
            <w:vAlign w:val="center"/>
          </w:tcPr>
          <w:p>
            <w:pPr>
              <w:pStyle w:val="TableContents"/>
              <w:bidi w:val="0"/>
              <w:spacing w:before="0" w:after="283"/>
              <w:jc w:val="left"/>
              <w:rPr/>
            </w:pPr>
            <w:r>
              <w:rPr/>
              <w:t> </w:t>
            </w:r>
          </w:p>
        </w:tc>
        <w:tc>
          <w:tcPr>
            <w:tcW w:w="474"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b/>
              </w:rPr>
            </w:pPr>
            <w:r>
              <w:rPr>
                <w:b/>
              </w:rPr>
              <w:t>(0.13</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pPr>
            <w:r>
              <w:rPr/>
              <w:t>(0.42</w:t>
            </w:r>
          </w:p>
        </w:tc>
        <w:tc>
          <w:tcPr>
            <w:tcW w:w="157" w:type="dxa"/>
            <w:tcBorders>
              <w:bottom w:val="single" w:sz="8" w:space="0" w:color="000000"/>
            </w:tcBorders>
            <w:vAlign w:val="center"/>
          </w:tcPr>
          <w:p>
            <w:pPr>
              <w:pStyle w:val="TableContents"/>
              <w:bidi w:val="0"/>
              <w:spacing w:before="0" w:after="283"/>
              <w:ind w:left="0" w:right="0" w:hanging="180"/>
              <w:jc w:val="left"/>
              <w:rPr/>
            </w:pPr>
            <w:r>
              <w:rPr/>
              <w:t>)</w:t>
            </w:r>
          </w:p>
        </w:tc>
      </w:tr>
      <w:tr>
        <w:trPr/>
        <w:tc>
          <w:tcPr>
            <w:tcW w:w="6263" w:type="dxa"/>
            <w:tcBorders/>
            <w:shd w:fill="CCEEFF" w:val="clear"/>
            <w:tcMar>
              <w:bottom w:w="0" w:type="dxa"/>
            </w:tcMar>
            <w:vAlign w:val="center"/>
          </w:tcPr>
          <w:p>
            <w:pPr>
              <w:pStyle w:val="TableContents"/>
              <w:bidi w:val="0"/>
              <w:spacing w:before="0" w:after="283"/>
              <w:jc w:val="left"/>
              <w:rPr/>
            </w:pPr>
            <w:r>
              <w:rPr/>
              <w:t>Weighted average number of common shares outstanding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b/>
              </w:rPr>
            </w:pPr>
            <w:r>
              <w:rPr>
                <w:b/>
              </w:rPr>
              <w:t>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15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263" w:type="dxa"/>
            <w:tcBorders>
              <w:bottom w:val="single" w:sz="12" w:space="0" w:color="000000"/>
            </w:tcBorders>
            <w:tcMar>
              <w:bottom w:w="30" w:type="dxa"/>
            </w:tcMar>
            <w:vAlign w:val="center"/>
          </w:tcPr>
          <w:p>
            <w:pPr>
              <w:pStyle w:val="TableContents"/>
              <w:bidi w:val="0"/>
              <w:spacing w:before="0" w:after="283"/>
              <w:jc w:val="left"/>
              <w:rPr/>
            </w:pPr>
            <w:r>
              <w:rPr/>
              <w:t>Basic and diluted</w:t>
            </w:r>
          </w:p>
        </w:tc>
        <w:tc>
          <w:tcPr>
            <w:tcW w:w="90" w:type="dxa"/>
            <w:tcBorders>
              <w:bottom w:val="single" w:sz="12" w:space="0" w:color="000000"/>
            </w:tcBorders>
            <w:vAlign w:val="center"/>
          </w:tcPr>
          <w:p>
            <w:pPr>
              <w:pStyle w:val="TableContents"/>
              <w:bidi w:val="0"/>
              <w:spacing w:before="0" w:after="283"/>
              <w:jc w:val="left"/>
              <w:rPr/>
            </w:pPr>
            <w:r>
              <w:rPr/>
              <w:t> </w:t>
            </w:r>
          </w:p>
        </w:tc>
        <w:tc>
          <w:tcPr>
            <w:tcW w:w="146" w:type="dxa"/>
            <w:tcBorders>
              <w:bottom w:val="single" w:sz="12" w:space="0" w:color="000000"/>
            </w:tcBorders>
            <w:vAlign w:val="center"/>
          </w:tcPr>
          <w:p>
            <w:pPr>
              <w:pStyle w:val="TableContents"/>
              <w:bidi w:val="0"/>
              <w:spacing w:before="0" w:after="283"/>
              <w:jc w:val="left"/>
              <w:rPr/>
            </w:pPr>
            <w:r>
              <w:rPr/>
              <w:t> </w:t>
            </w:r>
          </w:p>
        </w:tc>
        <w:tc>
          <w:tcPr>
            <w:tcW w:w="474"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b/>
              </w:rPr>
            </w:pPr>
            <w:r>
              <w:rPr>
                <w:b/>
              </w:rPr>
              <w:t>414,669,947</w:t>
            </w:r>
          </w:p>
        </w:tc>
        <w:tc>
          <w:tcPr>
            <w:tcW w:w="12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283"/>
              <w:jc w:val="right"/>
              <w:rPr/>
            </w:pPr>
            <w:r>
              <w:rPr/>
              <w:t>262,237,117</w:t>
            </w:r>
          </w:p>
        </w:tc>
        <w:tc>
          <w:tcPr>
            <w:tcW w:w="157" w:type="dxa"/>
            <w:tcBorders>
              <w:bottom w:val="single" w:sz="12" w:space="0" w:color="000000"/>
            </w:tcBorders>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be read in conjunction with the notes to the consolidated financial statements</w:t>
      </w:r>
    </w:p>
    <w:p>
      <w:pPr>
        <w:pStyle w:val="TextBody"/>
        <w:bidi w:val="0"/>
        <w:spacing w:before="0" w:after="0"/>
        <w:jc w:val="both"/>
        <w:rPr>
          <w:caps w:val="false"/>
          <w:smallCaps w:val="false"/>
        </w:rPr>
      </w:pPr>
      <w:r>
        <w:rPr>
          <w:caps w:val="false"/>
          <w:smallCaps w:val="false"/>
        </w:rPr>
        <w:t> </w:t>
      </w:r>
    </w:p>
    <w:tbl>
      <w:tblPr>
        <w:tblW w:w="760" w:type="dxa"/>
        <w:jc w:val="left"/>
        <w:tblInd w:w="0" w:type="dxa"/>
        <w:tblLayout w:type="fixed"/>
        <w:tblCellMar>
          <w:top w:w="28" w:type="dxa"/>
          <w:left w:w="0" w:type="dxa"/>
          <w:bottom w:w="0" w:type="dxa"/>
          <w:right w:w="0" w:type="dxa"/>
        </w:tblCellMar>
      </w:tblPr>
      <w:tblGrid>
        <w:gridCol w:w="215"/>
        <w:gridCol w:w="545"/>
      </w:tblGrid>
      <w:tr>
        <w:trPr/>
        <w:tc>
          <w:tcPr>
            <w:tcW w:w="215" w:type="dxa"/>
            <w:tcBorders>
              <w:top w:val="single" w:sz="12" w:space="0" w:color="000000"/>
            </w:tcBorders>
            <w:vAlign w:val="center"/>
          </w:tcPr>
          <w:p>
            <w:pPr>
              <w:pStyle w:val="TableContents"/>
              <w:bidi w:val="0"/>
              <w:spacing w:before="0" w:after="283"/>
              <w:jc w:val="right"/>
              <w:rPr>
                <w:sz w:val="20"/>
              </w:rPr>
            </w:pPr>
            <w:r>
              <w:rPr>
                <w:sz w:val="20"/>
              </w:rPr>
              <w:t>9 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 w:name="a_006"/>
      <w:bookmarkStart w:id="19" w:name="a_006"/>
      <w:bookmarkEnd w:id="19"/>
    </w:p>
    <w:tbl>
      <w:tblPr>
        <w:tblW w:w="6125" w:type="dxa"/>
        <w:jc w:val="left"/>
        <w:tblInd w:w="0" w:type="dxa"/>
        <w:tblLayout w:type="fixed"/>
        <w:tblCellMar>
          <w:top w:w="0" w:type="dxa"/>
          <w:left w:w="0" w:type="dxa"/>
          <w:bottom w:w="0" w:type="dxa"/>
          <w:right w:w="0" w:type="dxa"/>
        </w:tblCellMar>
      </w:tblPr>
      <w:tblGrid>
        <w:gridCol w:w="6125"/>
      </w:tblGrid>
      <w:tr>
        <w:trPr/>
        <w:tc>
          <w:tcPr>
            <w:tcW w:w="6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6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STATEMENTS OF CHANGES IN EQUITY</w:t>
            </w:r>
          </w:p>
        </w:tc>
      </w:tr>
      <w:tr>
        <w:trPr/>
        <w:tc>
          <w:tcPr>
            <w:tcW w:w="61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number of shares - audited)</w:t>
            </w:r>
          </w:p>
        </w:tc>
      </w:tr>
    </w:tbl>
    <w:p>
      <w:pPr>
        <w:pStyle w:val="TextBody"/>
        <w:bidi w:val="0"/>
        <w:spacing w:before="0" w:after="0"/>
        <w:jc w:val="both"/>
        <w:rPr>
          <w:caps w:val="false"/>
          <w:smallCaps w:val="false"/>
        </w:rPr>
      </w:pPr>
      <w:r>
        <w:rPr>
          <w:caps w:val="false"/>
          <w:smallCaps w:val="false"/>
        </w:rPr>
        <w:t> </w:t>
      </w:r>
    </w:p>
    <w:tbl>
      <w:tblPr>
        <w:tblW w:w="10765" w:type="dxa"/>
        <w:jc w:val="left"/>
        <w:tblInd w:w="0" w:type="dxa"/>
        <w:tblLayout w:type="fixed"/>
        <w:tblCellMar>
          <w:top w:w="0" w:type="dxa"/>
          <w:left w:w="0" w:type="dxa"/>
          <w:bottom w:w="28" w:type="dxa"/>
          <w:right w:w="0" w:type="dxa"/>
        </w:tblCellMar>
      </w:tblPr>
      <w:tblGrid>
        <w:gridCol w:w="1490"/>
        <w:gridCol w:w="90"/>
        <w:gridCol w:w="90"/>
        <w:gridCol w:w="530"/>
        <w:gridCol w:w="90"/>
        <w:gridCol w:w="90"/>
        <w:gridCol w:w="90"/>
        <w:gridCol w:w="1250"/>
        <w:gridCol w:w="90"/>
        <w:gridCol w:w="90"/>
        <w:gridCol w:w="90"/>
        <w:gridCol w:w="830"/>
        <w:gridCol w:w="90"/>
        <w:gridCol w:w="90"/>
        <w:gridCol w:w="147"/>
        <w:gridCol w:w="1163"/>
        <w:gridCol w:w="125"/>
        <w:gridCol w:w="90"/>
        <w:gridCol w:w="126"/>
        <w:gridCol w:w="1274"/>
        <w:gridCol w:w="125"/>
        <w:gridCol w:w="90"/>
        <w:gridCol w:w="131"/>
        <w:gridCol w:w="1149"/>
        <w:gridCol w:w="125"/>
        <w:gridCol w:w="90"/>
        <w:gridCol w:w="90"/>
        <w:gridCol w:w="905"/>
        <w:gridCol w:w="135"/>
      </w:tblGrid>
      <w:tr>
        <w:trPr/>
        <w:tc>
          <w:tcPr>
            <w:tcW w:w="1490" w:type="dxa"/>
            <w:tcBorders>
              <w:bottom w:val="single" w:sz="8" w:space="0" w:color="000000"/>
            </w:tcBorders>
            <w:vAlign w:val="center"/>
          </w:tcPr>
          <w:p>
            <w:pPr>
              <w:pStyle w:val="TableContents"/>
              <w:bidi w:val="0"/>
              <w:spacing w:before="0" w:after="283"/>
              <w:ind w:left="0" w:right="0" w:hanging="180"/>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right"/>
              <w:rPr>
                <w:b/>
              </w:rPr>
            </w:pPr>
            <w:r>
              <w:rPr>
                <w:b/>
              </w:rPr>
              <w:t>Notes</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40"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w:t>
              <w:br/>
              <w:t>of shares</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right"/>
              <w:rPr>
                <w:b/>
              </w:rPr>
            </w:pPr>
            <w:r>
              <w:rPr>
                <w:b/>
              </w:rPr>
              <w:t>Share capital</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10" w:type="dxa"/>
            <w:gridSpan w:val="2"/>
            <w:tcBorders>
              <w:bottom w:val="single" w:sz="8" w:space="0" w:color="000000"/>
            </w:tcBorders>
            <w:vAlign w:val="center"/>
          </w:tcPr>
          <w:p>
            <w:pPr>
              <w:pStyle w:val="TableContents"/>
              <w:bidi w:val="0"/>
              <w:spacing w:before="0" w:after="283"/>
              <w:jc w:val="right"/>
              <w:rPr>
                <w:b/>
              </w:rPr>
            </w:pPr>
            <w:r>
              <w:rPr>
                <w:b/>
              </w:rPr>
              <w:t>Contributed</w:t>
              <w:br/>
              <w:t>surplus</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00" w:type="dxa"/>
            <w:gridSpan w:val="2"/>
            <w:tcBorders>
              <w:bottom w:val="single" w:sz="8" w:space="0" w:color="000000"/>
            </w:tcBorders>
            <w:vAlign w:val="center"/>
          </w:tcPr>
          <w:p>
            <w:pPr>
              <w:pStyle w:val="TableContents"/>
              <w:bidi w:val="0"/>
              <w:spacing w:before="0" w:after="283"/>
              <w:jc w:val="right"/>
              <w:rPr>
                <w:b/>
              </w:rPr>
            </w:pPr>
            <w:r>
              <w:rPr>
                <w:b/>
              </w:rPr>
              <w:t>Accumulated</w:t>
              <w:br/>
              <w:t>deficit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right"/>
              <w:rPr>
                <w:b/>
              </w:rPr>
            </w:pPr>
            <w:r>
              <w:rPr>
                <w:b/>
              </w:rPr>
              <w:t>Revaluation</w:t>
              <w:br/>
              <w:t>surplus</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right"/>
              <w:rPr>
                <w:b/>
              </w:rPr>
            </w:pPr>
            <w:r>
              <w:rPr>
                <w:b/>
              </w:rPr>
              <w:t>Total equity</w:t>
            </w:r>
          </w:p>
        </w:tc>
        <w:tc>
          <w:tcPr>
            <w:tcW w:w="135"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490"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Balance as of January 1, 2024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b/>
              </w:rPr>
            </w:pPr>
            <w:r>
              <w:rPr>
                <w:b/>
              </w:rPr>
              <w:t>334,153,330</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b/>
              </w:rPr>
            </w:pPr>
            <w:r>
              <w:rPr>
                <w:b/>
              </w:rPr>
              <w:t>535,009</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vAlign w:val="center"/>
          </w:tcPr>
          <w:p>
            <w:pPr>
              <w:pStyle w:val="TableContents"/>
              <w:bidi w:val="0"/>
              <w:spacing w:before="0" w:after="283"/>
              <w:jc w:val="left"/>
              <w:rPr/>
            </w:pPr>
            <w:r>
              <w:rPr/>
              <w:t> </w:t>
            </w:r>
          </w:p>
        </w:tc>
        <w:tc>
          <w:tcPr>
            <w:tcW w:w="1163" w:type="dxa"/>
            <w:tcBorders>
              <w:bottom w:val="single" w:sz="8" w:space="0" w:color="000000"/>
            </w:tcBorders>
            <w:shd w:fill="CCEEFF" w:val="clear"/>
            <w:vAlign w:val="center"/>
          </w:tcPr>
          <w:p>
            <w:pPr>
              <w:pStyle w:val="TableContents"/>
              <w:bidi w:val="0"/>
              <w:spacing w:before="0" w:after="283"/>
              <w:jc w:val="right"/>
              <w:rPr>
                <w:b/>
              </w:rPr>
            </w:pPr>
            <w:r>
              <w:rPr>
                <w:b/>
              </w:rPr>
              <w:t>56,622</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vAlign w:val="center"/>
          </w:tcPr>
          <w:p>
            <w:pPr>
              <w:pStyle w:val="TableContents"/>
              <w:bidi w:val="0"/>
              <w:spacing w:before="0" w:after="283"/>
              <w:jc w:val="left"/>
              <w:rPr/>
            </w:pPr>
            <w:r>
              <w:rPr/>
              <w:t> </w:t>
            </w:r>
          </w:p>
        </w:tc>
        <w:tc>
          <w:tcPr>
            <w:tcW w:w="1274" w:type="dxa"/>
            <w:tcBorders>
              <w:bottom w:val="single" w:sz="8" w:space="0" w:color="000000"/>
            </w:tcBorders>
            <w:shd w:fill="CCEEFF" w:val="clear"/>
            <w:vAlign w:val="center"/>
          </w:tcPr>
          <w:p>
            <w:pPr>
              <w:pStyle w:val="TableContents"/>
              <w:bidi w:val="0"/>
              <w:spacing w:before="0" w:after="283"/>
              <w:jc w:val="right"/>
              <w:rPr>
                <w:b/>
              </w:rPr>
            </w:pPr>
            <w:r>
              <w:rPr>
                <w:b/>
              </w:rPr>
              <w:t>(299,810</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vAlign w:val="center"/>
          </w:tcPr>
          <w:p>
            <w:pPr>
              <w:pStyle w:val="TableContents"/>
              <w:bidi w:val="0"/>
              <w:spacing w:before="0" w:after="283"/>
              <w:jc w:val="left"/>
              <w:rPr/>
            </w:pPr>
            <w:r>
              <w:rPr/>
              <w:t> </w:t>
            </w:r>
          </w:p>
        </w:tc>
        <w:tc>
          <w:tcPr>
            <w:tcW w:w="1149" w:type="dxa"/>
            <w:tcBorders>
              <w:bottom w:val="single" w:sz="8" w:space="0" w:color="000000"/>
            </w:tcBorders>
            <w:shd w:fill="CCEEFF" w:val="clear"/>
            <w:vAlign w:val="center"/>
          </w:tcPr>
          <w:p>
            <w:pPr>
              <w:pStyle w:val="TableContents"/>
              <w:bidi w:val="0"/>
              <w:spacing w:before="0" w:after="283"/>
              <w:jc w:val="right"/>
              <w:rPr>
                <w:b/>
              </w:rPr>
            </w:pPr>
            <w:r>
              <w:rPr>
                <w:b/>
              </w:rPr>
              <w:t>2,941</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b/>
              </w:rPr>
            </w:pPr>
            <w:r>
              <w:rPr>
                <w:b/>
              </w:rPr>
              <w:t>294,762</w:t>
            </w:r>
          </w:p>
        </w:tc>
        <w:tc>
          <w:tcPr>
            <w:tcW w:w="13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1490" w:type="dxa"/>
            <w:tcBorders/>
            <w:tcMar>
              <w:bottom w:w="0" w:type="dxa"/>
            </w:tcMar>
            <w:vAlign w:val="center"/>
          </w:tcPr>
          <w:p>
            <w:pPr>
              <w:pStyle w:val="TableContents"/>
              <w:bidi w:val="0"/>
              <w:spacing w:before="0" w:after="283"/>
              <w:jc w:val="left"/>
              <w:rPr/>
            </w:pPr>
            <w:r>
              <w:rPr/>
              <w:t>Net loss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16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274" w:type="dxa"/>
            <w:tcBorders/>
            <w:tcMar>
              <w:bottom w:w="0" w:type="dxa"/>
            </w:tcMar>
            <w:vAlign w:val="center"/>
          </w:tcPr>
          <w:p>
            <w:pPr>
              <w:pStyle w:val="TableContents"/>
              <w:bidi w:val="0"/>
              <w:spacing w:before="0" w:after="283"/>
              <w:jc w:val="right"/>
              <w:rPr>
                <w:b/>
              </w:rPr>
            </w:pPr>
            <w:r>
              <w:rPr>
                <w:b/>
              </w:rPr>
              <w:t>(54,063</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(54,063</w:t>
            </w:r>
          </w:p>
        </w:tc>
        <w:tc>
          <w:tcPr>
            <w:tcW w:w="135" w:type="dxa"/>
            <w:tcBorders/>
            <w:tcMar>
              <w:bottom w:w="0" w:type="dxa"/>
            </w:tcMar>
            <w:vAlign w:val="center"/>
          </w:tcPr>
          <w:p>
            <w:pPr>
              <w:pStyle w:val="TableContents"/>
              <w:bidi w:val="0"/>
              <w:spacing w:before="0" w:after="283"/>
              <w:ind w:left="0" w:right="0" w:hanging="180"/>
              <w:jc w:val="left"/>
              <w:rPr>
                <w:b/>
              </w:rPr>
            </w:pPr>
            <w:r>
              <w:rPr>
                <w:b/>
              </w:rPr>
              <w:t>)</w:t>
            </w:r>
          </w:p>
        </w:tc>
      </w:tr>
      <w:tr>
        <w:trPr/>
        <w:tc>
          <w:tcPr>
            <w:tcW w:w="1490" w:type="dxa"/>
            <w:tcBorders>
              <w:bottom w:val="single" w:sz="8" w:space="0" w:color="000000"/>
            </w:tcBorders>
            <w:shd w:fill="CCEEFF" w:val="clear"/>
            <w:tcMar>
              <w:bottom w:w="30" w:type="dxa"/>
            </w:tcMar>
            <w:vAlign w:val="center"/>
          </w:tcPr>
          <w:p>
            <w:pPr>
              <w:pStyle w:val="TableContents"/>
              <w:bidi w:val="0"/>
              <w:spacing w:before="0" w:after="283"/>
              <w:jc w:val="left"/>
              <w:rPr/>
            </w:pPr>
            <w:r>
              <w:rPr/>
              <w:t>Change in revaluation surplus - digital assets, net of tax</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vAlign w:val="center"/>
          </w:tcPr>
          <w:p>
            <w:pPr>
              <w:pStyle w:val="TableContents"/>
              <w:bidi w:val="0"/>
              <w:spacing w:before="0" w:after="283"/>
              <w:jc w:val="left"/>
              <w:rPr/>
            </w:pPr>
            <w:r>
              <w:rPr/>
              <w:t> </w:t>
            </w:r>
          </w:p>
        </w:tc>
        <w:tc>
          <w:tcPr>
            <w:tcW w:w="1163"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vAlign w:val="center"/>
          </w:tcPr>
          <w:p>
            <w:pPr>
              <w:pStyle w:val="TableContents"/>
              <w:bidi w:val="0"/>
              <w:spacing w:before="0" w:after="283"/>
              <w:jc w:val="left"/>
              <w:rPr/>
            </w:pPr>
            <w:r>
              <w:rPr/>
              <w:t> </w:t>
            </w:r>
          </w:p>
        </w:tc>
        <w:tc>
          <w:tcPr>
            <w:tcW w:w="1274"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vAlign w:val="center"/>
          </w:tcPr>
          <w:p>
            <w:pPr>
              <w:pStyle w:val="TableContents"/>
              <w:bidi w:val="0"/>
              <w:spacing w:before="0" w:after="283"/>
              <w:jc w:val="left"/>
              <w:rPr/>
            </w:pPr>
            <w:r>
              <w:rPr/>
              <w:t> </w:t>
            </w:r>
          </w:p>
        </w:tc>
        <w:tc>
          <w:tcPr>
            <w:tcW w:w="1149" w:type="dxa"/>
            <w:tcBorders>
              <w:bottom w:val="single" w:sz="8" w:space="0" w:color="000000"/>
            </w:tcBorders>
            <w:shd w:fill="CCEEFF" w:val="clear"/>
            <w:vAlign w:val="center"/>
          </w:tcPr>
          <w:p>
            <w:pPr>
              <w:pStyle w:val="TableContents"/>
              <w:bidi w:val="0"/>
              <w:spacing w:before="0" w:after="283"/>
              <w:jc w:val="right"/>
              <w:rPr>
                <w:b/>
              </w:rPr>
            </w:pPr>
            <w:r>
              <w:rPr>
                <w:b/>
              </w:rPr>
              <w:t>39,120</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b/>
              </w:rPr>
            </w:pPr>
            <w:r>
              <w:rPr>
                <w:b/>
              </w:rPr>
              <w:t>39,120</w:t>
            </w:r>
          </w:p>
        </w:tc>
        <w:tc>
          <w:tcPr>
            <w:tcW w:w="13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1490" w:type="dxa"/>
            <w:tcBorders>
              <w:bottom w:val="single" w:sz="8" w:space="0" w:color="000000"/>
            </w:tcBorders>
            <w:tcMar>
              <w:bottom w:w="30" w:type="dxa"/>
            </w:tcMar>
            <w:vAlign w:val="center"/>
          </w:tcPr>
          <w:p>
            <w:pPr>
              <w:pStyle w:val="TableContents"/>
              <w:bidi w:val="0"/>
              <w:spacing w:before="0" w:after="283"/>
              <w:jc w:val="left"/>
              <w:rPr/>
            </w:pPr>
            <w:r>
              <w:rPr/>
              <w:t>Total comprehensive loss, net of tax</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pPr>
            <w:r>
              <w:rPr/>
              <w:t>—</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7" w:type="dxa"/>
            <w:tcBorders>
              <w:bottom w:val="single" w:sz="8" w:space="0" w:color="000000"/>
            </w:tcBorders>
            <w:vAlign w:val="center"/>
          </w:tcPr>
          <w:p>
            <w:pPr>
              <w:pStyle w:val="TableContents"/>
              <w:bidi w:val="0"/>
              <w:spacing w:before="0" w:after="283"/>
              <w:jc w:val="left"/>
              <w:rPr/>
            </w:pPr>
            <w:r>
              <w:rPr/>
              <w:t> </w:t>
            </w:r>
          </w:p>
        </w:tc>
        <w:tc>
          <w:tcPr>
            <w:tcW w:w="1163"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6" w:type="dxa"/>
            <w:tcBorders>
              <w:bottom w:val="single" w:sz="8" w:space="0" w:color="000000"/>
            </w:tcBorders>
            <w:vAlign w:val="center"/>
          </w:tcPr>
          <w:p>
            <w:pPr>
              <w:pStyle w:val="TableContents"/>
              <w:bidi w:val="0"/>
              <w:spacing w:before="0" w:after="283"/>
              <w:jc w:val="left"/>
              <w:rPr/>
            </w:pPr>
            <w:r>
              <w:rPr/>
              <w:t> </w:t>
            </w:r>
          </w:p>
        </w:tc>
        <w:tc>
          <w:tcPr>
            <w:tcW w:w="1274" w:type="dxa"/>
            <w:tcBorders>
              <w:bottom w:val="single" w:sz="8" w:space="0" w:color="000000"/>
            </w:tcBorders>
            <w:vAlign w:val="center"/>
          </w:tcPr>
          <w:p>
            <w:pPr>
              <w:pStyle w:val="TableContents"/>
              <w:bidi w:val="0"/>
              <w:spacing w:before="0" w:after="283"/>
              <w:jc w:val="right"/>
              <w:rPr>
                <w:b/>
              </w:rPr>
            </w:pPr>
            <w:r>
              <w:rPr>
                <w:b/>
              </w:rPr>
              <w:t>(54,063</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31" w:type="dxa"/>
            <w:tcBorders>
              <w:bottom w:val="single" w:sz="8" w:space="0" w:color="000000"/>
            </w:tcBorders>
            <w:vAlign w:val="center"/>
          </w:tcPr>
          <w:p>
            <w:pPr>
              <w:pStyle w:val="TableContents"/>
              <w:bidi w:val="0"/>
              <w:spacing w:before="0" w:after="283"/>
              <w:jc w:val="left"/>
              <w:rPr/>
            </w:pPr>
            <w:r>
              <w:rPr/>
              <w:t> </w:t>
            </w:r>
          </w:p>
        </w:tc>
        <w:tc>
          <w:tcPr>
            <w:tcW w:w="1149" w:type="dxa"/>
            <w:tcBorders>
              <w:bottom w:val="single" w:sz="8" w:space="0" w:color="000000"/>
            </w:tcBorders>
            <w:vAlign w:val="center"/>
          </w:tcPr>
          <w:p>
            <w:pPr>
              <w:pStyle w:val="TableContents"/>
              <w:bidi w:val="0"/>
              <w:spacing w:before="0" w:after="283"/>
              <w:jc w:val="right"/>
              <w:rPr>
                <w:b/>
              </w:rPr>
            </w:pPr>
            <w:r>
              <w:rPr>
                <w:b/>
              </w:rPr>
              <w:t>39,120</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b/>
              </w:rPr>
            </w:pPr>
            <w:r>
              <w:rPr>
                <w:b/>
              </w:rPr>
              <w:t>(14,943</w:t>
            </w:r>
          </w:p>
        </w:tc>
        <w:tc>
          <w:tcPr>
            <w:tcW w:w="135" w:type="dxa"/>
            <w:tcBorders>
              <w:bottom w:val="single" w:sz="8" w:space="0" w:color="000000"/>
            </w:tcBorders>
            <w:tcMar>
              <w:bottom w:w="30" w:type="dxa"/>
            </w:tcMar>
            <w:vAlign w:val="center"/>
          </w:tcPr>
          <w:p>
            <w:pPr>
              <w:pStyle w:val="TableContents"/>
              <w:bidi w:val="0"/>
              <w:spacing w:before="0" w:after="283"/>
              <w:ind w:left="0" w:right="0" w:hanging="180"/>
              <w:jc w:val="left"/>
              <w:rPr>
                <w:b/>
              </w:rPr>
            </w:pPr>
            <w:r>
              <w:rPr>
                <w:b/>
              </w:rPr>
              <w:t>)</w:t>
            </w:r>
          </w:p>
        </w:tc>
      </w:tr>
      <w:tr>
        <w:trPr/>
        <w:tc>
          <w:tcPr>
            <w:tcW w:w="14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90" w:type="dxa"/>
            <w:tcBorders/>
            <w:tcMar>
              <w:bottom w:w="0" w:type="dxa"/>
            </w:tcMar>
            <w:vAlign w:val="center"/>
          </w:tcPr>
          <w:p>
            <w:pPr>
              <w:pStyle w:val="TableContents"/>
              <w:bidi w:val="0"/>
              <w:spacing w:before="0" w:after="283"/>
              <w:jc w:val="left"/>
              <w:rPr/>
            </w:pPr>
            <w:r>
              <w:rPr/>
              <w:t>Transfer of revaluation surplus on disposal of digital assets to accumulated deficit, net of tax</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16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274" w:type="dxa"/>
            <w:tcBorders/>
            <w:tcMar>
              <w:bottom w:w="0" w:type="dxa"/>
            </w:tcMar>
            <w:vAlign w:val="center"/>
          </w:tcPr>
          <w:p>
            <w:pPr>
              <w:pStyle w:val="TableContents"/>
              <w:bidi w:val="0"/>
              <w:spacing w:before="0" w:after="283"/>
              <w:jc w:val="right"/>
              <w:rPr>
                <w:b/>
              </w:rPr>
            </w:pPr>
            <w:r>
              <w:rPr>
                <w:b/>
              </w:rPr>
              <w:t>19,366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b/>
              </w:rPr>
            </w:pPr>
            <w:r>
              <w:rPr>
                <w:b/>
              </w:rPr>
              <w:t>(19,366</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90" w:type="dxa"/>
            <w:tcBorders/>
            <w:shd w:fill="CCEEFF" w:val="clear"/>
            <w:tcMar>
              <w:bottom w:w="0" w:type="dxa"/>
            </w:tcMar>
            <w:vAlign w:val="center"/>
          </w:tcPr>
          <w:p>
            <w:pPr>
              <w:pStyle w:val="TableContents"/>
              <w:bidi w:val="0"/>
              <w:spacing w:before="0" w:after="283"/>
              <w:jc w:val="left"/>
              <w:rPr/>
            </w:pPr>
            <w:r>
              <w:rPr/>
              <w:t>Share-based payment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right"/>
              <w:rPr>
                <w:b/>
              </w:rPr>
            </w:pPr>
            <w:r>
              <w:rPr>
                <w:b/>
              </w:rPr>
              <w:t>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b/>
              </w:rPr>
            </w:pPr>
            <w:r>
              <w:rPr>
                <w:b/>
              </w:rPr>
              <w:t>13,949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13,949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90" w:type="dxa"/>
            <w:tcBorders/>
            <w:tcMar>
              <w:bottom w:w="0" w:type="dxa"/>
            </w:tcMar>
            <w:vAlign w:val="center"/>
          </w:tcPr>
          <w:p>
            <w:pPr>
              <w:pStyle w:val="TableContents"/>
              <w:bidi w:val="0"/>
              <w:spacing w:before="0" w:after="283"/>
              <w:jc w:val="left"/>
              <w:rPr/>
            </w:pPr>
            <w:r>
              <w:rPr/>
              <w:t>Issuance of common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right"/>
              <w:rPr>
                <w:b/>
              </w:rPr>
            </w:pPr>
            <w:r>
              <w:rPr>
                <w:b/>
              </w:rPr>
              <w:t>22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b/>
              </w:rPr>
            </w:pPr>
            <w:r>
              <w:rPr>
                <w:b/>
              </w:rPr>
              <w:t>137,006,905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292,534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16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27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292,534</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90" w:type="dxa"/>
            <w:tcBorders/>
            <w:shd w:fill="CCEEFF" w:val="clear"/>
            <w:tcMar>
              <w:bottom w:w="0" w:type="dxa"/>
            </w:tcMar>
            <w:vAlign w:val="center"/>
          </w:tcPr>
          <w:p>
            <w:pPr>
              <w:pStyle w:val="TableContents"/>
              <w:bidi w:val="0"/>
              <w:spacing w:before="0" w:after="283"/>
              <w:jc w:val="left"/>
              <w:rPr/>
            </w:pPr>
            <w:r>
              <w:rPr/>
              <w:t>Settlement of restricted share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right"/>
              <w:rPr>
                <w:b/>
              </w:rPr>
            </w:pPr>
            <w:r>
              <w:rPr>
                <w:b/>
              </w:rPr>
              <w:t>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b/>
              </w:rPr>
            </w:pPr>
            <w:r>
              <w:rPr>
                <w:b/>
              </w:rPr>
              <w:t>416,666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1,116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b/>
              </w:rPr>
            </w:pPr>
            <w:r>
              <w:rPr>
                <w:b/>
              </w:rPr>
              <w:t>(1,116</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90" w:type="dxa"/>
            <w:tcBorders>
              <w:bottom w:val="single" w:sz="8" w:space="0" w:color="000000"/>
            </w:tcBorders>
            <w:tcMar>
              <w:bottom w:w="30" w:type="dxa"/>
            </w:tcMar>
            <w:vAlign w:val="center"/>
          </w:tcPr>
          <w:p>
            <w:pPr>
              <w:pStyle w:val="TableContents"/>
              <w:bidi w:val="0"/>
              <w:spacing w:before="0" w:after="283"/>
              <w:jc w:val="left"/>
              <w:rPr/>
            </w:pPr>
            <w:r>
              <w:rPr/>
              <w:t>Exercise of stock options and warrants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22, 28</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b/>
              </w:rPr>
            </w:pPr>
            <w:r>
              <w:rPr>
                <w:b/>
              </w:rPr>
              <w:t>7,755,984</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b/>
              </w:rPr>
            </w:pPr>
            <w:r>
              <w:rPr>
                <w:b/>
              </w:rPr>
              <w:t>23,627</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7" w:type="dxa"/>
            <w:tcBorders>
              <w:bottom w:val="single" w:sz="8" w:space="0" w:color="000000"/>
            </w:tcBorders>
            <w:vAlign w:val="center"/>
          </w:tcPr>
          <w:p>
            <w:pPr>
              <w:pStyle w:val="TableContents"/>
              <w:bidi w:val="0"/>
              <w:spacing w:before="0" w:after="283"/>
              <w:jc w:val="left"/>
              <w:rPr/>
            </w:pPr>
            <w:r>
              <w:rPr/>
              <w:t> </w:t>
            </w:r>
          </w:p>
        </w:tc>
        <w:tc>
          <w:tcPr>
            <w:tcW w:w="1163" w:type="dxa"/>
            <w:tcBorders>
              <w:bottom w:val="single" w:sz="8" w:space="0" w:color="000000"/>
            </w:tcBorders>
            <w:vAlign w:val="center"/>
          </w:tcPr>
          <w:p>
            <w:pPr>
              <w:pStyle w:val="TableContents"/>
              <w:bidi w:val="0"/>
              <w:spacing w:before="0" w:after="283"/>
              <w:jc w:val="right"/>
              <w:rPr>
                <w:b/>
              </w:rPr>
            </w:pPr>
            <w:r>
              <w:rPr>
                <w:b/>
              </w:rPr>
              <w:t>(1,934</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26" w:type="dxa"/>
            <w:tcBorders>
              <w:bottom w:val="single" w:sz="8" w:space="0" w:color="000000"/>
            </w:tcBorders>
            <w:vAlign w:val="center"/>
          </w:tcPr>
          <w:p>
            <w:pPr>
              <w:pStyle w:val="TableContents"/>
              <w:bidi w:val="0"/>
              <w:spacing w:before="0" w:after="283"/>
              <w:jc w:val="left"/>
              <w:rPr/>
            </w:pPr>
            <w:r>
              <w:rPr/>
              <w:t> </w:t>
            </w:r>
          </w:p>
        </w:tc>
        <w:tc>
          <w:tcPr>
            <w:tcW w:w="1274"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1" w:type="dxa"/>
            <w:tcBorders>
              <w:bottom w:val="single" w:sz="8" w:space="0" w:color="000000"/>
            </w:tcBorders>
            <w:vAlign w:val="center"/>
          </w:tcPr>
          <w:p>
            <w:pPr>
              <w:pStyle w:val="TableContents"/>
              <w:bidi w:val="0"/>
              <w:spacing w:before="0" w:after="283"/>
              <w:jc w:val="left"/>
              <w:rPr/>
            </w:pPr>
            <w:r>
              <w:rPr/>
              <w:t> </w:t>
            </w:r>
          </w:p>
        </w:tc>
        <w:tc>
          <w:tcPr>
            <w:tcW w:w="1149"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b/>
              </w:rPr>
            </w:pPr>
            <w:r>
              <w:rPr>
                <w:b/>
              </w:rPr>
              <w:t>21,693</w:t>
            </w:r>
          </w:p>
        </w:tc>
        <w:tc>
          <w:tcPr>
            <w:tcW w:w="135"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490"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Balance as of December 31, 2024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30"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479,332,885</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b/>
              </w:rPr>
            </w:pPr>
            <w:r>
              <w:rPr>
                <w:b/>
              </w:rPr>
              <w:t>852,286</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vAlign w:val="center"/>
          </w:tcPr>
          <w:p>
            <w:pPr>
              <w:pStyle w:val="TableContents"/>
              <w:bidi w:val="0"/>
              <w:spacing w:before="0" w:after="283"/>
              <w:jc w:val="left"/>
              <w:rPr/>
            </w:pPr>
            <w:r>
              <w:rPr/>
              <w:t> </w:t>
            </w:r>
          </w:p>
        </w:tc>
        <w:tc>
          <w:tcPr>
            <w:tcW w:w="1163" w:type="dxa"/>
            <w:tcBorders>
              <w:bottom w:val="single" w:sz="12" w:space="0" w:color="000000"/>
            </w:tcBorders>
            <w:shd w:fill="CCEEFF" w:val="clear"/>
            <w:vAlign w:val="center"/>
          </w:tcPr>
          <w:p>
            <w:pPr>
              <w:pStyle w:val="TableContents"/>
              <w:bidi w:val="0"/>
              <w:spacing w:before="0" w:after="283"/>
              <w:jc w:val="right"/>
              <w:rPr>
                <w:b/>
              </w:rPr>
            </w:pPr>
            <w:r>
              <w:rPr>
                <w:b/>
              </w:rPr>
              <w:t>67,521</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vAlign w:val="center"/>
          </w:tcPr>
          <w:p>
            <w:pPr>
              <w:pStyle w:val="TableContents"/>
              <w:bidi w:val="0"/>
              <w:spacing w:before="0" w:after="283"/>
              <w:jc w:val="left"/>
              <w:rPr/>
            </w:pPr>
            <w:r>
              <w:rPr/>
              <w:t> </w:t>
            </w:r>
          </w:p>
        </w:tc>
        <w:tc>
          <w:tcPr>
            <w:tcW w:w="1274" w:type="dxa"/>
            <w:tcBorders>
              <w:bottom w:val="single" w:sz="12" w:space="0" w:color="000000"/>
            </w:tcBorders>
            <w:shd w:fill="CCEEFF" w:val="clear"/>
            <w:vAlign w:val="center"/>
          </w:tcPr>
          <w:p>
            <w:pPr>
              <w:pStyle w:val="TableContents"/>
              <w:bidi w:val="0"/>
              <w:spacing w:before="0" w:after="283"/>
              <w:jc w:val="right"/>
              <w:rPr>
                <w:b/>
              </w:rPr>
            </w:pPr>
            <w:r>
              <w:rPr>
                <w:b/>
              </w:rPr>
              <w:t>(334,507</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1149" w:type="dxa"/>
            <w:tcBorders>
              <w:bottom w:val="single" w:sz="12" w:space="0" w:color="000000"/>
            </w:tcBorders>
            <w:shd w:fill="CCEEFF" w:val="clear"/>
            <w:vAlign w:val="center"/>
          </w:tcPr>
          <w:p>
            <w:pPr>
              <w:pStyle w:val="TableContents"/>
              <w:bidi w:val="0"/>
              <w:spacing w:before="0" w:after="283"/>
              <w:jc w:val="right"/>
              <w:rPr>
                <w:b/>
              </w:rPr>
            </w:pPr>
            <w:r>
              <w:rPr>
                <w:b/>
              </w:rPr>
              <w:t>22,695</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b/>
              </w:rPr>
            </w:pPr>
            <w:r>
              <w:rPr>
                <w:b/>
              </w:rPr>
              <w:t>607,995</w:t>
            </w:r>
          </w:p>
        </w:tc>
        <w:tc>
          <w:tcPr>
            <w:tcW w:w="135" w:type="dxa"/>
            <w:tcBorders>
              <w:bottom w:val="single" w:sz="12"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14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7" w:type="dxa"/>
            <w:tcBorders>
              <w:bottom w:val="single" w:sz="8" w:space="0" w:color="000000"/>
            </w:tcBorders>
            <w:vAlign w:val="center"/>
          </w:tcPr>
          <w:p>
            <w:pPr>
              <w:pStyle w:val="TableContents"/>
              <w:bidi w:val="0"/>
              <w:spacing w:before="0" w:after="283"/>
              <w:jc w:val="left"/>
              <w:rPr/>
            </w:pPr>
            <w:r>
              <w:rPr/>
              <w:t> </w:t>
            </w:r>
          </w:p>
        </w:tc>
        <w:tc>
          <w:tcPr>
            <w:tcW w:w="1163" w:type="dxa"/>
            <w:tcBorders>
              <w:bottom w:val="single" w:sz="8" w:space="0" w:color="000000"/>
            </w:tcBorders>
            <w:vAlign w:val="center"/>
          </w:tcPr>
          <w:p>
            <w:pPr>
              <w:pStyle w:val="TableContents"/>
              <w:bidi w:val="0"/>
              <w:spacing w:before="0" w:after="283"/>
              <w:jc w:val="righ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6" w:type="dxa"/>
            <w:tcBorders>
              <w:bottom w:val="single" w:sz="8" w:space="0" w:color="000000"/>
            </w:tcBorders>
            <w:vAlign w:val="center"/>
          </w:tcPr>
          <w:p>
            <w:pPr>
              <w:pStyle w:val="TableContents"/>
              <w:bidi w:val="0"/>
              <w:spacing w:before="0" w:after="283"/>
              <w:jc w:val="left"/>
              <w:rPr/>
            </w:pPr>
            <w:r>
              <w:rPr/>
              <w:t> </w:t>
            </w:r>
          </w:p>
        </w:tc>
        <w:tc>
          <w:tcPr>
            <w:tcW w:w="1274" w:type="dxa"/>
            <w:tcBorders>
              <w:bottom w:val="single" w:sz="8" w:space="0" w:color="000000"/>
            </w:tcBorders>
            <w:vAlign w:val="center"/>
          </w:tcPr>
          <w:p>
            <w:pPr>
              <w:pStyle w:val="TableContents"/>
              <w:bidi w:val="0"/>
              <w:spacing w:before="0" w:after="283"/>
              <w:jc w:val="righ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1" w:type="dxa"/>
            <w:tcBorders>
              <w:bottom w:val="single" w:sz="8" w:space="0" w:color="000000"/>
            </w:tcBorders>
            <w:vAlign w:val="center"/>
          </w:tcPr>
          <w:p>
            <w:pPr>
              <w:pStyle w:val="TableContents"/>
              <w:bidi w:val="0"/>
              <w:spacing w:before="0" w:after="283"/>
              <w:jc w:val="left"/>
              <w:rPr/>
            </w:pPr>
            <w:r>
              <w:rPr/>
              <w:t> </w:t>
            </w:r>
          </w:p>
        </w:tc>
        <w:tc>
          <w:tcPr>
            <w:tcW w:w="1149" w:type="dxa"/>
            <w:tcBorders>
              <w:bottom w:val="single" w:sz="8" w:space="0" w:color="000000"/>
            </w:tcBorders>
            <w:vAlign w:val="center"/>
          </w:tcPr>
          <w:p>
            <w:pPr>
              <w:pStyle w:val="TableContents"/>
              <w:bidi w:val="0"/>
              <w:spacing w:before="0" w:after="283"/>
              <w:jc w:val="righ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pPr>
            <w:r>
              <w:rPr/>
              <w:t> </w:t>
            </w:r>
          </w:p>
        </w:tc>
        <w:tc>
          <w:tcPr>
            <w:tcW w:w="135" w:type="dxa"/>
            <w:tcBorders>
              <w:bottom w:val="single" w:sz="8" w:space="0" w:color="000000"/>
            </w:tcBorders>
            <w:vAlign w:val="center"/>
          </w:tcPr>
          <w:p>
            <w:pPr>
              <w:pStyle w:val="TableContents"/>
              <w:bidi w:val="0"/>
              <w:spacing w:before="0" w:after="283"/>
              <w:ind w:left="0" w:right="0" w:hanging="180"/>
              <w:jc w:val="left"/>
              <w:rPr/>
            </w:pPr>
            <w:r>
              <w:rPr/>
              <w:t> </w:t>
            </w:r>
          </w:p>
        </w:tc>
      </w:tr>
      <w:tr>
        <w:trPr/>
        <w:tc>
          <w:tcPr>
            <w:tcW w:w="1490"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Balance as of January 1, 2023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224,200,170</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404,934</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vAlign w:val="center"/>
          </w:tcPr>
          <w:p>
            <w:pPr>
              <w:pStyle w:val="TableContents"/>
              <w:bidi w:val="0"/>
              <w:spacing w:before="0" w:after="283"/>
              <w:jc w:val="left"/>
              <w:rPr/>
            </w:pPr>
            <w:r>
              <w:rPr/>
              <w:t> </w:t>
            </w:r>
          </w:p>
        </w:tc>
        <w:tc>
          <w:tcPr>
            <w:tcW w:w="1163" w:type="dxa"/>
            <w:tcBorders>
              <w:bottom w:val="single" w:sz="8" w:space="0" w:color="000000"/>
            </w:tcBorders>
            <w:shd w:fill="CCEEFF" w:val="clear"/>
            <w:vAlign w:val="center"/>
          </w:tcPr>
          <w:p>
            <w:pPr>
              <w:pStyle w:val="TableContents"/>
              <w:bidi w:val="0"/>
              <w:spacing w:before="0" w:after="283"/>
              <w:jc w:val="right"/>
              <w:rPr/>
            </w:pPr>
            <w:r>
              <w:rPr/>
              <w:t>47,653</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vAlign w:val="center"/>
          </w:tcPr>
          <w:p>
            <w:pPr>
              <w:pStyle w:val="TableContents"/>
              <w:bidi w:val="0"/>
              <w:spacing w:before="0" w:after="283"/>
              <w:jc w:val="left"/>
              <w:rPr/>
            </w:pPr>
            <w:r>
              <w:rPr/>
              <w:t> </w:t>
            </w:r>
          </w:p>
        </w:tc>
        <w:tc>
          <w:tcPr>
            <w:tcW w:w="1274" w:type="dxa"/>
            <w:tcBorders>
              <w:bottom w:val="single" w:sz="8" w:space="0" w:color="000000"/>
            </w:tcBorders>
            <w:shd w:fill="CCEEFF" w:val="clear"/>
            <w:vAlign w:val="center"/>
          </w:tcPr>
          <w:p>
            <w:pPr>
              <w:pStyle w:val="TableContents"/>
              <w:bidi w:val="0"/>
              <w:spacing w:before="0" w:after="283"/>
              <w:jc w:val="right"/>
              <w:rPr/>
            </w:pPr>
            <w:r>
              <w:rPr/>
              <w:t>(197,189</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vAlign w:val="center"/>
          </w:tcPr>
          <w:p>
            <w:pPr>
              <w:pStyle w:val="TableContents"/>
              <w:bidi w:val="0"/>
              <w:spacing w:before="0" w:after="283"/>
              <w:jc w:val="left"/>
              <w:rPr/>
            </w:pPr>
            <w:r>
              <w:rPr/>
              <w:t> </w:t>
            </w:r>
          </w:p>
        </w:tc>
        <w:tc>
          <w:tcPr>
            <w:tcW w:w="1149"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pPr>
            <w:r>
              <w:rPr/>
              <w:t>255,398</w:t>
            </w:r>
          </w:p>
        </w:tc>
        <w:tc>
          <w:tcPr>
            <w:tcW w:w="13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1490" w:type="dxa"/>
            <w:tcBorders/>
            <w:tcMar>
              <w:bottom w:w="0" w:type="dxa"/>
            </w:tcMar>
            <w:vAlign w:val="center"/>
          </w:tcPr>
          <w:p>
            <w:pPr>
              <w:pStyle w:val="TableContents"/>
              <w:bidi w:val="0"/>
              <w:spacing w:before="0" w:after="283"/>
              <w:jc w:val="left"/>
              <w:rPr/>
            </w:pPr>
            <w:r>
              <w:rPr/>
              <w:t>Net loss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16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274" w:type="dxa"/>
            <w:tcBorders/>
            <w:tcMar>
              <w:bottom w:w="0" w:type="dxa"/>
            </w:tcMar>
            <w:vAlign w:val="center"/>
          </w:tcPr>
          <w:p>
            <w:pPr>
              <w:pStyle w:val="TableContents"/>
              <w:bidi w:val="0"/>
              <w:spacing w:before="0" w:after="283"/>
              <w:jc w:val="right"/>
              <w:rPr/>
            </w:pPr>
            <w:r>
              <w:rPr/>
              <w:t>(108,922</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(108,922</w:t>
            </w:r>
          </w:p>
        </w:tc>
        <w:tc>
          <w:tcPr>
            <w:tcW w:w="135" w:type="dxa"/>
            <w:tcBorders/>
            <w:tcMar>
              <w:bottom w:w="0" w:type="dxa"/>
            </w:tcMar>
            <w:vAlign w:val="center"/>
          </w:tcPr>
          <w:p>
            <w:pPr>
              <w:pStyle w:val="TableContents"/>
              <w:bidi w:val="0"/>
              <w:spacing w:before="0" w:after="283"/>
              <w:ind w:left="0" w:right="0" w:hanging="180"/>
              <w:jc w:val="left"/>
              <w:rPr/>
            </w:pPr>
            <w:r>
              <w:rPr/>
              <w:t>)</w:t>
            </w:r>
          </w:p>
        </w:tc>
      </w:tr>
      <w:tr>
        <w:trPr/>
        <w:tc>
          <w:tcPr>
            <w:tcW w:w="1490" w:type="dxa"/>
            <w:tcBorders>
              <w:bottom w:val="single" w:sz="8" w:space="0" w:color="000000"/>
            </w:tcBorders>
            <w:shd w:fill="CCEEFF" w:val="clear"/>
            <w:tcMar>
              <w:bottom w:w="30" w:type="dxa"/>
            </w:tcMar>
            <w:vAlign w:val="center"/>
          </w:tcPr>
          <w:p>
            <w:pPr>
              <w:pStyle w:val="TableContents"/>
              <w:bidi w:val="0"/>
              <w:spacing w:before="0" w:after="283"/>
              <w:jc w:val="left"/>
              <w:rPr/>
            </w:pPr>
            <w:r>
              <w:rPr/>
              <w:t>Change in revaluation surplus - digital assets, net of tax</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vAlign w:val="center"/>
          </w:tcPr>
          <w:p>
            <w:pPr>
              <w:pStyle w:val="TableContents"/>
              <w:bidi w:val="0"/>
              <w:spacing w:before="0" w:after="283"/>
              <w:jc w:val="left"/>
              <w:rPr/>
            </w:pPr>
            <w:r>
              <w:rPr/>
              <w:t> </w:t>
            </w:r>
          </w:p>
        </w:tc>
        <w:tc>
          <w:tcPr>
            <w:tcW w:w="1163"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vAlign w:val="center"/>
          </w:tcPr>
          <w:p>
            <w:pPr>
              <w:pStyle w:val="TableContents"/>
              <w:bidi w:val="0"/>
              <w:spacing w:before="0" w:after="283"/>
              <w:jc w:val="left"/>
              <w:rPr/>
            </w:pPr>
            <w:r>
              <w:rPr/>
              <w:t> </w:t>
            </w:r>
          </w:p>
        </w:tc>
        <w:tc>
          <w:tcPr>
            <w:tcW w:w="1274"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vAlign w:val="center"/>
          </w:tcPr>
          <w:p>
            <w:pPr>
              <w:pStyle w:val="TableContents"/>
              <w:bidi w:val="0"/>
              <w:spacing w:before="0" w:after="283"/>
              <w:jc w:val="left"/>
              <w:rPr/>
            </w:pPr>
            <w:r>
              <w:rPr/>
              <w:t> </w:t>
            </w:r>
          </w:p>
        </w:tc>
        <w:tc>
          <w:tcPr>
            <w:tcW w:w="1149" w:type="dxa"/>
            <w:tcBorders>
              <w:bottom w:val="single" w:sz="8" w:space="0" w:color="000000"/>
            </w:tcBorders>
            <w:shd w:fill="CCEEFF" w:val="clear"/>
            <w:vAlign w:val="center"/>
          </w:tcPr>
          <w:p>
            <w:pPr>
              <w:pStyle w:val="TableContents"/>
              <w:bidi w:val="0"/>
              <w:spacing w:before="0" w:after="283"/>
              <w:jc w:val="right"/>
              <w:rPr/>
            </w:pPr>
            <w:r>
              <w:rPr/>
              <w:t>9,242</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pPr>
            <w:r>
              <w:rPr/>
              <w:t>9,242</w:t>
            </w:r>
          </w:p>
        </w:tc>
        <w:tc>
          <w:tcPr>
            <w:tcW w:w="13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1490" w:type="dxa"/>
            <w:tcBorders>
              <w:bottom w:val="single" w:sz="8" w:space="0" w:color="000000"/>
            </w:tcBorders>
            <w:tcMar>
              <w:bottom w:w="30" w:type="dxa"/>
            </w:tcMar>
            <w:vAlign w:val="center"/>
          </w:tcPr>
          <w:p>
            <w:pPr>
              <w:pStyle w:val="TableContents"/>
              <w:bidi w:val="0"/>
              <w:spacing w:before="0" w:after="283"/>
              <w:jc w:val="left"/>
              <w:rPr/>
            </w:pPr>
            <w:r>
              <w:rPr/>
              <w:t>Total comprehensive loss, net of tax</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pPr>
            <w:r>
              <w:rPr/>
              <w:t>—</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7" w:type="dxa"/>
            <w:tcBorders>
              <w:bottom w:val="single" w:sz="8" w:space="0" w:color="000000"/>
            </w:tcBorders>
            <w:vAlign w:val="center"/>
          </w:tcPr>
          <w:p>
            <w:pPr>
              <w:pStyle w:val="TableContents"/>
              <w:bidi w:val="0"/>
              <w:spacing w:before="0" w:after="283"/>
              <w:jc w:val="left"/>
              <w:rPr/>
            </w:pPr>
            <w:r>
              <w:rPr/>
              <w:t> </w:t>
            </w:r>
          </w:p>
        </w:tc>
        <w:tc>
          <w:tcPr>
            <w:tcW w:w="1163"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6" w:type="dxa"/>
            <w:tcBorders>
              <w:bottom w:val="single" w:sz="8" w:space="0" w:color="000000"/>
            </w:tcBorders>
            <w:vAlign w:val="center"/>
          </w:tcPr>
          <w:p>
            <w:pPr>
              <w:pStyle w:val="TableContents"/>
              <w:bidi w:val="0"/>
              <w:spacing w:before="0" w:after="283"/>
              <w:jc w:val="left"/>
              <w:rPr/>
            </w:pPr>
            <w:r>
              <w:rPr/>
              <w:t> </w:t>
            </w:r>
          </w:p>
        </w:tc>
        <w:tc>
          <w:tcPr>
            <w:tcW w:w="1274" w:type="dxa"/>
            <w:tcBorders>
              <w:bottom w:val="single" w:sz="8" w:space="0" w:color="000000"/>
            </w:tcBorders>
            <w:vAlign w:val="center"/>
          </w:tcPr>
          <w:p>
            <w:pPr>
              <w:pStyle w:val="TableContents"/>
              <w:bidi w:val="0"/>
              <w:spacing w:before="0" w:after="283"/>
              <w:jc w:val="right"/>
              <w:rPr/>
            </w:pPr>
            <w:r>
              <w:rPr/>
              <w:t>(108,922</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31" w:type="dxa"/>
            <w:tcBorders>
              <w:bottom w:val="single" w:sz="8" w:space="0" w:color="000000"/>
            </w:tcBorders>
            <w:vAlign w:val="center"/>
          </w:tcPr>
          <w:p>
            <w:pPr>
              <w:pStyle w:val="TableContents"/>
              <w:bidi w:val="0"/>
              <w:spacing w:before="0" w:after="283"/>
              <w:jc w:val="left"/>
              <w:rPr/>
            </w:pPr>
            <w:r>
              <w:rPr/>
              <w:t> </w:t>
            </w:r>
          </w:p>
        </w:tc>
        <w:tc>
          <w:tcPr>
            <w:tcW w:w="1149" w:type="dxa"/>
            <w:tcBorders>
              <w:bottom w:val="single" w:sz="8" w:space="0" w:color="000000"/>
            </w:tcBorders>
            <w:vAlign w:val="center"/>
          </w:tcPr>
          <w:p>
            <w:pPr>
              <w:pStyle w:val="TableContents"/>
              <w:bidi w:val="0"/>
              <w:spacing w:before="0" w:after="283"/>
              <w:jc w:val="right"/>
              <w:rPr/>
            </w:pPr>
            <w:r>
              <w:rPr/>
              <w:t>9,242</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pPr>
            <w:r>
              <w:rPr/>
              <w:t>(99,680</w:t>
            </w:r>
          </w:p>
        </w:tc>
        <w:tc>
          <w:tcPr>
            <w:tcW w:w="135" w:type="dxa"/>
            <w:tcBorders>
              <w:bottom w:val="single" w:sz="8" w:space="0" w:color="000000"/>
            </w:tcBorders>
            <w:vAlign w:val="center"/>
          </w:tcPr>
          <w:p>
            <w:pPr>
              <w:pStyle w:val="TableContents"/>
              <w:bidi w:val="0"/>
              <w:spacing w:before="0" w:after="283"/>
              <w:ind w:left="0" w:right="0" w:hanging="180"/>
              <w:jc w:val="left"/>
              <w:rPr/>
            </w:pPr>
            <w:r>
              <w:rPr/>
              <w:t>)</w:t>
            </w:r>
          </w:p>
        </w:tc>
      </w:tr>
      <w:tr>
        <w:trPr/>
        <w:tc>
          <w:tcPr>
            <w:tcW w:w="14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90" w:type="dxa"/>
            <w:tcBorders/>
            <w:tcMar>
              <w:bottom w:w="0" w:type="dxa"/>
            </w:tcMar>
            <w:vAlign w:val="center"/>
          </w:tcPr>
          <w:p>
            <w:pPr>
              <w:pStyle w:val="TableContents"/>
              <w:bidi w:val="0"/>
              <w:spacing w:before="0" w:after="283"/>
              <w:jc w:val="left"/>
              <w:rPr/>
            </w:pPr>
            <w:r>
              <w:rPr/>
              <w:t>Transfer of revaluation surplus on disposal of digital assets to accumulated deficit, net of tax</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16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274" w:type="dxa"/>
            <w:tcBorders/>
            <w:tcMar>
              <w:bottom w:w="0" w:type="dxa"/>
            </w:tcMar>
            <w:vAlign w:val="center"/>
          </w:tcPr>
          <w:p>
            <w:pPr>
              <w:pStyle w:val="TableContents"/>
              <w:bidi w:val="0"/>
              <w:spacing w:before="0" w:after="283"/>
              <w:jc w:val="right"/>
              <w:rPr/>
            </w:pPr>
            <w:r>
              <w:rPr/>
              <w:t>6,301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pPr>
            <w:r>
              <w:rPr/>
              <w:t>(6,301</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90" w:type="dxa"/>
            <w:tcBorders/>
            <w:shd w:fill="CCEEFF" w:val="clear"/>
            <w:tcMar>
              <w:bottom w:w="0" w:type="dxa"/>
            </w:tcMar>
            <w:vAlign w:val="center"/>
          </w:tcPr>
          <w:p>
            <w:pPr>
              <w:pStyle w:val="TableContents"/>
              <w:bidi w:val="0"/>
              <w:spacing w:before="0" w:after="283"/>
              <w:jc w:val="left"/>
              <w:rPr/>
            </w:pPr>
            <w:r>
              <w:rPr/>
              <w:t>Share-based payment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right"/>
              <w:rPr/>
            </w:pPr>
            <w:r>
              <w:rPr/>
              <w:t>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10,915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10,915</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90" w:type="dxa"/>
            <w:tcBorders/>
            <w:tcMar>
              <w:bottom w:w="0" w:type="dxa"/>
            </w:tcMar>
            <w:vAlign w:val="center"/>
          </w:tcPr>
          <w:p>
            <w:pPr>
              <w:pStyle w:val="TableContents"/>
              <w:bidi w:val="0"/>
              <w:spacing w:before="0" w:after="283"/>
              <w:jc w:val="left"/>
              <w:rPr/>
            </w:pPr>
            <w:r>
              <w:rPr/>
              <w:t>Issuance of common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right"/>
              <w:rPr/>
            </w:pPr>
            <w:r>
              <w:rPr/>
              <w:t>22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97,386,182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93,901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 w:type="dxa"/>
            <w:tcBorders/>
            <w:tcMar>
              <w:bottom w:w="0" w:type="dxa"/>
            </w:tcMar>
            <w:vAlign w:val="center"/>
          </w:tcPr>
          <w:p>
            <w:pPr>
              <w:pStyle w:val="TableContents"/>
              <w:bidi w:val="0"/>
              <w:spacing w:before="0" w:after="283"/>
              <w:jc w:val="left"/>
              <w:rPr/>
            </w:pPr>
            <w:r>
              <w:rPr/>
              <w:t> </w:t>
            </w:r>
          </w:p>
        </w:tc>
        <w:tc>
          <w:tcPr>
            <w:tcW w:w="116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27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93,901</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90" w:type="dxa"/>
            <w:tcBorders/>
            <w:shd w:fill="CCEEFF" w:val="clear"/>
            <w:tcMar>
              <w:bottom w:w="0" w:type="dxa"/>
            </w:tcMar>
            <w:vAlign w:val="center"/>
          </w:tcPr>
          <w:p>
            <w:pPr>
              <w:pStyle w:val="TableContents"/>
              <w:bidi w:val="0"/>
              <w:spacing w:before="0" w:after="283"/>
              <w:jc w:val="left"/>
              <w:rPr/>
            </w:pPr>
            <w:r>
              <w:rPr/>
              <w:t>Settlement of restricted share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right"/>
              <w:rPr/>
            </w:pPr>
            <w:r>
              <w:rPr/>
              <w:t>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250,002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692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(692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90" w:type="dxa"/>
            <w:tcBorders>
              <w:bottom w:val="single" w:sz="8" w:space="0" w:color="000000"/>
            </w:tcBorders>
            <w:tcMar>
              <w:bottom w:w="30" w:type="dxa"/>
            </w:tcMar>
            <w:vAlign w:val="center"/>
          </w:tcPr>
          <w:p>
            <w:pPr>
              <w:pStyle w:val="TableContents"/>
              <w:bidi w:val="0"/>
              <w:spacing w:before="0" w:after="283"/>
              <w:jc w:val="left"/>
              <w:rPr/>
            </w:pPr>
            <w:r>
              <w:rPr/>
              <w:t>Exercise of stock options and warrants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22, 28</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50" w:type="dxa"/>
            <w:tcBorders>
              <w:bottom w:val="single" w:sz="8" w:space="0" w:color="000000"/>
            </w:tcBorders>
            <w:vAlign w:val="center"/>
          </w:tcPr>
          <w:p>
            <w:pPr>
              <w:pStyle w:val="TableContents"/>
              <w:bidi w:val="0"/>
              <w:spacing w:before="0" w:after="283"/>
              <w:jc w:val="right"/>
              <w:rPr/>
            </w:pPr>
            <w:r>
              <w:rPr/>
              <w:t>12,316,976</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35,482</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7" w:type="dxa"/>
            <w:tcBorders>
              <w:bottom w:val="single" w:sz="8" w:space="0" w:color="000000"/>
            </w:tcBorders>
            <w:vAlign w:val="center"/>
          </w:tcPr>
          <w:p>
            <w:pPr>
              <w:pStyle w:val="TableContents"/>
              <w:bidi w:val="0"/>
              <w:spacing w:before="0" w:after="283"/>
              <w:jc w:val="left"/>
              <w:rPr/>
            </w:pPr>
            <w:r>
              <w:rPr/>
              <w:t> </w:t>
            </w:r>
          </w:p>
        </w:tc>
        <w:tc>
          <w:tcPr>
            <w:tcW w:w="1163" w:type="dxa"/>
            <w:tcBorders>
              <w:bottom w:val="single" w:sz="8" w:space="0" w:color="000000"/>
            </w:tcBorders>
            <w:vAlign w:val="center"/>
          </w:tcPr>
          <w:p>
            <w:pPr>
              <w:pStyle w:val="TableContents"/>
              <w:bidi w:val="0"/>
              <w:spacing w:before="0" w:after="283"/>
              <w:jc w:val="right"/>
              <w:rPr/>
            </w:pPr>
            <w:r>
              <w:rPr/>
              <w:t>(1,254</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26" w:type="dxa"/>
            <w:tcBorders>
              <w:bottom w:val="single" w:sz="8" w:space="0" w:color="000000"/>
            </w:tcBorders>
            <w:vAlign w:val="center"/>
          </w:tcPr>
          <w:p>
            <w:pPr>
              <w:pStyle w:val="TableContents"/>
              <w:bidi w:val="0"/>
              <w:spacing w:before="0" w:after="283"/>
              <w:jc w:val="left"/>
              <w:rPr/>
            </w:pPr>
            <w:r>
              <w:rPr/>
              <w:t> </w:t>
            </w:r>
          </w:p>
        </w:tc>
        <w:tc>
          <w:tcPr>
            <w:tcW w:w="1274"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1" w:type="dxa"/>
            <w:tcBorders>
              <w:bottom w:val="single" w:sz="8" w:space="0" w:color="000000"/>
            </w:tcBorders>
            <w:vAlign w:val="center"/>
          </w:tcPr>
          <w:p>
            <w:pPr>
              <w:pStyle w:val="TableContents"/>
              <w:bidi w:val="0"/>
              <w:spacing w:before="0" w:after="283"/>
              <w:jc w:val="left"/>
              <w:rPr/>
            </w:pPr>
            <w:r>
              <w:rPr/>
              <w:t> </w:t>
            </w:r>
          </w:p>
        </w:tc>
        <w:tc>
          <w:tcPr>
            <w:tcW w:w="1149"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pPr>
            <w:r>
              <w:rPr/>
              <w:t>34,228</w:t>
            </w:r>
          </w:p>
        </w:tc>
        <w:tc>
          <w:tcPr>
            <w:tcW w:w="135"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490"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Balance as of December 31, 2023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30"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334,153,330</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535,009</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vAlign w:val="center"/>
          </w:tcPr>
          <w:p>
            <w:pPr>
              <w:pStyle w:val="TableContents"/>
              <w:bidi w:val="0"/>
              <w:spacing w:before="0" w:after="283"/>
              <w:jc w:val="left"/>
              <w:rPr/>
            </w:pPr>
            <w:r>
              <w:rPr/>
              <w:t> </w:t>
            </w:r>
          </w:p>
        </w:tc>
        <w:tc>
          <w:tcPr>
            <w:tcW w:w="1163" w:type="dxa"/>
            <w:tcBorders>
              <w:bottom w:val="single" w:sz="12" w:space="0" w:color="000000"/>
            </w:tcBorders>
            <w:shd w:fill="CCEEFF" w:val="clear"/>
            <w:vAlign w:val="center"/>
          </w:tcPr>
          <w:p>
            <w:pPr>
              <w:pStyle w:val="TableContents"/>
              <w:bidi w:val="0"/>
              <w:spacing w:before="0" w:after="283"/>
              <w:jc w:val="right"/>
              <w:rPr/>
            </w:pPr>
            <w:r>
              <w:rPr/>
              <w:t>56,622</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vAlign w:val="center"/>
          </w:tcPr>
          <w:p>
            <w:pPr>
              <w:pStyle w:val="TableContents"/>
              <w:bidi w:val="0"/>
              <w:spacing w:before="0" w:after="283"/>
              <w:jc w:val="left"/>
              <w:rPr/>
            </w:pPr>
            <w:r>
              <w:rPr/>
              <w:t> </w:t>
            </w:r>
          </w:p>
        </w:tc>
        <w:tc>
          <w:tcPr>
            <w:tcW w:w="1274" w:type="dxa"/>
            <w:tcBorders>
              <w:bottom w:val="single" w:sz="12" w:space="0" w:color="000000"/>
            </w:tcBorders>
            <w:shd w:fill="CCEEFF" w:val="clear"/>
            <w:vAlign w:val="center"/>
          </w:tcPr>
          <w:p>
            <w:pPr>
              <w:pStyle w:val="TableContents"/>
              <w:bidi w:val="0"/>
              <w:spacing w:before="0" w:after="283"/>
              <w:jc w:val="right"/>
              <w:rPr/>
            </w:pPr>
            <w:r>
              <w:rPr/>
              <w:t>(299,810</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1149" w:type="dxa"/>
            <w:tcBorders>
              <w:bottom w:val="single" w:sz="12" w:space="0" w:color="000000"/>
            </w:tcBorders>
            <w:shd w:fill="CCEEFF" w:val="clear"/>
            <w:vAlign w:val="center"/>
          </w:tcPr>
          <w:p>
            <w:pPr>
              <w:pStyle w:val="TableContents"/>
              <w:bidi w:val="0"/>
              <w:spacing w:before="0" w:after="283"/>
              <w:jc w:val="right"/>
              <w:rPr/>
            </w:pPr>
            <w:r>
              <w:rPr/>
              <w:t>2,941</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294,762</w:t>
            </w:r>
          </w:p>
        </w:tc>
        <w:tc>
          <w:tcPr>
            <w:tcW w:w="13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be read in conjunction with the notes to the consolidated financial statements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10 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 w:name="a_007"/>
      <w:bookmarkStart w:id="21" w:name="a_007"/>
      <w:bookmarkEnd w:id="21"/>
    </w:p>
    <w:tbl>
      <w:tblPr>
        <w:tblW w:w="4685" w:type="dxa"/>
        <w:jc w:val="left"/>
        <w:tblInd w:w="0" w:type="dxa"/>
        <w:tblLayout w:type="fixed"/>
        <w:tblCellMar>
          <w:top w:w="0" w:type="dxa"/>
          <w:left w:w="0" w:type="dxa"/>
          <w:bottom w:w="0" w:type="dxa"/>
          <w:right w:w="0" w:type="dxa"/>
        </w:tblCellMar>
      </w:tblPr>
      <w:tblGrid>
        <w:gridCol w:w="4685"/>
      </w:tblGrid>
      <w:tr>
        <w:trPr/>
        <w:tc>
          <w:tcPr>
            <w:tcW w:w="4685" w:type="dxa"/>
            <w:tcBorders/>
            <w:vAlign w:val="center"/>
          </w:tcPr>
          <w:p>
            <w:pPr>
              <w:pStyle w:val="TableContents"/>
              <w:bidi w:val="0"/>
              <w:spacing w:before="0" w:after="283"/>
              <w:ind w:left="0" w:right="0" w:hanging="567"/>
              <w:jc w:val="left"/>
              <w:rPr>
                <w:rFonts w:ascii="Times New Roman;Times;Serif" w:hAnsi="Times New Roman;Times;Serif"/>
                <w:b/>
                <w:sz w:val="20"/>
              </w:rPr>
            </w:pPr>
            <w:r>
              <w:rPr>
                <w:rFonts w:ascii="Times New Roman;Times;Serif" w:hAnsi="Times New Roman;Times;Serif"/>
                <w:b/>
                <w:sz w:val="20"/>
              </w:rPr>
              <w:t>BITFARMS LTD.</w:t>
            </w:r>
          </w:p>
        </w:tc>
      </w:tr>
      <w:tr>
        <w:trPr/>
        <w:tc>
          <w:tcPr>
            <w:tcW w:w="46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CONSOLIDATED STATEMENTS OF CASH FLOWS</w:t>
            </w:r>
          </w:p>
        </w:tc>
      </w:tr>
      <w:tr>
        <w:trPr/>
        <w:tc>
          <w:tcPr>
            <w:tcW w:w="468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(Expressed in thousands of U.S. dollars - audited)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08"/>
        <w:gridCol w:w="90"/>
        <w:gridCol w:w="90"/>
        <w:gridCol w:w="550"/>
        <w:gridCol w:w="90"/>
        <w:gridCol w:w="90"/>
        <w:gridCol w:w="102"/>
        <w:gridCol w:w="1038"/>
        <w:gridCol w:w="143"/>
        <w:gridCol w:w="102"/>
        <w:gridCol w:w="102"/>
        <w:gridCol w:w="1038"/>
        <w:gridCol w:w="162"/>
      </w:tblGrid>
      <w:tr>
        <w:trPr/>
        <w:tc>
          <w:tcPr>
            <w:tcW w:w="6608" w:type="dxa"/>
            <w:tcBorders>
              <w:bottom w:val="single" w:sz="8" w:space="0" w:color="000000"/>
            </w:tcBorders>
            <w:vAlign w:val="center"/>
          </w:tcPr>
          <w:p>
            <w:pPr>
              <w:pStyle w:val="TableContents"/>
              <w:bidi w:val="0"/>
              <w:spacing w:before="0" w:after="283"/>
              <w:ind w:left="0" w:right="0" w:hanging="180"/>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40"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525"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62"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6608"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40" w:type="dxa"/>
            <w:gridSpan w:val="2"/>
            <w:tcBorders>
              <w:bottom w:val="single" w:sz="8" w:space="0" w:color="000000"/>
            </w:tcBorders>
            <w:vAlign w:val="center"/>
          </w:tcPr>
          <w:p>
            <w:pPr>
              <w:pStyle w:val="TableContents"/>
              <w:bidi w:val="0"/>
              <w:spacing w:before="0" w:after="283"/>
              <w:jc w:val="right"/>
              <w:rPr>
                <w:b/>
              </w:rPr>
            </w:pPr>
            <w:r>
              <w:rPr>
                <w:b/>
              </w:rPr>
              <w:t>Notes</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140" w:type="dxa"/>
            <w:gridSpan w:val="2"/>
            <w:tcBorders>
              <w:bottom w:val="single" w:sz="8" w:space="0" w:color="000000"/>
            </w:tcBorders>
            <w:vAlign w:val="center"/>
          </w:tcPr>
          <w:p>
            <w:pPr>
              <w:pStyle w:val="TableContents"/>
              <w:bidi w:val="0"/>
              <w:spacing w:before="0" w:after="283"/>
              <w:jc w:val="right"/>
              <w:rPr>
                <w:b/>
              </w:rPr>
            </w:pPr>
            <w:r>
              <w:rPr>
                <w:b/>
              </w:rPr>
              <w:t>2024</w:t>
            </w:r>
          </w:p>
        </w:tc>
        <w:tc>
          <w:tcPr>
            <w:tcW w:w="143" w:type="dxa"/>
            <w:tcBorders>
              <w:bottom w:val="single" w:sz="8" w:space="0" w:color="000000"/>
            </w:tcBorders>
            <w:tcMar>
              <w:bottom w:w="30" w:type="dxa"/>
            </w:tcMar>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140" w:type="dxa"/>
            <w:gridSpan w:val="2"/>
            <w:tcBorders>
              <w:bottom w:val="single" w:sz="8" w:space="0" w:color="000000"/>
            </w:tcBorders>
            <w:vAlign w:val="center"/>
          </w:tcPr>
          <w:p>
            <w:pPr>
              <w:pStyle w:val="TableContents"/>
              <w:bidi w:val="0"/>
              <w:spacing w:before="0" w:after="283"/>
              <w:jc w:val="right"/>
              <w:rPr/>
            </w:pPr>
            <w:r>
              <w:rPr/>
              <w:t>2023</w:t>
            </w:r>
          </w:p>
        </w:tc>
        <w:tc>
          <w:tcPr>
            <w:tcW w:w="162"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4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0" w:type="dxa"/>
            <w:gridSpan w:val="2"/>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140" w:type="dxa"/>
            <w:gridSpan w:val="2"/>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b/>
              </w:rPr>
            </w:pPr>
            <w:r>
              <w:rPr>
                <w:b/>
              </w:rPr>
              <w:t>Cash flows used in operating activities</w:t>
            </w:r>
          </w:p>
        </w:tc>
        <w:tc>
          <w:tcPr>
            <w:tcW w:w="90" w:type="dxa"/>
            <w:tcBorders/>
            <w:tcMar>
              <w:bottom w:w="0" w:type="dxa"/>
            </w:tcMar>
            <w:vAlign w:val="center"/>
          </w:tcPr>
          <w:p>
            <w:pPr>
              <w:pStyle w:val="TableContents"/>
              <w:bidi w:val="0"/>
              <w:spacing w:before="0" w:after="283"/>
              <w:jc w:val="left"/>
              <w:rPr/>
            </w:pPr>
            <w:r>
              <w:rPr/>
              <w:t> </w:t>
            </w:r>
          </w:p>
        </w:tc>
        <w:tc>
          <w:tcPr>
            <w:tcW w:w="64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0" w:type="dxa"/>
            <w:gridSpan w:val="2"/>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140" w:type="dxa"/>
            <w:gridSpan w:val="2"/>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Net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(54,063</w:t>
            </w:r>
          </w:p>
        </w:tc>
        <w:tc>
          <w:tcPr>
            <w:tcW w:w="143" w:type="dxa"/>
            <w:tcBorders/>
            <w:shd w:fill="CCEEFF" w:val="clear"/>
            <w:tcMar>
              <w:bottom w:w="0" w:type="dxa"/>
            </w:tcMar>
            <w:vAlign w:val="center"/>
          </w:tcPr>
          <w:p>
            <w:pPr>
              <w:pStyle w:val="TableContents"/>
              <w:bidi w:val="0"/>
              <w:spacing w:before="0" w:after="283"/>
              <w:jc w:val="left"/>
              <w:rPr>
                <w:b/>
              </w:rPr>
            </w:pPr>
            <w:r>
              <w:rPr>
                <w:b/>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(108,922</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608" w:type="dxa"/>
            <w:tcBorders/>
            <w:tcMar>
              <w:bottom w:w="0" w:type="dxa"/>
            </w:tcMar>
            <w:vAlign w:val="center"/>
          </w:tcPr>
          <w:p>
            <w:pPr>
              <w:pStyle w:val="TableContents"/>
              <w:bidi w:val="0"/>
              <w:spacing w:before="0" w:after="283"/>
              <w:jc w:val="left"/>
              <w:rPr/>
            </w:pPr>
            <w:r>
              <w:rPr/>
              <w:t>Adjustment for non-cash items: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 </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 </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29, 31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140,967</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84,785</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Impairment on short-term prepaid deposits, property, plant and equipment and assets held for sale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b/>
              </w:rPr>
            </w:pPr>
            <w:r>
              <w:rPr>
                <w:b/>
              </w:rPr>
              <w:t>11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3,628</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12,252</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Net financial (income)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b/>
              </w:rPr>
            </w:pPr>
            <w:r>
              <w:rPr>
                <w:b/>
              </w:rPr>
              <w:t>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(39,210</w:t>
            </w:r>
          </w:p>
        </w:tc>
        <w:tc>
          <w:tcPr>
            <w:tcW w:w="143" w:type="dxa"/>
            <w:tcBorders/>
            <w:shd w:fill="CCEEFF" w:val="clear"/>
            <w:tcMar>
              <w:bottom w:w="0" w:type="dxa"/>
            </w:tcMar>
            <w:vAlign w:val="center"/>
          </w:tcPr>
          <w:p>
            <w:pPr>
              <w:pStyle w:val="TableContents"/>
              <w:bidi w:val="0"/>
              <w:spacing w:before="0" w:after="283"/>
              <w:jc w:val="left"/>
              <w:rPr>
                <w:b/>
              </w:rPr>
            </w:pPr>
            <w:r>
              <w:rPr>
                <w:b/>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37,194</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Digital assets earned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b/>
              </w:rPr>
            </w:pPr>
            <w:r>
              <w:rPr>
                <w:b/>
              </w:rPr>
              <w:t>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(186,527</w:t>
            </w:r>
          </w:p>
        </w:tc>
        <w:tc>
          <w:tcPr>
            <w:tcW w:w="143" w:type="dxa"/>
            <w:tcBorders/>
            <w:tcMar>
              <w:bottom w:w="0" w:type="dxa"/>
            </w:tcMar>
            <w:vAlign w:val="center"/>
          </w:tcPr>
          <w:p>
            <w:pPr>
              <w:pStyle w:val="TableContents"/>
              <w:bidi w:val="0"/>
              <w:spacing w:before="0" w:after="283"/>
              <w:jc w:val="left"/>
              <w:rPr>
                <w:b/>
              </w:rPr>
            </w:pPr>
            <w:r>
              <w:rPr>
                <w:b/>
              </w:rPr>
              <w:t>)</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(141,306</w:t>
            </w:r>
          </w:p>
        </w:tc>
        <w:tc>
          <w:tcPr>
            <w:tcW w:w="162" w:type="dxa"/>
            <w:tcBorders/>
            <w:tcMar>
              <w:bottom w:w="0" w:type="dxa"/>
            </w:tcMar>
            <w:vAlign w:val="center"/>
          </w:tcPr>
          <w:p>
            <w:pPr>
              <w:pStyle w:val="TableContents"/>
              <w:bidi w:val="0"/>
              <w:spacing w:before="0" w:after="283"/>
              <w:ind w:left="0" w:right="0" w:hanging="180"/>
              <w:jc w:val="left"/>
              <w:rPr/>
            </w:pPr>
            <w:r>
              <w:rPr/>
              <w:t>)</w:t>
            </w:r>
          </w:p>
        </w:tc>
      </w:tr>
      <w:tr>
        <w:trPr/>
        <w:tc>
          <w:tcPr>
            <w:tcW w:w="6608" w:type="dxa"/>
            <w:tcBorders/>
            <w:shd w:fill="CCEEFF" w:val="clear"/>
            <w:tcMar>
              <w:bottom w:w="0" w:type="dxa"/>
            </w:tcMar>
            <w:vAlign w:val="center"/>
          </w:tcPr>
          <w:p>
            <w:pPr>
              <w:pStyle w:val="TableContents"/>
              <w:bidi w:val="0"/>
              <w:spacing w:before="0" w:after="283"/>
              <w:jc w:val="left"/>
              <w:rPr/>
            </w:pPr>
            <w:r>
              <w:rPr/>
              <w:t>Reversal of revaluation loss on digital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b/>
              </w:rPr>
            </w:pPr>
            <w:r>
              <w:rPr>
                <w:b/>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0"/>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(2,695</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608" w:type="dxa"/>
            <w:tcBorders/>
            <w:tcMar>
              <w:bottom w:w="0" w:type="dxa"/>
            </w:tcMar>
            <w:vAlign w:val="center"/>
          </w:tcPr>
          <w:p>
            <w:pPr>
              <w:pStyle w:val="TableContents"/>
              <w:bidi w:val="0"/>
              <w:spacing w:before="0" w:after="283"/>
              <w:jc w:val="left"/>
              <w:rPr/>
            </w:pPr>
            <w:r>
              <w:rPr/>
              <w:t>Share-based payment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28, 29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13,949</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10,915</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Income tax recovery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b/>
              </w:rPr>
            </w:pPr>
            <w:r>
              <w:rPr>
                <w:b/>
              </w:rPr>
              <w:t>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(14,290</w:t>
            </w:r>
          </w:p>
        </w:tc>
        <w:tc>
          <w:tcPr>
            <w:tcW w:w="143" w:type="dxa"/>
            <w:tcBorders/>
            <w:shd w:fill="CCEEFF" w:val="clear"/>
            <w:tcMar>
              <w:bottom w:w="0" w:type="dxa"/>
            </w:tcMar>
            <w:vAlign w:val="center"/>
          </w:tcPr>
          <w:p>
            <w:pPr>
              <w:pStyle w:val="TableContents"/>
              <w:bidi w:val="0"/>
              <w:spacing w:before="0" w:after="283"/>
              <w:jc w:val="left"/>
              <w:rPr>
                <w:b/>
              </w:rPr>
            </w:pPr>
            <w:r>
              <w:rPr>
                <w:b/>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(401</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608" w:type="dxa"/>
            <w:tcBorders/>
            <w:tcMar>
              <w:bottom w:w="0" w:type="dxa"/>
            </w:tcMar>
            <w:vAlign w:val="center"/>
          </w:tcPr>
          <w:p>
            <w:pPr>
              <w:pStyle w:val="TableContents"/>
              <w:bidi w:val="0"/>
              <w:spacing w:before="0" w:after="283"/>
              <w:jc w:val="left"/>
              <w:rPr/>
            </w:pPr>
            <w:r>
              <w:rPr/>
              <w:t>Loss on disposition of property, plant and equipment and deposits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336</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1,778</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Digital assets exchanged for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b/>
              </w:rPr>
            </w:pPr>
            <w:r>
              <w:rPr>
                <w:b/>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1,463</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0"/>
              <w:jc w:val="right"/>
              <w:rPr/>
            </w:pPr>
            <w:r>
              <w:rPr/>
              <w:t>—</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Interest income received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5,649</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1,787</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Interest expenses paid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b/>
              </w:rPr>
            </w:pPr>
            <w:r>
              <w:rPr>
                <w:b/>
              </w:rPr>
              <w:t>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(1,738</w:t>
            </w:r>
          </w:p>
        </w:tc>
        <w:tc>
          <w:tcPr>
            <w:tcW w:w="143" w:type="dxa"/>
            <w:tcBorders/>
            <w:shd w:fill="CCEEFF" w:val="clear"/>
            <w:tcMar>
              <w:bottom w:w="0" w:type="dxa"/>
            </w:tcMar>
            <w:vAlign w:val="center"/>
          </w:tcPr>
          <w:p>
            <w:pPr>
              <w:pStyle w:val="TableContents"/>
              <w:bidi w:val="0"/>
              <w:spacing w:before="0" w:after="283"/>
              <w:jc w:val="left"/>
              <w:rPr>
                <w:b/>
              </w:rPr>
            </w:pPr>
            <w:r>
              <w:rPr>
                <w:b/>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(13,923</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608" w:type="dxa"/>
            <w:tcBorders/>
            <w:tcMar>
              <w:bottom w:w="0" w:type="dxa"/>
            </w:tcMar>
            <w:vAlign w:val="center"/>
          </w:tcPr>
          <w:p>
            <w:pPr>
              <w:pStyle w:val="TableContents"/>
              <w:bidi w:val="0"/>
              <w:spacing w:before="0" w:after="283"/>
              <w:jc w:val="left"/>
              <w:rPr/>
            </w:pPr>
            <w:r>
              <w:rPr/>
              <w:t>Income taxes (paid) received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(1,510</w:t>
            </w:r>
          </w:p>
        </w:tc>
        <w:tc>
          <w:tcPr>
            <w:tcW w:w="143" w:type="dxa"/>
            <w:tcBorders/>
            <w:tcMar>
              <w:bottom w:w="0" w:type="dxa"/>
            </w:tcMar>
            <w:vAlign w:val="center"/>
          </w:tcPr>
          <w:p>
            <w:pPr>
              <w:pStyle w:val="TableContents"/>
              <w:bidi w:val="0"/>
              <w:spacing w:before="0" w:after="283"/>
              <w:jc w:val="left"/>
              <w:rPr>
                <w:b/>
              </w:rPr>
            </w:pPr>
            <w:r>
              <w:rPr>
                <w:b/>
              </w:rPr>
              <w:t>)</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11,590</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bottom w:val="single" w:sz="8" w:space="0" w:color="000000"/>
            </w:tcBorders>
            <w:shd w:fill="CCEEFF" w:val="clear"/>
            <w:tcMar>
              <w:bottom w:w="30" w:type="dxa"/>
            </w:tcMar>
            <w:vAlign w:val="center"/>
          </w:tcPr>
          <w:p>
            <w:pPr>
              <w:pStyle w:val="TableContents"/>
              <w:bidi w:val="0"/>
              <w:spacing w:before="0" w:after="283"/>
              <w:jc w:val="left"/>
              <w:rPr/>
            </w:pPr>
            <w:r>
              <w:rPr/>
              <w:t>Changes in non-cash working capital components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vAlign w:val="center"/>
          </w:tcPr>
          <w:p>
            <w:pPr>
              <w:pStyle w:val="TableContents"/>
              <w:bidi w:val="0"/>
              <w:spacing w:before="0" w:after="283"/>
              <w:jc w:val="right"/>
              <w:rPr>
                <w:b/>
              </w:rPr>
            </w:pPr>
            <w:r>
              <w:rPr>
                <w:b/>
              </w:rPr>
              <w:t>31</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1038" w:type="dxa"/>
            <w:tcBorders>
              <w:bottom w:val="single" w:sz="8" w:space="0" w:color="000000"/>
            </w:tcBorders>
            <w:shd w:fill="CCEEFF" w:val="clear"/>
            <w:vAlign w:val="center"/>
          </w:tcPr>
          <w:p>
            <w:pPr>
              <w:pStyle w:val="TableContents"/>
              <w:bidi w:val="0"/>
              <w:spacing w:before="0" w:after="283"/>
              <w:jc w:val="right"/>
              <w:rPr>
                <w:b/>
              </w:rPr>
            </w:pPr>
            <w:r>
              <w:rPr>
                <w:b/>
              </w:rPr>
              <w:t>(9,216</w:t>
            </w:r>
          </w:p>
        </w:tc>
        <w:tc>
          <w:tcPr>
            <w:tcW w:w="143"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1038" w:type="dxa"/>
            <w:tcBorders>
              <w:bottom w:val="single" w:sz="8" w:space="0" w:color="000000"/>
            </w:tcBorders>
            <w:shd w:fill="CCEEFF" w:val="clear"/>
            <w:vAlign w:val="center"/>
          </w:tcPr>
          <w:p>
            <w:pPr>
              <w:pStyle w:val="TableContents"/>
              <w:bidi w:val="0"/>
              <w:spacing w:before="0" w:after="283"/>
              <w:jc w:val="right"/>
              <w:rPr/>
            </w:pPr>
            <w:r>
              <w:rPr/>
              <w:t>1,235</w:t>
            </w:r>
          </w:p>
        </w:tc>
        <w:tc>
          <w:tcPr>
            <w:tcW w:w="162"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6608" w:type="dxa"/>
            <w:tcBorders>
              <w:bottom w:val="single" w:sz="8" w:space="0" w:color="000000"/>
            </w:tcBorders>
            <w:tcMar>
              <w:bottom w:w="30" w:type="dxa"/>
            </w:tcMar>
            <w:vAlign w:val="center"/>
          </w:tcPr>
          <w:p>
            <w:pPr>
              <w:pStyle w:val="TableContents"/>
              <w:bidi w:val="0"/>
              <w:spacing w:before="0" w:after="283"/>
              <w:jc w:val="left"/>
              <w:rPr>
                <w:b/>
              </w:rPr>
            </w:pPr>
            <w:r>
              <w:rPr>
                <w:b/>
              </w:rPr>
              <w:t>Net change in cash related to operating activities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5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38" w:type="dxa"/>
            <w:tcBorders>
              <w:bottom w:val="single" w:sz="8" w:space="0" w:color="000000"/>
            </w:tcBorders>
            <w:vAlign w:val="center"/>
          </w:tcPr>
          <w:p>
            <w:pPr>
              <w:pStyle w:val="TableContents"/>
              <w:bidi w:val="0"/>
              <w:spacing w:before="0" w:after="283"/>
              <w:jc w:val="right"/>
              <w:rPr>
                <w:b/>
              </w:rPr>
            </w:pPr>
            <w:r>
              <w:rPr>
                <w:b/>
              </w:rPr>
              <w:t>(140,562</w:t>
            </w:r>
          </w:p>
        </w:tc>
        <w:tc>
          <w:tcPr>
            <w:tcW w:w="143"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102"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38" w:type="dxa"/>
            <w:tcBorders>
              <w:bottom w:val="single" w:sz="8" w:space="0" w:color="000000"/>
            </w:tcBorders>
            <w:vAlign w:val="center"/>
          </w:tcPr>
          <w:p>
            <w:pPr>
              <w:pStyle w:val="TableContents"/>
              <w:bidi w:val="0"/>
              <w:spacing w:before="0" w:after="283"/>
              <w:jc w:val="right"/>
              <w:rPr/>
            </w:pPr>
            <w:r>
              <w:rPr/>
              <w:t>(105,711</w:t>
            </w:r>
          </w:p>
        </w:tc>
        <w:tc>
          <w:tcPr>
            <w:tcW w:w="162" w:type="dxa"/>
            <w:tcBorders>
              <w:bottom w:val="single" w:sz="8" w:space="0" w:color="000000"/>
            </w:tcBorders>
            <w:vAlign w:val="center"/>
          </w:tcPr>
          <w:p>
            <w:pPr>
              <w:pStyle w:val="TableContents"/>
              <w:bidi w:val="0"/>
              <w:spacing w:before="0" w:after="283"/>
              <w:ind w:left="0" w:right="0" w:hanging="180"/>
              <w:jc w:val="left"/>
              <w:rPr/>
            </w:pPr>
            <w:r>
              <w:rPr/>
              <w:t>)</w:t>
            </w:r>
          </w:p>
        </w:tc>
      </w:tr>
      <w:tr>
        <w:trPr/>
        <w:tc>
          <w:tcPr>
            <w:tcW w:w="66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b/>
              </w:rPr>
            </w:pPr>
            <w:r>
              <w:rPr>
                <w:b/>
              </w:rPr>
              <w:t>Cash flows from (used in) investing activities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 </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 </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Proceeds from sale of digital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b/>
              </w:rPr>
            </w:pPr>
            <w:r>
              <w:rPr>
                <w:b/>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152,135</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129,309</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Purchase of property, plant and equipment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(286,919</w:t>
            </w:r>
          </w:p>
        </w:tc>
        <w:tc>
          <w:tcPr>
            <w:tcW w:w="143" w:type="dxa"/>
            <w:tcBorders/>
            <w:tcMar>
              <w:bottom w:w="0" w:type="dxa"/>
            </w:tcMar>
            <w:vAlign w:val="center"/>
          </w:tcPr>
          <w:p>
            <w:pPr>
              <w:pStyle w:val="TableContents"/>
              <w:bidi w:val="0"/>
              <w:spacing w:before="0" w:after="283"/>
              <w:jc w:val="left"/>
              <w:rPr>
                <w:b/>
              </w:rPr>
            </w:pPr>
            <w:r>
              <w:rPr>
                <w:b/>
              </w:rPr>
              <w:t>)</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(48,436</w:t>
            </w:r>
          </w:p>
        </w:tc>
        <w:tc>
          <w:tcPr>
            <w:tcW w:w="162" w:type="dxa"/>
            <w:tcBorders/>
            <w:tcMar>
              <w:bottom w:w="0" w:type="dxa"/>
            </w:tcMar>
            <w:vAlign w:val="center"/>
          </w:tcPr>
          <w:p>
            <w:pPr>
              <w:pStyle w:val="TableContents"/>
              <w:bidi w:val="0"/>
              <w:spacing w:before="0" w:after="283"/>
              <w:ind w:left="0" w:right="0" w:hanging="180"/>
              <w:jc w:val="left"/>
              <w:rPr/>
            </w:pPr>
            <w:r>
              <w:rPr/>
              <w:t>)</w:t>
            </w:r>
          </w:p>
        </w:tc>
      </w:tr>
      <w:tr>
        <w:trPr/>
        <w:tc>
          <w:tcPr>
            <w:tcW w:w="6608" w:type="dxa"/>
            <w:tcBorders/>
            <w:shd w:fill="CCEEFF" w:val="clear"/>
            <w:tcMar>
              <w:bottom w:w="0" w:type="dxa"/>
            </w:tcMar>
            <w:vAlign w:val="center"/>
          </w:tcPr>
          <w:p>
            <w:pPr>
              <w:pStyle w:val="TableContents"/>
              <w:bidi w:val="0"/>
              <w:spacing w:before="0" w:after="283"/>
              <w:jc w:val="left"/>
              <w:rPr/>
            </w:pPr>
            <w:r>
              <w:rPr/>
              <w:t>Proceeds from sale of property, plant and equipment and assets held for sale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5,460</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3,111</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Purchase of marketable securities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b/>
              </w:rPr>
            </w:pPr>
            <w:r>
              <w:rPr>
                <w:b/>
              </w:rPr>
              <w:t>29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(22,375</w:t>
            </w:r>
          </w:p>
        </w:tc>
        <w:tc>
          <w:tcPr>
            <w:tcW w:w="143" w:type="dxa"/>
            <w:tcBorders/>
            <w:tcMar>
              <w:bottom w:w="0" w:type="dxa"/>
            </w:tcMar>
            <w:vAlign w:val="center"/>
          </w:tcPr>
          <w:p>
            <w:pPr>
              <w:pStyle w:val="TableContents"/>
              <w:bidi w:val="0"/>
              <w:spacing w:before="0" w:after="283"/>
              <w:jc w:val="left"/>
              <w:rPr>
                <w:b/>
              </w:rPr>
            </w:pPr>
            <w:r>
              <w:rPr>
                <w:b/>
              </w:rPr>
              <w:t>)</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(36,262</w:t>
            </w:r>
          </w:p>
        </w:tc>
        <w:tc>
          <w:tcPr>
            <w:tcW w:w="162" w:type="dxa"/>
            <w:tcBorders/>
            <w:tcMar>
              <w:bottom w:w="0" w:type="dxa"/>
            </w:tcMar>
            <w:vAlign w:val="center"/>
          </w:tcPr>
          <w:p>
            <w:pPr>
              <w:pStyle w:val="TableContents"/>
              <w:bidi w:val="0"/>
              <w:spacing w:before="0" w:after="283"/>
              <w:ind w:left="0" w:right="0" w:hanging="180"/>
              <w:jc w:val="left"/>
              <w:rPr/>
            </w:pPr>
            <w:r>
              <w:rPr/>
              <w:t>)</w:t>
            </w:r>
          </w:p>
        </w:tc>
      </w:tr>
      <w:tr>
        <w:trPr/>
        <w:tc>
          <w:tcPr>
            <w:tcW w:w="6608" w:type="dxa"/>
            <w:tcBorders/>
            <w:shd w:fill="CCEEFF" w:val="clear"/>
            <w:tcMar>
              <w:bottom w:w="0" w:type="dxa"/>
            </w:tcMar>
            <w:vAlign w:val="center"/>
          </w:tcPr>
          <w:p>
            <w:pPr>
              <w:pStyle w:val="TableContents"/>
              <w:bidi w:val="0"/>
              <w:spacing w:before="0" w:after="283"/>
              <w:jc w:val="left"/>
              <w:rPr/>
            </w:pPr>
            <w:r>
              <w:rPr/>
              <w:t>Proceeds from disposition of marketable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b/>
              </w:rPr>
            </w:pPr>
            <w:r>
              <w:rPr>
                <w:b/>
              </w:rPr>
              <w:t>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24,688</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48,507</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Purchase of derivative assets and liabilities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b/>
              </w:rPr>
            </w:pPr>
            <w:r>
              <w:rPr>
                <w:b/>
              </w:rPr>
              <w:t>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(13,961</w:t>
            </w:r>
          </w:p>
        </w:tc>
        <w:tc>
          <w:tcPr>
            <w:tcW w:w="143" w:type="dxa"/>
            <w:tcBorders/>
            <w:tcMar>
              <w:bottom w:w="0" w:type="dxa"/>
            </w:tcMar>
            <w:vAlign w:val="center"/>
          </w:tcPr>
          <w:p>
            <w:pPr>
              <w:pStyle w:val="TableContents"/>
              <w:bidi w:val="0"/>
              <w:spacing w:before="0" w:after="283"/>
              <w:jc w:val="left"/>
              <w:rPr>
                <w:b/>
              </w:rPr>
            </w:pPr>
            <w:r>
              <w:rPr>
                <w:b/>
              </w:rPr>
              <w:t>)</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0"/>
              <w:jc w:val="right"/>
              <w:rPr/>
            </w:pPr>
            <w:r>
              <w:rPr/>
              <w:t>—</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Proceeds from disposition of derivative assets and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b/>
              </w:rPr>
            </w:pPr>
            <w:r>
              <w:rPr>
                <w:b/>
              </w:rPr>
              <w:t>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31,120</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0"/>
              <w:jc w:val="right"/>
              <w:rPr/>
            </w:pPr>
            <w:r>
              <w:rPr/>
              <w:t>—</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Refundable Hosting Deposits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b/>
              </w:rPr>
            </w:pPr>
            <w:r>
              <w:rPr>
                <w:b/>
              </w:rPr>
              <w:t>15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(15,600</w:t>
            </w:r>
          </w:p>
        </w:tc>
        <w:tc>
          <w:tcPr>
            <w:tcW w:w="143" w:type="dxa"/>
            <w:tcBorders/>
            <w:tcMar>
              <w:bottom w:w="0" w:type="dxa"/>
            </w:tcMar>
            <w:vAlign w:val="center"/>
          </w:tcPr>
          <w:p>
            <w:pPr>
              <w:pStyle w:val="TableContents"/>
              <w:bidi w:val="0"/>
              <w:spacing w:before="0" w:after="283"/>
              <w:jc w:val="left"/>
              <w:rPr>
                <w:b/>
              </w:rPr>
            </w:pPr>
            <w:r>
              <w:rPr>
                <w:b/>
              </w:rPr>
              <w:t>)</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0"/>
              <w:jc w:val="right"/>
              <w:rPr/>
            </w:pPr>
            <w:r>
              <w:rPr/>
              <w:t>—</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Equipment and construction prepayments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(52,935</w:t>
            </w:r>
          </w:p>
        </w:tc>
        <w:tc>
          <w:tcPr>
            <w:tcW w:w="143" w:type="dxa"/>
            <w:tcBorders/>
            <w:shd w:fill="CCEEFF" w:val="clear"/>
            <w:tcMar>
              <w:bottom w:w="0" w:type="dxa"/>
            </w:tcMar>
            <w:vAlign w:val="center"/>
          </w:tcPr>
          <w:p>
            <w:pPr>
              <w:pStyle w:val="TableContents"/>
              <w:bidi w:val="0"/>
              <w:spacing w:before="0" w:after="283"/>
              <w:jc w:val="left"/>
              <w:rPr>
                <w:b/>
              </w:rPr>
            </w:pPr>
            <w:r>
              <w:rPr>
                <w:b/>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(22,869</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608" w:type="dxa"/>
            <w:tcBorders>
              <w:bottom w:val="single" w:sz="8" w:space="0" w:color="000000"/>
            </w:tcBorders>
            <w:tcMar>
              <w:bottom w:w="30" w:type="dxa"/>
            </w:tcMar>
            <w:vAlign w:val="center"/>
          </w:tcPr>
          <w:p>
            <w:pPr>
              <w:pStyle w:val="TableContents"/>
              <w:bidi w:val="0"/>
              <w:spacing w:before="0" w:after="283"/>
              <w:jc w:val="left"/>
              <w:rPr/>
            </w:pPr>
            <w:r>
              <w:rPr/>
              <w:t>Acquisitions of assets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50" w:type="dxa"/>
            <w:tcBorders>
              <w:bottom w:val="single" w:sz="8" w:space="0" w:color="000000"/>
            </w:tcBorders>
            <w:vAlign w:val="center"/>
          </w:tcPr>
          <w:p>
            <w:pPr>
              <w:pStyle w:val="TableContents"/>
              <w:bidi w:val="0"/>
              <w:spacing w:before="0" w:after="283"/>
              <w:jc w:val="right"/>
              <w:rPr>
                <w:b/>
              </w:rPr>
            </w:pPr>
            <w:r>
              <w:rPr>
                <w:b/>
              </w:rPr>
              <w:t>5</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38" w:type="dxa"/>
            <w:tcBorders>
              <w:bottom w:val="single" w:sz="8" w:space="0" w:color="000000"/>
            </w:tcBorders>
            <w:vAlign w:val="center"/>
          </w:tcPr>
          <w:p>
            <w:pPr>
              <w:pStyle w:val="TableContents"/>
              <w:bidi w:val="0"/>
              <w:spacing w:before="0" w:after="0"/>
              <w:jc w:val="right"/>
              <w:rPr/>
            </w:pPr>
            <w:r>
              <w:rPr/>
              <w:t>—</w:t>
            </w:r>
          </w:p>
        </w:tc>
        <w:tc>
          <w:tcPr>
            <w:tcW w:w="143" w:type="dxa"/>
            <w:tcBorders>
              <w:bottom w:val="single" w:sz="8" w:space="0" w:color="000000"/>
            </w:tcBorders>
            <w:tcMar>
              <w:bottom w:w="30" w:type="dxa"/>
            </w:tcMar>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38" w:type="dxa"/>
            <w:tcBorders>
              <w:bottom w:val="single" w:sz="8" w:space="0" w:color="000000"/>
            </w:tcBorders>
            <w:vAlign w:val="center"/>
          </w:tcPr>
          <w:p>
            <w:pPr>
              <w:pStyle w:val="TableContents"/>
              <w:bidi w:val="0"/>
              <w:spacing w:before="0" w:after="283"/>
              <w:jc w:val="right"/>
              <w:rPr/>
            </w:pPr>
            <w:r>
              <w:rPr/>
              <w:t>(2,394</w:t>
            </w:r>
          </w:p>
        </w:tc>
        <w:tc>
          <w:tcPr>
            <w:tcW w:w="162" w:type="dxa"/>
            <w:tcBorders>
              <w:bottom w:val="single" w:sz="8" w:space="0" w:color="000000"/>
            </w:tcBorders>
            <w:vAlign w:val="center"/>
          </w:tcPr>
          <w:p>
            <w:pPr>
              <w:pStyle w:val="TableContents"/>
              <w:bidi w:val="0"/>
              <w:spacing w:before="0" w:after="283"/>
              <w:ind w:left="0" w:right="0" w:hanging="180"/>
              <w:jc w:val="left"/>
              <w:rPr/>
            </w:pPr>
            <w:r>
              <w:rPr/>
              <w:t>)</w:t>
            </w:r>
          </w:p>
        </w:tc>
      </w:tr>
      <w:tr>
        <w:trPr/>
        <w:tc>
          <w:tcPr>
            <w:tcW w:w="6608"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Net change in cash related to investing activities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1038" w:type="dxa"/>
            <w:tcBorders>
              <w:bottom w:val="single" w:sz="8" w:space="0" w:color="000000"/>
            </w:tcBorders>
            <w:shd w:fill="CCEEFF" w:val="clear"/>
            <w:vAlign w:val="center"/>
          </w:tcPr>
          <w:p>
            <w:pPr>
              <w:pStyle w:val="TableContents"/>
              <w:bidi w:val="0"/>
              <w:spacing w:before="0" w:after="283"/>
              <w:jc w:val="right"/>
              <w:rPr>
                <w:b/>
              </w:rPr>
            </w:pPr>
            <w:r>
              <w:rPr>
                <w:b/>
              </w:rPr>
              <w:t>(178,387</w:t>
            </w:r>
          </w:p>
        </w:tc>
        <w:tc>
          <w:tcPr>
            <w:tcW w:w="143"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1038" w:type="dxa"/>
            <w:tcBorders>
              <w:bottom w:val="single" w:sz="8" w:space="0" w:color="000000"/>
            </w:tcBorders>
            <w:shd w:fill="CCEEFF" w:val="clear"/>
            <w:vAlign w:val="center"/>
          </w:tcPr>
          <w:p>
            <w:pPr>
              <w:pStyle w:val="TableContents"/>
              <w:bidi w:val="0"/>
              <w:spacing w:before="0" w:after="283"/>
              <w:jc w:val="right"/>
              <w:rPr/>
            </w:pPr>
            <w:r>
              <w:rPr/>
              <w:t>70,966</w:t>
            </w:r>
          </w:p>
        </w:tc>
        <w:tc>
          <w:tcPr>
            <w:tcW w:w="162"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 </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 </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b/>
              </w:rPr>
            </w:pPr>
            <w:r>
              <w:rPr>
                <w:b/>
              </w:rPr>
              <w:t>Cash flows from financing activities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Issuance of common shares and warrants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b/>
              </w:rPr>
            </w:pPr>
            <w:r>
              <w:rPr>
                <w:b/>
              </w:rPr>
              <w:t>22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289,534</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109,074</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Repayment of 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b/>
              </w:rPr>
            </w:pPr>
            <w:r>
              <w:rPr>
                <w:b/>
              </w:rPr>
              <w:t>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(4,141</w:t>
            </w:r>
          </w:p>
        </w:tc>
        <w:tc>
          <w:tcPr>
            <w:tcW w:w="143" w:type="dxa"/>
            <w:tcBorders/>
            <w:shd w:fill="CCEEFF" w:val="clear"/>
            <w:tcMar>
              <w:bottom w:w="0" w:type="dxa"/>
            </w:tcMar>
            <w:vAlign w:val="center"/>
          </w:tcPr>
          <w:p>
            <w:pPr>
              <w:pStyle w:val="TableContents"/>
              <w:bidi w:val="0"/>
              <w:spacing w:before="0" w:after="283"/>
              <w:jc w:val="left"/>
              <w:rPr>
                <w:b/>
              </w:rPr>
            </w:pPr>
            <w:r>
              <w:rPr>
                <w:b/>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(30,545</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608" w:type="dxa"/>
            <w:tcBorders/>
            <w:tcMar>
              <w:bottom w:w="0" w:type="dxa"/>
            </w:tcMar>
            <w:vAlign w:val="center"/>
          </w:tcPr>
          <w:p>
            <w:pPr>
              <w:pStyle w:val="TableContents"/>
              <w:bidi w:val="0"/>
              <w:spacing w:before="0" w:after="283"/>
              <w:jc w:val="left"/>
              <w:rPr/>
            </w:pPr>
            <w:r>
              <w:rPr/>
              <w:t>Proceeds from long-term debt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b/>
              </w:rPr>
            </w:pPr>
            <w:r>
              <w:rPr>
                <w:b/>
              </w:rPr>
              <w:t>18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1,695</w:t>
            </w:r>
          </w:p>
        </w:tc>
        <w:tc>
          <w:tcPr>
            <w:tcW w:w="143"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0"/>
              <w:jc w:val="right"/>
              <w:rPr/>
            </w:pPr>
            <w:r>
              <w:rPr/>
              <w:t>—</w:t>
            </w:r>
          </w:p>
        </w:tc>
        <w:tc>
          <w:tcPr>
            <w:tcW w:w="162" w:type="dxa"/>
            <w:tcBorders/>
            <w:tcMar>
              <w:bottom w:w="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Lease incentive received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b/>
              </w:rPr>
            </w:pPr>
            <w:r>
              <w:rPr>
                <w:b/>
              </w:rPr>
              <w:t>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714</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0"/>
              <w:jc w:val="right"/>
              <w:rPr/>
            </w:pPr>
            <w:r>
              <w:rPr/>
              <w:t>—</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tcMar>
              <w:bottom w:w="0" w:type="dxa"/>
            </w:tcMar>
            <w:vAlign w:val="center"/>
          </w:tcPr>
          <w:p>
            <w:pPr>
              <w:pStyle w:val="TableContents"/>
              <w:bidi w:val="0"/>
              <w:spacing w:before="0" w:after="283"/>
              <w:jc w:val="left"/>
              <w:rPr/>
            </w:pPr>
            <w:r>
              <w:rPr/>
              <w:t>Repayment of lease liabilities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50" w:type="dxa"/>
            <w:tcBorders/>
            <w:tcMar>
              <w:bottom w:w="0" w:type="dxa"/>
            </w:tcMar>
            <w:vAlign w:val="center"/>
          </w:tcPr>
          <w:p>
            <w:pPr>
              <w:pStyle w:val="TableContents"/>
              <w:bidi w:val="0"/>
              <w:spacing w:before="0" w:after="283"/>
              <w:jc w:val="right"/>
              <w:rPr>
                <w:b/>
              </w:rPr>
            </w:pPr>
            <w:r>
              <w:rPr>
                <w:b/>
              </w:rPr>
              <w:t>19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b/>
              </w:rPr>
            </w:pPr>
            <w:r>
              <w:rPr>
                <w:b/>
              </w:rPr>
              <w:t>(2,223</w:t>
            </w:r>
          </w:p>
        </w:tc>
        <w:tc>
          <w:tcPr>
            <w:tcW w:w="143" w:type="dxa"/>
            <w:tcBorders/>
            <w:tcMar>
              <w:bottom w:w="0" w:type="dxa"/>
            </w:tcMar>
            <w:vAlign w:val="center"/>
          </w:tcPr>
          <w:p>
            <w:pPr>
              <w:pStyle w:val="TableContents"/>
              <w:bidi w:val="0"/>
              <w:spacing w:before="0" w:after="283"/>
              <w:jc w:val="left"/>
              <w:rPr>
                <w:b/>
              </w:rPr>
            </w:pPr>
            <w:r>
              <w:rPr>
                <w:b/>
              </w:rPr>
              <w:t>)</w:t>
            </w:r>
          </w:p>
        </w:tc>
        <w:tc>
          <w:tcPr>
            <w:tcW w:w="102"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(3,634</w:t>
            </w:r>
          </w:p>
        </w:tc>
        <w:tc>
          <w:tcPr>
            <w:tcW w:w="162" w:type="dxa"/>
            <w:tcBorders/>
            <w:tcMar>
              <w:bottom w:w="0" w:type="dxa"/>
            </w:tcMar>
            <w:vAlign w:val="center"/>
          </w:tcPr>
          <w:p>
            <w:pPr>
              <w:pStyle w:val="TableContents"/>
              <w:bidi w:val="0"/>
              <w:spacing w:before="0" w:after="283"/>
              <w:ind w:left="0" w:right="0" w:hanging="180"/>
              <w:jc w:val="left"/>
              <w:rPr/>
            </w:pPr>
            <w:r>
              <w:rPr/>
              <w:t>)</w:t>
            </w:r>
          </w:p>
        </w:tc>
      </w:tr>
      <w:tr>
        <w:trPr/>
        <w:tc>
          <w:tcPr>
            <w:tcW w:w="6608" w:type="dxa"/>
            <w:tcBorders>
              <w:bottom w:val="single" w:sz="8" w:space="0" w:color="000000"/>
            </w:tcBorders>
            <w:shd w:fill="CCEEFF" w:val="clear"/>
            <w:tcMar>
              <w:bottom w:w="30" w:type="dxa"/>
            </w:tcMar>
            <w:vAlign w:val="center"/>
          </w:tcPr>
          <w:p>
            <w:pPr>
              <w:pStyle w:val="TableContents"/>
              <w:bidi w:val="0"/>
              <w:spacing w:before="0" w:after="283"/>
              <w:jc w:val="left"/>
              <w:rPr/>
            </w:pPr>
            <w:r>
              <w:rPr/>
              <w:t>Exercise of stock options and warrants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22, 28</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1038" w:type="dxa"/>
            <w:tcBorders>
              <w:bottom w:val="single" w:sz="8" w:space="0" w:color="000000"/>
            </w:tcBorders>
            <w:shd w:fill="CCEEFF" w:val="clear"/>
            <w:vAlign w:val="center"/>
          </w:tcPr>
          <w:p>
            <w:pPr>
              <w:pStyle w:val="TableContents"/>
              <w:bidi w:val="0"/>
              <w:spacing w:before="0" w:after="283"/>
              <w:jc w:val="right"/>
              <w:rPr>
                <w:b/>
              </w:rPr>
            </w:pPr>
            <w:r>
              <w:rPr>
                <w:b/>
              </w:rPr>
              <w:t>8,883</w:t>
            </w:r>
          </w:p>
        </w:tc>
        <w:tc>
          <w:tcPr>
            <w:tcW w:w="143"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1038" w:type="dxa"/>
            <w:tcBorders>
              <w:bottom w:val="single" w:sz="8" w:space="0" w:color="000000"/>
            </w:tcBorders>
            <w:shd w:fill="CCEEFF" w:val="clear"/>
            <w:vAlign w:val="center"/>
          </w:tcPr>
          <w:p>
            <w:pPr>
              <w:pStyle w:val="TableContents"/>
              <w:bidi w:val="0"/>
              <w:spacing w:before="0" w:after="283"/>
              <w:jc w:val="right"/>
              <w:rPr/>
            </w:pPr>
            <w:r>
              <w:rPr/>
              <w:t>12,983</w:t>
            </w:r>
          </w:p>
        </w:tc>
        <w:tc>
          <w:tcPr>
            <w:tcW w:w="162"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6608" w:type="dxa"/>
            <w:tcBorders>
              <w:bottom w:val="single" w:sz="8" w:space="0" w:color="000000"/>
            </w:tcBorders>
            <w:tcMar>
              <w:bottom w:w="30" w:type="dxa"/>
            </w:tcMar>
            <w:vAlign w:val="center"/>
          </w:tcPr>
          <w:p>
            <w:pPr>
              <w:pStyle w:val="TableContents"/>
              <w:bidi w:val="0"/>
              <w:spacing w:before="0" w:after="283"/>
              <w:jc w:val="left"/>
              <w:rPr>
                <w:b/>
              </w:rPr>
            </w:pPr>
            <w:r>
              <w:rPr>
                <w:b/>
              </w:rPr>
              <w:t>Net change in cash related to financing activities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5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38" w:type="dxa"/>
            <w:tcBorders>
              <w:bottom w:val="single" w:sz="8" w:space="0" w:color="000000"/>
            </w:tcBorders>
            <w:vAlign w:val="center"/>
          </w:tcPr>
          <w:p>
            <w:pPr>
              <w:pStyle w:val="TableContents"/>
              <w:bidi w:val="0"/>
              <w:spacing w:before="0" w:after="283"/>
              <w:jc w:val="right"/>
              <w:rPr>
                <w:b/>
              </w:rPr>
            </w:pPr>
            <w:r>
              <w:rPr>
                <w:b/>
              </w:rPr>
              <w:t>294,462</w:t>
            </w:r>
          </w:p>
        </w:tc>
        <w:tc>
          <w:tcPr>
            <w:tcW w:w="143" w:type="dxa"/>
            <w:tcBorders>
              <w:bottom w:val="single" w:sz="8" w:space="0" w:color="000000"/>
            </w:tcBorders>
            <w:tcMar>
              <w:bottom w:w="30" w:type="dxa"/>
            </w:tcMar>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38" w:type="dxa"/>
            <w:tcBorders>
              <w:bottom w:val="single" w:sz="8" w:space="0" w:color="000000"/>
            </w:tcBorders>
            <w:vAlign w:val="center"/>
          </w:tcPr>
          <w:p>
            <w:pPr>
              <w:pStyle w:val="TableContents"/>
              <w:bidi w:val="0"/>
              <w:spacing w:before="0" w:after="283"/>
              <w:jc w:val="right"/>
              <w:rPr/>
            </w:pPr>
            <w:r>
              <w:rPr/>
              <w:t>87,878</w:t>
            </w:r>
          </w:p>
        </w:tc>
        <w:tc>
          <w:tcPr>
            <w:tcW w:w="162"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bottom w:val="single" w:sz="8" w:space="0" w:color="000000"/>
            </w:tcBorders>
            <w:tcMar>
              <w:bottom w:w="30" w:type="dxa"/>
            </w:tcMar>
            <w:vAlign w:val="center"/>
          </w:tcPr>
          <w:p>
            <w:pPr>
              <w:pStyle w:val="TableContents"/>
              <w:bidi w:val="0"/>
              <w:spacing w:before="0" w:after="283"/>
              <w:jc w:val="left"/>
              <w:rPr>
                <w:b/>
              </w:rPr>
            </w:pPr>
            <w:r>
              <w:rPr>
                <w:b/>
              </w:rPr>
              <w:t>Net (decrease) increase in cash</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5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38" w:type="dxa"/>
            <w:tcBorders>
              <w:bottom w:val="single" w:sz="8" w:space="0" w:color="000000"/>
            </w:tcBorders>
            <w:vAlign w:val="center"/>
          </w:tcPr>
          <w:p>
            <w:pPr>
              <w:pStyle w:val="TableContents"/>
              <w:bidi w:val="0"/>
              <w:spacing w:before="0" w:after="283"/>
              <w:jc w:val="right"/>
              <w:rPr>
                <w:b/>
              </w:rPr>
            </w:pPr>
            <w:r>
              <w:rPr>
                <w:b/>
              </w:rPr>
              <w:t>(24,487</w:t>
            </w:r>
          </w:p>
        </w:tc>
        <w:tc>
          <w:tcPr>
            <w:tcW w:w="143"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102"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38" w:type="dxa"/>
            <w:tcBorders>
              <w:bottom w:val="single" w:sz="8" w:space="0" w:color="000000"/>
            </w:tcBorders>
            <w:vAlign w:val="center"/>
          </w:tcPr>
          <w:p>
            <w:pPr>
              <w:pStyle w:val="TableContents"/>
              <w:bidi w:val="0"/>
              <w:spacing w:before="0" w:after="283"/>
              <w:jc w:val="right"/>
              <w:rPr/>
            </w:pPr>
            <w:r>
              <w:rPr/>
              <w:t>53,133</w:t>
            </w:r>
          </w:p>
        </w:tc>
        <w:tc>
          <w:tcPr>
            <w:tcW w:w="162"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6608" w:type="dxa"/>
            <w:tcBorders/>
            <w:shd w:fill="CCEEFF" w:val="clear"/>
            <w:tcMar>
              <w:bottom w:w="0" w:type="dxa"/>
            </w:tcMar>
            <w:vAlign w:val="center"/>
          </w:tcPr>
          <w:p>
            <w:pPr>
              <w:pStyle w:val="TableContents"/>
              <w:bidi w:val="0"/>
              <w:spacing w:before="0" w:after="283"/>
              <w:jc w:val="left"/>
              <w:rPr/>
            </w:pPr>
            <w:r>
              <w:rPr/>
              <w:t>Cash, beginning of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84,038</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30,887</w:t>
            </w:r>
          </w:p>
        </w:tc>
        <w:tc>
          <w:tcPr>
            <w:tcW w:w="16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608" w:type="dxa"/>
            <w:tcBorders>
              <w:bottom w:val="single" w:sz="8" w:space="0" w:color="000000"/>
            </w:tcBorders>
            <w:tcMar>
              <w:bottom w:w="30" w:type="dxa"/>
            </w:tcMar>
            <w:vAlign w:val="center"/>
          </w:tcPr>
          <w:p>
            <w:pPr>
              <w:pStyle w:val="TableContents"/>
              <w:bidi w:val="0"/>
              <w:spacing w:before="0" w:after="283"/>
              <w:jc w:val="left"/>
              <w:rPr/>
            </w:pPr>
            <w:r>
              <w:rPr/>
              <w:t>Exchange rate differences on currency translation</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5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38" w:type="dxa"/>
            <w:tcBorders>
              <w:bottom w:val="single" w:sz="8" w:space="0" w:color="000000"/>
            </w:tcBorders>
            <w:vAlign w:val="center"/>
          </w:tcPr>
          <w:p>
            <w:pPr>
              <w:pStyle w:val="TableContents"/>
              <w:bidi w:val="0"/>
              <w:spacing w:before="0" w:after="283"/>
              <w:jc w:val="right"/>
              <w:rPr>
                <w:b/>
              </w:rPr>
            </w:pPr>
            <w:r>
              <w:rPr>
                <w:b/>
              </w:rPr>
              <w:t>(9</w:t>
            </w:r>
          </w:p>
        </w:tc>
        <w:tc>
          <w:tcPr>
            <w:tcW w:w="143"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102"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1038" w:type="dxa"/>
            <w:tcBorders>
              <w:bottom w:val="single" w:sz="8" w:space="0" w:color="000000"/>
            </w:tcBorders>
            <w:vAlign w:val="center"/>
          </w:tcPr>
          <w:p>
            <w:pPr>
              <w:pStyle w:val="TableContents"/>
              <w:bidi w:val="0"/>
              <w:spacing w:before="0" w:after="283"/>
              <w:jc w:val="right"/>
              <w:rPr/>
            </w:pPr>
            <w:r>
              <w:rPr/>
              <w:t>18</w:t>
            </w:r>
          </w:p>
        </w:tc>
        <w:tc>
          <w:tcPr>
            <w:tcW w:w="162"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6608"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Cash, end of the year</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50"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038" w:type="dxa"/>
            <w:tcBorders>
              <w:bottom w:val="single" w:sz="12" w:space="0" w:color="000000"/>
            </w:tcBorders>
            <w:shd w:fill="CCEEFF" w:val="clear"/>
            <w:vAlign w:val="center"/>
          </w:tcPr>
          <w:p>
            <w:pPr>
              <w:pStyle w:val="TableContents"/>
              <w:bidi w:val="0"/>
              <w:spacing w:before="0" w:after="283"/>
              <w:jc w:val="right"/>
              <w:rPr>
                <w:b/>
              </w:rPr>
            </w:pPr>
            <w:r>
              <w:rPr>
                <w:b/>
              </w:rPr>
              <w:t>59,542</w:t>
            </w:r>
          </w:p>
        </w:tc>
        <w:tc>
          <w:tcPr>
            <w:tcW w:w="14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038" w:type="dxa"/>
            <w:tcBorders>
              <w:bottom w:val="single" w:sz="12" w:space="0" w:color="000000"/>
            </w:tcBorders>
            <w:shd w:fill="CCEEFF" w:val="clear"/>
            <w:vAlign w:val="center"/>
          </w:tcPr>
          <w:p>
            <w:pPr>
              <w:pStyle w:val="TableContents"/>
              <w:bidi w:val="0"/>
              <w:spacing w:before="0" w:after="283"/>
              <w:jc w:val="right"/>
              <w:rPr/>
            </w:pPr>
            <w:r>
              <w:rPr/>
              <w:t>84,038</w:t>
            </w:r>
          </w:p>
        </w:tc>
        <w:tc>
          <w:tcPr>
            <w:tcW w:w="162"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be read in conjunction with the notes to the consolidated financial statements</w:t>
      </w:r>
    </w:p>
    <w:p>
      <w:pPr>
        <w:pStyle w:val="TextBody"/>
        <w:bidi w:val="0"/>
        <w:spacing w:before="0" w:after="0"/>
        <w:jc w:val="left"/>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11 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 w:name="a_008"/>
      <w:bookmarkStart w:id="23" w:name="a_008"/>
      <w:bookmarkEnd w:id="23"/>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 w:name="a_009"/>
      <w:bookmarkStart w:id="25" w:name="a_009"/>
      <w:bookmarkEnd w:id="25"/>
    </w:p>
    <w:tbl>
      <w:tblPr>
        <w:tblW w:w="4263" w:type="dxa"/>
        <w:jc w:val="left"/>
        <w:tblInd w:w="0" w:type="dxa"/>
        <w:tblLayout w:type="fixed"/>
        <w:tblCellMar>
          <w:top w:w="0" w:type="dxa"/>
          <w:left w:w="0" w:type="dxa"/>
          <w:bottom w:w="0" w:type="dxa"/>
          <w:right w:w="0" w:type="dxa"/>
        </w:tblCellMar>
      </w:tblPr>
      <w:tblGrid>
        <w:gridCol w:w="68"/>
        <w:gridCol w:w="995"/>
        <w:gridCol w:w="3200"/>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1:</w:t>
            </w:r>
          </w:p>
        </w:tc>
        <w:tc>
          <w:tcPr>
            <w:tcW w:w="3200" w:type="dxa"/>
            <w:tcBorders/>
            <w:vAlign w:val="center"/>
          </w:tcPr>
          <w:p>
            <w:pPr>
              <w:pStyle w:val="TableContents"/>
              <w:bidi w:val="0"/>
              <w:spacing w:before="0" w:after="283"/>
              <w:jc w:val="both"/>
              <w:rPr>
                <w:b/>
              </w:rPr>
            </w:pPr>
            <w:r>
              <w:rPr>
                <w:b/>
              </w:rPr>
              <w:t>NATURE OF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at 110 Yonge Street, Suite 1601, Toronto, Ontario, Canada, M5C 1T4.</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activities of the Company are mainly comprised of selling its computational power used for hashing calculations for the purpose of cryptocurrency mining in multiple jurisdictions as described in Note 30 “Geographical Information”. The Company’s operations are currently located in Canada, Paraguay, the United States and Argentina. Volta, a wholly-owned subsidiary of the Company, assists the Company in building and maintaining its data centers and provides electrician services to both commercial and residential customers in Quebec, Canada.</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primarily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BTC (as defined below). Bitfarms accumulates the cryptocurrency fees it receives or exchanges them for U.S. dollars through reputable and established cryptocurrency trading platforms.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and definitions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financial statements, the terms below have the following definitions: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305"/>
        <w:gridCol w:w="1895"/>
        <w:gridCol w:w="8005"/>
      </w:tblGrid>
      <w:tr>
        <w:trPr/>
        <w:tc>
          <w:tcPr>
            <w:tcW w:w="305"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89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c>
          <w:tcPr>
            <w:tcW w:w="800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3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8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w:t>
            </w:r>
          </w:p>
        </w:tc>
        <w:tc>
          <w:tcPr>
            <w:tcW w:w="80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Hosting Solutions Inc.</w:t>
            </w:r>
          </w:p>
        </w:tc>
      </w:tr>
      <w:tr>
        <w:trPr/>
        <w:tc>
          <w:tcPr>
            <w:tcW w:w="3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89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Volta</w:t>
            </w:r>
          </w:p>
        </w:tc>
        <w:tc>
          <w:tcPr>
            <w:tcW w:w="80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9159-9290 Quebec Inc.</w:t>
            </w:r>
          </w:p>
        </w:tc>
      </w:tr>
      <w:tr>
        <w:trPr/>
        <w:tc>
          <w:tcPr>
            <w:tcW w:w="3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8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Argentina</w:t>
            </w:r>
          </w:p>
        </w:tc>
        <w:tc>
          <w:tcPr>
            <w:tcW w:w="80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Hosting Solutions SAU</w:t>
            </w:r>
          </w:p>
        </w:tc>
      </w:tr>
      <w:tr>
        <w:trPr/>
        <w:tc>
          <w:tcPr>
            <w:tcW w:w="3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89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Paraguay</w:t>
            </w:r>
          </w:p>
        </w:tc>
        <w:tc>
          <w:tcPr>
            <w:tcW w:w="80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Hosting Solutions Paraguay SA</w:t>
            </w:r>
          </w:p>
        </w:tc>
      </w:tr>
      <w:tr>
        <w:trPr/>
        <w:tc>
          <w:tcPr>
            <w:tcW w:w="3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8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Mining</w:t>
            </w:r>
          </w:p>
        </w:tc>
        <w:tc>
          <w:tcPr>
            <w:tcW w:w="80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Mining Solutions LLC</w:t>
            </w:r>
          </w:p>
        </w:tc>
      </w:tr>
      <w:tr>
        <w:trPr/>
        <w:tc>
          <w:tcPr>
            <w:tcW w:w="3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89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Orion</w:t>
            </w:r>
          </w:p>
        </w:tc>
        <w:tc>
          <w:tcPr>
            <w:tcW w:w="80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Orion Constellation Technologies Inc.</w:t>
            </w:r>
          </w:p>
        </w:tc>
      </w:tr>
      <w:tr>
        <w:trPr/>
        <w:tc>
          <w:tcPr>
            <w:tcW w:w="3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8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Sharon</w:t>
            </w:r>
          </w:p>
        </w:tc>
        <w:tc>
          <w:tcPr>
            <w:tcW w:w="80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Sharon LLC</w:t>
            </w:r>
          </w:p>
        </w:tc>
      </w:tr>
      <w:tr>
        <w:trPr/>
        <w:tc>
          <w:tcPr>
            <w:tcW w:w="3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89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Paso Pe</w:t>
            </w:r>
          </w:p>
        </w:tc>
        <w:tc>
          <w:tcPr>
            <w:tcW w:w="80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D&amp;N Ingenieria SA</w:t>
            </w:r>
          </w:p>
        </w:tc>
      </w:tr>
      <w:tr>
        <w:trPr/>
        <w:tc>
          <w:tcPr>
            <w:tcW w:w="3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8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Yguazu</w:t>
            </w:r>
          </w:p>
        </w:tc>
        <w:tc>
          <w:tcPr>
            <w:tcW w:w="80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Zunz SA</w:t>
            </w:r>
          </w:p>
        </w:tc>
      </w:tr>
      <w:tr>
        <w:trPr/>
        <w:tc>
          <w:tcPr>
            <w:tcW w:w="3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189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Backbone Paraguay LP</w:t>
            </w:r>
          </w:p>
        </w:tc>
        <w:tc>
          <w:tcPr>
            <w:tcW w:w="80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Bitfarms Paraguay LP</w:t>
            </w:r>
          </w:p>
        </w:tc>
      </w:tr>
      <w:tr>
        <w:trPr/>
        <w:tc>
          <w:tcPr>
            <w:tcW w:w="3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8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BTC</w:t>
            </w:r>
          </w:p>
        </w:tc>
        <w:tc>
          <w:tcPr>
            <w:tcW w:w="80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w:t>
            </w:r>
          </w:p>
        </w:tc>
      </w:tr>
      <w:tr>
        <w:trPr/>
        <w:tc>
          <w:tcPr>
            <w:tcW w:w="3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189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BVVE</w:t>
            </w:r>
          </w:p>
        </w:tc>
        <w:tc>
          <w:tcPr>
            <w:tcW w:w="80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Blockchain Verification and Validation Equipment (primarily Miners and mining-related equipment)</w:t>
            </w:r>
          </w:p>
        </w:tc>
      </w:tr>
      <w:tr>
        <w:trPr/>
        <w:tc>
          <w:tcPr>
            <w:tcW w:w="3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18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w:t>
            </w:r>
          </w:p>
        </w:tc>
        <w:tc>
          <w:tcPr>
            <w:tcW w:w="80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Megawatt</w:t>
            </w:r>
          </w:p>
        </w:tc>
      </w:tr>
      <w:tr>
        <w:trPr/>
        <w:tc>
          <w:tcPr>
            <w:tcW w:w="305" w:type="dxa"/>
            <w:tcBorders/>
            <w:tcMar>
              <w:top w:w="0" w:type="dxa"/>
              <w:bottom w:w="0" w:type="dxa"/>
            </w:tcMar>
            <w:vAlign w:val="center"/>
          </w:tcPr>
          <w:p>
            <w:pPr>
              <w:pStyle w:val="TableContents"/>
              <w:bidi w:val="0"/>
              <w:spacing w:before="0" w:after="283"/>
              <w:jc w:val="left"/>
              <w:rPr/>
            </w:pPr>
            <w:r>
              <w:rPr/>
              <w:t>14</w:t>
            </w:r>
          </w:p>
        </w:tc>
        <w:tc>
          <w:tcPr>
            <w:tcW w:w="1895" w:type="dxa"/>
            <w:tcBorders/>
            <w:tcMar>
              <w:top w:w="0" w:type="dxa"/>
              <w:bottom w:w="0" w:type="dxa"/>
            </w:tcMar>
            <w:vAlign w:val="center"/>
          </w:tcPr>
          <w:p>
            <w:pPr>
              <w:pStyle w:val="TableContents"/>
              <w:bidi w:val="0"/>
              <w:spacing w:before="0" w:after="283"/>
              <w:jc w:val="left"/>
              <w:rPr/>
            </w:pPr>
            <w:r>
              <w:rPr/>
              <w:t>CAD</w:t>
            </w:r>
          </w:p>
        </w:tc>
        <w:tc>
          <w:tcPr>
            <w:tcW w:w="8005" w:type="dxa"/>
            <w:tcBorders/>
            <w:tcMar>
              <w:top w:w="0" w:type="dxa"/>
              <w:bottom w:w="0" w:type="dxa"/>
            </w:tcMar>
            <w:vAlign w:val="center"/>
          </w:tcPr>
          <w:p>
            <w:pPr>
              <w:pStyle w:val="TableContents"/>
              <w:bidi w:val="0"/>
              <w:spacing w:before="0" w:after="283"/>
              <w:jc w:val="left"/>
              <w:rPr/>
            </w:pPr>
            <w:r>
              <w:rPr/>
              <w:t>Canadian dollars</w:t>
            </w:r>
          </w:p>
        </w:tc>
      </w:tr>
      <w:tr>
        <w:trPr/>
        <w:tc>
          <w:tcPr>
            <w:tcW w:w="3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18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w:t>
            </w:r>
          </w:p>
        </w:tc>
        <w:tc>
          <w:tcPr>
            <w:tcW w:w="800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dollars</w:t>
            </w:r>
          </w:p>
        </w:tc>
      </w:tr>
      <w:tr>
        <w:trPr/>
        <w:tc>
          <w:tcPr>
            <w:tcW w:w="305"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1895"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ARS</w:t>
            </w:r>
          </w:p>
        </w:tc>
        <w:tc>
          <w:tcPr>
            <w:tcW w:w="8005"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Argentine Pesos</w:t>
            </w:r>
          </w:p>
        </w:tc>
      </w:tr>
    </w:tbl>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12 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 w:name="a_010"/>
      <w:bookmarkStart w:id="27" w:name="a_010"/>
      <w:bookmarkEnd w:id="27"/>
    </w:p>
    <w:tbl>
      <w:tblPr>
        <w:tblW w:w="2478" w:type="dxa"/>
        <w:jc w:val="left"/>
        <w:tblInd w:w="0" w:type="dxa"/>
        <w:tblLayout w:type="fixed"/>
        <w:tblCellMar>
          <w:top w:w="0" w:type="dxa"/>
          <w:left w:w="0" w:type="dxa"/>
          <w:bottom w:w="0" w:type="dxa"/>
          <w:right w:w="0" w:type="dxa"/>
        </w:tblCellMar>
      </w:tblPr>
      <w:tblGrid>
        <w:gridCol w:w="68"/>
        <w:gridCol w:w="995"/>
        <w:gridCol w:w="1415"/>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2:</w:t>
            </w:r>
          </w:p>
        </w:tc>
        <w:tc>
          <w:tcPr>
            <w:tcW w:w="1415" w:type="dxa"/>
            <w:tcBorders/>
            <w:vAlign w:val="center"/>
          </w:tcPr>
          <w:p>
            <w:pPr>
              <w:pStyle w:val="TableContents"/>
              <w:bidi w:val="0"/>
              <w:spacing w:before="0" w:after="283"/>
              <w:jc w:val="both"/>
              <w:rPr>
                <w:b/>
              </w:rPr>
            </w:pPr>
            <w:r>
              <w:rPr>
                <w:b/>
              </w:rPr>
              <w:t>LIQUIDITY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is primarily engaged in the Bitcoin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can impact the recoverability of the Company’s digital assets and property, plant and equipment (“PPE”), resulting in impairment losses being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cash flows are expected to remain negative until the Company has another significant revenue stream, as the proceeds from the BTC sold from its mining operations are classified within investing activities. The Company’s current operating budget and future estimated cash flows indicate that the Company will generate positive cash flow in excess of the Company’s cash commitments within the twelve-month period following the date these consolidated financial statements were authorized for issuance (the “twelve-month period”). These analyses are based on BTC market factors including price, difficulty and network hashrate for the twelve-month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BTC Halving event is scheduled to occur once every 210,000 blocks, or roughly every four years, until the total amount of BTC rewards issued reaches 21 million, which is expected to occur around 2140. The most recent BTC Halving event occurred on April 19, 2024, at which time BTC block rewards decreased from 6.25 BTC per block to 3.125 BTC per block. Once 21 million BTC are generated,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 operators. Similar to past BTC Halvings events, the BTC price did not have an immediate favorable impact after the BTC Halving that occurred on April 19, 2024. It took approximately six months for revenue per terahash to return to the level experienced prior to the May 2020 BTC Halving event. Since the BTC halving on April 19, 2024, revenue per terahash has not yet returned to pre-halving levels.</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current BTC prices, the Company’s existing cash resources and the proceeds from sales of its BTC treasury and BTC earned may not be sufficient to fund capital investments to fully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raises additional funds by issuing securities, existing shareholders’ ownership in the Company may be diluted. If the Company is unable to obtain financing, including by issuing securities, or if funds from operations and proceeds from sales of the Company’s BTC holdings are negatively impacted by the BTC price, the Company may have difficulty meeting its payment obligations.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13 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 w:name="a_011"/>
      <w:bookmarkStart w:id="29" w:name="a_011"/>
      <w:bookmarkEnd w:id="29"/>
    </w:p>
    <w:tbl>
      <w:tblPr>
        <w:tblW w:w="10205" w:type="dxa"/>
        <w:jc w:val="left"/>
        <w:tblInd w:w="0" w:type="dxa"/>
        <w:tblLayout w:type="fixed"/>
        <w:tblCellMar>
          <w:top w:w="0" w:type="dxa"/>
          <w:left w:w="0" w:type="dxa"/>
          <w:bottom w:w="0" w:type="dxa"/>
          <w:right w:w="0" w:type="dxa"/>
        </w:tblCellMar>
      </w:tblPr>
      <w:tblGrid>
        <w:gridCol w:w="68"/>
        <w:gridCol w:w="973"/>
        <w:gridCol w:w="9164"/>
      </w:tblGrid>
      <w:tr>
        <w:trPr/>
        <w:tc>
          <w:tcPr>
            <w:tcW w:w="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b/>
              </w:rPr>
            </w:pPr>
            <w:r>
              <w:rPr>
                <w:b/>
              </w:rPr>
              <w:t>NOTE 3:</w:t>
            </w:r>
          </w:p>
        </w:tc>
        <w:tc>
          <w:tcPr>
            <w:tcW w:w="9164" w:type="dxa"/>
            <w:tcBorders/>
            <w:vAlign w:val="center"/>
          </w:tcPr>
          <w:p>
            <w:pPr>
              <w:pStyle w:val="TableContents"/>
              <w:bidi w:val="0"/>
              <w:spacing w:before="0" w:after="283"/>
              <w:jc w:val="both"/>
              <w:rPr>
                <w:b/>
              </w:rPr>
            </w:pPr>
            <w:r>
              <w:rPr>
                <w:b/>
              </w:rPr>
              <w:t>BASIS OF PRESENTATION AND MATERIAL ACCOUNTING POLICY INFORMATION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accounting policies have been applied consistently in the consolidated financial statements for all periods presented unless otherwise stated.</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454"/>
        <w:gridCol w:w="9618"/>
      </w:tblGrid>
      <w:tr>
        <w:trPr/>
        <w:tc>
          <w:tcPr>
            <w:tcW w:w="13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b/>
              </w:rPr>
            </w:pPr>
            <w:r>
              <w:rPr>
                <w:b/>
              </w:rPr>
              <w:t>a.</w:t>
            </w:r>
          </w:p>
        </w:tc>
        <w:tc>
          <w:tcPr>
            <w:tcW w:w="9618" w:type="dxa"/>
            <w:tcBorders/>
            <w:vAlign w:val="center"/>
          </w:tcPr>
          <w:p>
            <w:pPr>
              <w:pStyle w:val="TableContents"/>
              <w:bidi w:val="0"/>
              <w:spacing w:before="0" w:after="283"/>
              <w:jc w:val="both"/>
              <w:rPr>
                <w:b/>
              </w:rPr>
            </w:pPr>
            <w:r>
              <w:rPr>
                <w:b/>
              </w:rPr>
              <w:t>Basis of presentation of the financial statements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have been prepared in accordance with International Financial Reporting Standards as issued by the International Accounting Standards Board (“IFRS Accounting Standards”). These consolidated financial statements were approved and authorized for issue by the Board on March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a cost basis, except for warrant liabilities, derivative financial instruments and digital assets that are measured at fair value. The consolidated financial statements are presented in U.S. dollars and all values are rounded to the nearest thousand, except where otherwise indicated.</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573"/>
        <w:gridCol w:w="9474"/>
      </w:tblGrid>
      <w:tr>
        <w:trPr/>
        <w:tc>
          <w:tcPr>
            <w:tcW w:w="15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b/>
              </w:rPr>
            </w:pPr>
            <w:r>
              <w:rPr>
                <w:b/>
              </w:rPr>
              <w:t>b.</w:t>
            </w:r>
          </w:p>
        </w:tc>
        <w:tc>
          <w:tcPr>
            <w:tcW w:w="9474" w:type="dxa"/>
            <w:tcBorders/>
            <w:vAlign w:val="center"/>
          </w:tcPr>
          <w:p>
            <w:pPr>
              <w:pStyle w:val="TableContents"/>
              <w:bidi w:val="0"/>
              <w:spacing w:before="0" w:after="283"/>
              <w:jc w:val="both"/>
              <w:rPr>
                <w:b/>
              </w:rPr>
            </w:pPr>
            <w:r>
              <w:rPr>
                <w:b/>
              </w:rPr>
              <w:t>Material accounting policy information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Presentation of profit and loss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present the profit or loss items using the function of expense method.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cycle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cycle of the Company is to exchange computational power used for hashing calculations for digital assets and then routinely deposit them into custody, or convert them to fiat currency as needed. The Company’s activities have a one-year operating cycle. Accordingly, the assets and liabilities are classified in the statement of financial position as current assets and liabilities based on the Company’s operating cycle.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Consolidated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consolidate the Company’s subsidiaries from the date of acquisition until the date that control is lost. The subsidiaries are controlled by the Company, where control is achieved when the Company is exposed to or has the right to variable returns from its involvement with the investee and has the current ability to direct the activities of the investee that significantly affect the investee’s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and its subsidiaries are prepared as of the same dates and periods. The consolidated financial statements are prepared using uniform accounting policies by all subsidiaries of the Company. Significant intercompany balances and transactions and gains or losses resulting from intercompany transactions are eliminated in full in the consolidated financial statements.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14 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both"/>
              <w:rPr/>
            </w:pPr>
            <w:r>
              <w:rPr>
                <w:b/>
              </w:rPr>
              <w:t xml:space="preserve">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tbl>
      <w:tblPr>
        <w:tblW w:w="5000" w:type="pct"/>
        <w:jc w:val="left"/>
        <w:tblInd w:w="0" w:type="dxa"/>
        <w:tblLayout w:type="fixed"/>
        <w:tblCellMar>
          <w:top w:w="0" w:type="dxa"/>
          <w:left w:w="0" w:type="dxa"/>
          <w:bottom w:w="0" w:type="dxa"/>
          <w:right w:w="0" w:type="dxa"/>
        </w:tblCellMar>
      </w:tblPr>
      <w:tblGrid>
        <w:gridCol w:w="143"/>
        <w:gridCol w:w="360"/>
        <w:gridCol w:w="9702"/>
      </w:tblGrid>
      <w:tr>
        <w:trPr/>
        <w:tc>
          <w:tcPr>
            <w:tcW w:w="1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i/>
              </w:rPr>
            </w:pPr>
            <w:r>
              <w:rPr>
                <w:i/>
              </w:rPr>
              <w:t>i.</w:t>
            </w:r>
          </w:p>
        </w:tc>
        <w:tc>
          <w:tcPr>
            <w:tcW w:w="9702" w:type="dxa"/>
            <w:tcBorders/>
            <w:vAlign w:val="center"/>
          </w:tcPr>
          <w:p>
            <w:pPr>
              <w:pStyle w:val="TableContents"/>
              <w:bidi w:val="0"/>
              <w:spacing w:before="0" w:after="283"/>
              <w:jc w:val="both"/>
              <w:rPr>
                <w:i/>
              </w:rPr>
            </w:pPr>
            <w:r>
              <w:rPr>
                <w:i/>
              </w:rPr>
              <w:t>Functional currency and presentation currency</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presented in U.S. Dollars, which is the functional currency of the parent company, as well as the functional currency of Backbone, Backbone Argentina, Backbone Paraguay, Backbone Mining, Orion, Backbone Sharon, Backbone Paso Pe, Backbone Yguazu and Backbone Paraguay LP. The functional currency is the currency that best reflects the economic environment in which the Company operates and conducts its transactions. The Company determines the functional currency of each subsidiary.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427"/>
        <w:gridCol w:w="9653"/>
      </w:tblGrid>
      <w:tr>
        <w:trPr/>
        <w:tc>
          <w:tcPr>
            <w:tcW w:w="1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i/>
              </w:rPr>
            </w:pPr>
            <w:r>
              <w:rPr>
                <w:i/>
              </w:rPr>
              <w:t>ii.</w:t>
            </w:r>
          </w:p>
        </w:tc>
        <w:tc>
          <w:tcPr>
            <w:tcW w:w="9653" w:type="dxa"/>
            <w:tcBorders/>
            <w:vAlign w:val="center"/>
          </w:tcPr>
          <w:p>
            <w:pPr>
              <w:pStyle w:val="TableContents"/>
              <w:bidi w:val="0"/>
              <w:spacing w:before="0" w:after="283"/>
              <w:jc w:val="both"/>
              <w:rPr>
                <w:i/>
              </w:rPr>
            </w:pPr>
            <w:r>
              <w:rPr>
                <w:i/>
              </w:rPr>
              <w:t>Transactions, assets and liabilities in foreign currency</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foreign currency are initially recorded at the exchange rate in effect on the transaction date. Monetary assets and liabilities in foreign currency are subsequently translated into the functional currency at the exchange rate in effect at each reporting date. Exchange rate differences, other than those capitalized to qualifying assets or carried to equity in hedging transactions, are included in profit or loss. Non-monetary assets and liabilities in foreign currency stated at cost are translated at the exchange rate in effect at the transaction date. Non-monetary assets and liabilities in foreign currency carried at fair value are translated at the exchange rate at the date on which the fair value was determined.</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15 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both"/>
              <w:rPr/>
            </w:pPr>
            <w:r>
              <w:rPr>
                <w:b/>
              </w:rPr>
              <w:t xml:space="preserve">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is recognized when control over the goods or services is transferred to the customer. The transaction price is the amount of the consideration that is expected to be received based on the contract terms, excluding amounts collected on behalf of third parties (such as taxes). The following are the specific revenue recognition criteria which must be met before revenue is recognized:</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26"/>
        <w:gridCol w:w="9889"/>
      </w:tblGrid>
      <w:tr>
        <w:trPr/>
        <w:tc>
          <w:tcPr>
            <w:tcW w:w="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i/>
              </w:rPr>
            </w:pPr>
            <w:r>
              <w:rPr>
                <w:i/>
              </w:rPr>
              <w:t>i.</w:t>
            </w:r>
          </w:p>
        </w:tc>
        <w:tc>
          <w:tcPr>
            <w:tcW w:w="9889" w:type="dxa"/>
            <w:tcBorders/>
            <w:vAlign w:val="center"/>
          </w:tcPr>
          <w:p>
            <w:pPr>
              <w:pStyle w:val="TableContents"/>
              <w:bidi w:val="0"/>
              <w:spacing w:before="0" w:after="283"/>
              <w:jc w:val="both"/>
              <w:rPr>
                <w:i/>
              </w:rPr>
            </w:pPr>
            <w:r>
              <w:rPr>
                <w:i/>
              </w:rPr>
              <w:t>Revenues from the sale of computational power used for hashing calculations</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arrangements with Mining pool operators, which are the Company’s customers, and has undertaken the single performance obligation of providing a service to perform hash calculations for the Mining pool operators, which is an output of the Company’s ordinary business activities, in exchange for non-cash consideration in the form of Bitcoin, which is variable consideration. The Bitcoin are calculated based on a formula which, in turn, is based on the hashrate contributed by the Company’s provided computing power used for hashing calculations allocated to the Mining pool operators, assessed over a 24-hour period, and distributed daily based on the FPPS formula. The Company assesses the estimated amount of the variable non-cash consideration to which it expects to be entitled for providing computational power used for hashing calculations at contract inception and subsequently measures if it is highly probable that a significant reversal in the amount of cumulative revenue recognized will not occur. The uncertainties regarding the daily variable consideration to which the Company is entitled for providing its computational power used for hashing calculations are no longer constrained at 23:59:59 UTC regardless of the timing of the BTC received. The amount earned is calculated based on the Company’s computing power used for hashing calculations provided to the Mining pool operators and the estimated (i) block subsidies and (ii) daily average transaction fees which the Mining pool operators expect to earn, less (iii) a Mining pool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Block subsidies refers to the block reward that are expected to be generated on the BTC network as a whole. The fee earned by the Company is first calculated by dividing (a) the total amount of hashrate the Company provides to the Mining pool operator, by (b) the total BTC network’s implied hashrate (as determined by the BTC network difficulty), multiplied by (c) the total amount of block subsidies that are expected to be generated on the BTC network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Transaction fees refers to the total fees paid by users of the network to execute transactions. The fee paid by the Mining pool operator to the Company is further calculated by 1 plus (a) the total amount of transaction fees that are actually generated on the BTC network as a whole less the 3 largest and 3 smallest blocks, divided by (b) the total amount of block subsidies that are actually generated on the BTC network as a whole less the 3 largest and 3 smallest blocks, multiplied by (c) the Company’s fee earned as calculated in (i) above. The Company is entitled to its relative share of consideration even if a block is not successfully added to the blockchain by the mining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Mining pool discount refers to the discount applied to the total amount earned based on the FPPS formula otherwise attributed to computing power service providers for their sale of computing power used for hashing calculations as defined in the rate schedule of the agreement with the Mining pool operator.</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16 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both"/>
              <w:rPr/>
            </w:pPr>
            <w:r>
              <w:rPr>
                <w:b/>
              </w:rPr>
              <w:t xml:space="preserve">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Revenue recognition </w:t>
      </w:r>
      <w:r>
        <w:rPr>
          <w:rFonts w:ascii="Times New Roman;Times;Serif" w:hAnsi="Times New Roman;Times;Serif"/>
          <w:b w:val="false"/>
          <w:i w:val="false"/>
          <w:caps w:val="false"/>
          <w:smallCaps w:val="false"/>
          <w:sz w:val="20"/>
        </w:rPr>
        <w:t>(Continued)</w:t>
      </w:r>
    </w:p>
    <w:tbl>
      <w:tblPr>
        <w:tblW w:w="5000" w:type="pct"/>
        <w:jc w:val="left"/>
        <w:tblInd w:w="0" w:type="dxa"/>
        <w:tblLayout w:type="fixed"/>
        <w:tblCellMar>
          <w:top w:w="0" w:type="dxa"/>
          <w:left w:w="0" w:type="dxa"/>
          <w:bottom w:w="0" w:type="dxa"/>
          <w:right w:w="0" w:type="dxa"/>
        </w:tblCellMar>
      </w:tblPr>
      <w:tblGrid>
        <w:gridCol w:w="78"/>
        <w:gridCol w:w="195"/>
        <w:gridCol w:w="9932"/>
      </w:tblGrid>
      <w:tr>
        <w:trPr/>
        <w:tc>
          <w:tcPr>
            <w:tcW w:w="7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i/>
              </w:rPr>
            </w:pPr>
            <w:r>
              <w:rPr>
                <w:i/>
              </w:rPr>
              <w:t>i.</w:t>
            </w:r>
          </w:p>
        </w:tc>
        <w:tc>
          <w:tcPr>
            <w:tcW w:w="9932" w:type="dxa"/>
            <w:tcBorders/>
            <w:vAlign w:val="center"/>
          </w:tcPr>
          <w:p>
            <w:pPr>
              <w:pStyle w:val="TableContents"/>
              <w:bidi w:val="0"/>
              <w:spacing w:before="0" w:after="283"/>
              <w:jc w:val="both"/>
              <w:rPr/>
            </w:pPr>
            <w:r>
              <w:rPr>
                <w:i/>
              </w:rPr>
              <w:t xml:space="preserve">Revenues from the sale of computational power used for hashing calculations </w:t>
            </w:r>
            <w:r>
              <w:rPr/>
              <w:t>(Continued)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entitled to the fee from the Mining pool operators as calculated above regardless of the actual performance of the Mining pool operators. Therefore, even if the Mining pool operators do not successfully add any block to the blockchain in a given contract period, the fee remains payable by the Mining pool operators to the Company. Accordingly, the Company is not sharing in the earnings of the Mining pool operators. The Company’s enforceable right to compensation begins when, and continues as long as, the Company provides its services to the Mining pool operators, and the Company decides when to provide these services under the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agreements with the Mining pool operators provide the Mining pool operators and the Company with the enforceable right to terminate the contract at any time without substantively compensating the other party for the termination. Upon termination, the Mining pool operators are required to pay the Company the amount due related to previously satisfied performance obligations. As a result, the Company has determined that the duration of the contract is less than 24 hours and the contract is continuously renewed throughout the day. The Company has also determined that the Mining pool operators’ renewal right is not a material right as the terms, conditions, and compensation amounts are at then-current market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Bitcoin earned is received in full and can be paid in fractions of cryptocurrency. Revenues from providing Bitcoin a service to perform hash calculations for the Mining pool operators are recognized upon delivery of the service (i.e., when the Mining pool operators obtain control of the hash calculations) over a 24-hour period. The Company updates the estimated transaction price of the non-cash consideration received at its fair market value. Management estimates fair value daily based on the quantity of Bitcoin received multiplied by the price quoted from Coinbase Inc. (“Coinbase Prime”) on the day it was received. Management considers the prices quoted on Coinbase Prime to be a level 1 input under IFRS 13,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 Revenue from electrical services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through Volta, sells electrical components and provides electrician installation of those components as well as repair and maintenance services. Revenues are recognized according to the stage of completion of the transaction as of the balance sheet date. The stage of completion is estimated based on the costs incurred for the transaction compared to the estimated cost of completion for the project. Under this method, revenues are recognized in the reporting period in which the services are provided. In the event that the outcome of the contract cannot be measured reliably, the revenues are recognized to the extent of the recoverable expenses incurred.</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17 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both"/>
              <w:rPr/>
            </w:pPr>
            <w:r>
              <w:rPr>
                <w:b/>
              </w:rPr>
              <w:t xml:space="preserve">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Cryptocurrency on hand at the end of a reporting period, if any, is classified as digital assets, and is accounted for under IAS 38, </w:t>
      </w:r>
      <w:r>
        <w:rPr>
          <w:rFonts w:ascii="Times New Roman;Times;Serif" w:hAnsi="Times New Roman;Times;Serif"/>
          <w:b w:val="false"/>
          <w:i/>
          <w:caps w:val="false"/>
          <w:smallCaps w:val="false"/>
          <w:sz w:val="20"/>
        </w:rPr>
        <w:t>Intangible Assets</w:t>
      </w:r>
      <w:r>
        <w:rPr>
          <w:rFonts w:ascii="Times New Roman;Times;Serif" w:hAnsi="Times New Roman;Times;Serif"/>
          <w:b w:val="false"/>
          <w:i w:val="false"/>
          <w:caps w:val="false"/>
          <w:smallCaps w:val="false"/>
          <w:sz w:val="20"/>
        </w:rPr>
        <w:t>, as an intangible asset with an indefinite useful life initially measured at cost, deemed to be the fair value upon receipt as described above, and subsequently measured under the revaluation model. Under the revaluation model, increases in the cryptocurrency’s carrying amount, determined as the excess of fair value on revaluation over the weighted average cost, are recognized in other comprehensive income, except to the extent that they reverse a revaluation decrease previously recognized in profit or loss. Decreases are recognized in profit or loss, except to the extent that they reverse a revaluation increase previously recognized in other comprehensive income. Once the cryptocurrency is sold, the revaluation increase related to it is transferred from revaluation surplus to retained earnings. The Company revalues its cryptocurrency on hand on a monthly basis and following any significant fair value fluctuations. The fair value of cryptocurrency on hand at the end of the reporting period is calculated as the quantity of cryptocurrency on hand multiplied by the price quoted on Coinbase Prime as of the reporting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reports cryptocurrency on hand at the end of the reporting period as digital assets, which are classified as current assets as Management has determined that the cryptocurrency on hand at the end of the reporting period has markets with sufficient liquidity to allow conversion within the Company’s normal operating cycle and the Company expects to realize the digital asset within twelve months after the reporting period. The Company presents cryptocurrency collateralized separate from unencumbered cryptocurrency.</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18 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both"/>
              <w:rPr/>
            </w:pPr>
            <w:r>
              <w:rPr>
                <w:b/>
              </w:rPr>
              <w:t xml:space="preserve">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for the year comprises current and deferred taxes. These taxes are recognized in profit or loss except to the extent they relate to items which are recognized in other comprehensive income or loss or directly in shareholders’ equity.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7"/>
        <w:gridCol w:w="1069"/>
        <w:gridCol w:w="8709"/>
      </w:tblGrid>
      <w:tr>
        <w:trPr/>
        <w:tc>
          <w:tcPr>
            <w:tcW w:w="42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i/>
              </w:rPr>
            </w:pPr>
            <w:r>
              <w:rPr>
                <w:i/>
              </w:rPr>
              <w:t>i.</w:t>
            </w:r>
          </w:p>
        </w:tc>
        <w:tc>
          <w:tcPr>
            <w:tcW w:w="8709" w:type="dxa"/>
            <w:tcBorders/>
            <w:vAlign w:val="center"/>
          </w:tcPr>
          <w:p>
            <w:pPr>
              <w:pStyle w:val="TableContents"/>
              <w:bidi w:val="0"/>
              <w:spacing w:before="0" w:after="283"/>
              <w:jc w:val="both"/>
              <w:rPr>
                <w:i/>
              </w:rPr>
            </w:pPr>
            <w:r>
              <w:rPr>
                <w:i/>
              </w:rPr>
              <w:t>Current taxes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tax liability is measured using the tax rates and tax laws that have been enacted or substantively enacted by the reporting date as well as adjustments required in connection with tax liabilities in respect of previous years.</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8"/>
        <w:gridCol w:w="1312"/>
        <w:gridCol w:w="8505"/>
      </w:tblGrid>
      <w:tr>
        <w:trPr/>
        <w:tc>
          <w:tcPr>
            <w:tcW w:w="38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i/>
              </w:rPr>
            </w:pPr>
            <w:r>
              <w:rPr>
                <w:i/>
              </w:rPr>
              <w:t>ii.</w:t>
            </w:r>
          </w:p>
        </w:tc>
        <w:tc>
          <w:tcPr>
            <w:tcW w:w="8505" w:type="dxa"/>
            <w:tcBorders/>
            <w:vAlign w:val="center"/>
          </w:tcPr>
          <w:p>
            <w:pPr>
              <w:pStyle w:val="TableContents"/>
              <w:bidi w:val="0"/>
              <w:spacing w:before="0" w:after="283"/>
              <w:jc w:val="both"/>
              <w:rPr>
                <w:i/>
              </w:rPr>
            </w:pPr>
            <w:r>
              <w:rPr>
                <w:i/>
              </w:rPr>
              <w:t>Deferred taxes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computed in respect of temporary differences between the carrying amounts in the financial statements and the amounts attributed for tax purposes. Deferred taxes are measured at the tax rate that is expected to apply when the asset is realized, or the liability is settled, based on tax laws that have been enacted or substantively enacted by the reporting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reviewed at each reporting date and reduced to the extent that it is not probable they will be utilized. Deductible carryforward losses and temporary differences for which deferred tax assets had not been recognized are reviewed at each reporting date and a respective deferred tax asset is recognized to the extent that their utilization is probable.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that would apply in the event of the disposal of investments in investees have not been taken into account in computing deferred taxes as long as the disposal of the investments in investees is not probable in the foreseeable future.</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19 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both"/>
              <w:rPr/>
            </w:pPr>
            <w:r>
              <w:rPr>
                <w:b/>
              </w:rPr>
              <w:t xml:space="preserve">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at contract inception whether a contract is, or contains, a lease. The determination is based on whether the contract conveys the right to control the use of an identified asset for a period of time in exchange for consideration.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 a lessee applies a single recognition and measurement approach for all leases except for short-term leases and leases of low-value assets. The Company recognizes lease liabilities to make lease payments and right-of-use assets (“ROU assets”) representing the right to use the underlying assets.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5"/>
        <w:gridCol w:w="1190"/>
        <w:gridCol w:w="8540"/>
      </w:tblGrid>
      <w:tr>
        <w:trPr/>
        <w:tc>
          <w:tcPr>
            <w:tcW w:w="47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i/>
              </w:rPr>
            </w:pPr>
            <w:r>
              <w:rPr>
                <w:i/>
              </w:rPr>
              <w:t>i.</w:t>
            </w:r>
          </w:p>
        </w:tc>
        <w:tc>
          <w:tcPr>
            <w:tcW w:w="8540" w:type="dxa"/>
            <w:tcBorders/>
            <w:vAlign w:val="center"/>
          </w:tcPr>
          <w:p>
            <w:pPr>
              <w:pStyle w:val="TableContents"/>
              <w:bidi w:val="0"/>
              <w:spacing w:before="0" w:after="283"/>
              <w:jc w:val="both"/>
              <w:rPr>
                <w:i/>
              </w:rPr>
            </w:pPr>
            <w:r>
              <w:rPr>
                <w:i/>
              </w:rPr>
              <w:t>ROU assets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ROU assets at the commencement date of the lease (i.e., the date the underlying asset is available for use). ROU assets are measured at cost, less any accumulated depreciation and impairment losses, and adjusted for any remeasurement of lease liabilities. The cost of ROU assets includes the amount of lease liabilities recognized, initial direct costs incurred, and lease payments made at or before the commencement date less any lease incentives received. ROU assets are depreciated over the shorter of the lease term and the estimated useful lives of the assets, as follows:</w:t>
      </w:r>
    </w:p>
    <w:p>
      <w:pPr>
        <w:pStyle w:val="TextBody"/>
        <w:bidi w:val="0"/>
        <w:spacing w:before="0" w:after="0"/>
        <w:jc w:val="both"/>
        <w:rPr>
          <w:caps w:val="false"/>
          <w:smallCaps w:val="false"/>
        </w:rPr>
      </w:pPr>
      <w:r>
        <w:rPr>
          <w:caps w:val="false"/>
          <w:smallCaps w:val="false"/>
        </w:rPr>
        <w:t> </w:t>
      </w:r>
    </w:p>
    <w:tbl>
      <w:tblPr>
        <w:tblW w:w="5205" w:type="dxa"/>
        <w:jc w:val="left"/>
        <w:tblInd w:w="0" w:type="dxa"/>
        <w:tblLayout w:type="fixed"/>
        <w:tblCellMar>
          <w:top w:w="38" w:type="dxa"/>
          <w:left w:w="0" w:type="dxa"/>
          <w:bottom w:w="28" w:type="dxa"/>
          <w:right w:w="0" w:type="dxa"/>
        </w:tblCellMar>
      </w:tblPr>
      <w:tblGrid>
        <w:gridCol w:w="1580"/>
        <w:gridCol w:w="1835"/>
        <w:gridCol w:w="1790"/>
      </w:tblGrid>
      <w:tr>
        <w:trPr/>
        <w:tc>
          <w:tcPr>
            <w:tcW w:w="158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 Class</w:t>
            </w:r>
          </w:p>
        </w:tc>
        <w:tc>
          <w:tcPr>
            <w:tcW w:w="183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Depreciation Method</w:t>
            </w:r>
          </w:p>
        </w:tc>
        <w:tc>
          <w:tcPr>
            <w:tcW w:w="179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Depreciation period</w:t>
            </w:r>
          </w:p>
        </w:tc>
      </w:tr>
      <w:tr>
        <w:trPr/>
        <w:tc>
          <w:tcPr>
            <w:tcW w:w="15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Leased premises</w:t>
            </w:r>
          </w:p>
        </w:tc>
        <w:tc>
          <w:tcPr>
            <w:tcW w:w="183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179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 years</w:t>
            </w:r>
          </w:p>
        </w:tc>
      </w:tr>
      <w:tr>
        <w:trPr/>
        <w:tc>
          <w:tcPr>
            <w:tcW w:w="1580"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 and other</w:t>
            </w:r>
          </w:p>
        </w:tc>
        <w:tc>
          <w:tcPr>
            <w:tcW w:w="183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1790"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 years</w:t>
            </w:r>
          </w:p>
        </w:tc>
      </w:tr>
      <w:tr>
        <w:trPr/>
        <w:tc>
          <w:tcPr>
            <w:tcW w:w="1580" w:type="dxa"/>
            <w:tcBorders>
              <w:bottom w:val="single" w:sz="12"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BVVE</w:t>
            </w:r>
          </w:p>
        </w:tc>
        <w:tc>
          <w:tcPr>
            <w:tcW w:w="1835" w:type="dxa"/>
            <w:tcBorders>
              <w:bottom w:val="single" w:sz="12"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1790" w:type="dxa"/>
            <w:tcBorders>
              <w:bottom w:val="single" w:sz="12"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years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ownership of the leased asset transfers to the Company at the end of the lease term or the cost reflects the exercise of a purchase option, the asset is depreciated over the estimated useful life of the asset and is classified with property plant and equipment. Refer to the accounting policies of property, plant and equipment in this note. The ROU assets are also subject to impairment. Refer to the accounting policies of impairment of non-financial assets in this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4b for details regarding the change in useful life and depreciation method.</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20 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left"/>
              <w:rPr/>
            </w:pPr>
            <w:r>
              <w:rPr>
                <w:b/>
              </w:rPr>
              <w:t>Material accounting policy information</w:t>
            </w:r>
            <w:r>
              <w:rPr/>
              <w:t xml:space="preserve"> (Continued)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Leases </w:t>
      </w:r>
      <w:r>
        <w:rPr>
          <w:rFonts w:ascii="Times New Roman;Times;Serif" w:hAnsi="Times New Roman;Times;Serif"/>
          <w:b w:val="false"/>
          <w:i w:val="false"/>
          <w:caps w:val="false"/>
          <w:smallCaps w:val="false"/>
          <w:sz w:val="20"/>
        </w:rPr>
        <w:t>(Continued)</w:t>
      </w:r>
    </w:p>
    <w:tbl>
      <w:tblPr>
        <w:tblW w:w="5000" w:type="pct"/>
        <w:jc w:val="left"/>
        <w:tblInd w:w="0" w:type="dxa"/>
        <w:tblLayout w:type="fixed"/>
        <w:tblCellMar>
          <w:top w:w="0" w:type="dxa"/>
          <w:left w:w="0" w:type="dxa"/>
          <w:bottom w:w="0" w:type="dxa"/>
          <w:right w:w="0" w:type="dxa"/>
        </w:tblCellMar>
      </w:tblPr>
      <w:tblGrid>
        <w:gridCol w:w="372"/>
        <w:gridCol w:w="1260"/>
        <w:gridCol w:w="8573"/>
      </w:tblGrid>
      <w:tr>
        <w:trPr/>
        <w:tc>
          <w:tcPr>
            <w:tcW w:w="37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i/>
              </w:rPr>
            </w:pPr>
            <w:r>
              <w:rPr>
                <w:i/>
              </w:rPr>
              <w:t>ii.</w:t>
            </w:r>
          </w:p>
        </w:tc>
        <w:tc>
          <w:tcPr>
            <w:tcW w:w="8573" w:type="dxa"/>
            <w:tcBorders/>
            <w:vAlign w:val="center"/>
          </w:tcPr>
          <w:p>
            <w:pPr>
              <w:pStyle w:val="TableContents"/>
              <w:bidi w:val="0"/>
              <w:spacing w:before="0" w:after="283"/>
              <w:jc w:val="both"/>
              <w:rPr>
                <w:i/>
              </w:rPr>
            </w:pPr>
            <w:r>
              <w:rPr>
                <w:i/>
              </w:rPr>
              <w:t>Lease liabilities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of the lease, the Company recognizes lease liabilities measured at the present value of lease payments to be made over the lease term. The lease payments include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terminating the lease if the lease term reflects the Company exercising the option to terminate. Variable lease payments that do not depend on an index or a rate are recognized as expenses in the period in which the event or condition that triggers the payment occurs.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the present value of lease payments, the Company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593"/>
        <w:gridCol w:w="9473"/>
      </w:tblGrid>
      <w:tr>
        <w:trPr/>
        <w:tc>
          <w:tcPr>
            <w:tcW w:w="13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i/>
              </w:rPr>
            </w:pPr>
            <w:r>
              <w:rPr>
                <w:i/>
              </w:rPr>
              <w:t>iii.</w:t>
            </w:r>
          </w:p>
        </w:tc>
        <w:tc>
          <w:tcPr>
            <w:tcW w:w="9473" w:type="dxa"/>
            <w:tcBorders/>
            <w:vAlign w:val="center"/>
          </w:tcPr>
          <w:p>
            <w:pPr>
              <w:pStyle w:val="TableContents"/>
              <w:bidi w:val="0"/>
              <w:spacing w:before="0" w:after="283"/>
              <w:jc w:val="both"/>
              <w:rPr>
                <w:i/>
              </w:rPr>
            </w:pPr>
            <w:r>
              <w:rPr>
                <w:i/>
              </w:rPr>
              <w:t>Short-term leases and leases of low value assets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short-term lease recognition exemption to its short-term leases of machinery, equipment and data centers (i.e., those leases that have a lease term of 12 months or less from the commencement date and do not contain a purchase option). The Company also applies the lease of low-value assets recognition exemption to leases of office equipment that are considered to be low value. Lease payments on short-term leases and leases of low-value assets are recognized as an expense on a straight-line basis over the lease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held for sale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Non-currents assets or a disposal group are classified as held for sale if their carrying amount is expected to be recovered principally through a sale transaction rather than through continuing use. For this to be the case, the assets must be available for immediate sale in their present condition, the Company must be committed to their sale, there must be a program to locate a buyer, and it is highly probable that a sale will be completed within one year from the date of classification. From the date of such initial classification, the assets are no longer depreciated and are presented separately as current assets at the lower of their carrying amount and fair value less costs to sell. The gain or loss on disposition of assets held for sale will be presented separately in other comprehensive income (loss) only when it qualifies as part of discontinued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 entity no longer plans to sell an asset in a sale transaction, it ceases the classification of the asset as held for sale and measures it at the lower of its carrying amount had it not been classified as held for sale or the recoverable amount of the asset on the date of the decision not to sell the asset.</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21 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left"/>
              <w:rPr/>
            </w:pPr>
            <w:r>
              <w:rPr>
                <w:b/>
              </w:rPr>
              <w:t>Material accounting policy information</w:t>
            </w:r>
            <w:r>
              <w:rPr/>
              <w:t xml:space="preserve"> (Continued)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Plant and Equipment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carried at cost, including directly attributable costs, less accumulated depreciation, accumulated impairment losses and any related investment grants, and excluding day-to-day servicing expenses. Cost includes spare parts and auxiliary equipment that are used in connection with plant and equipment. The cost of an item of property, plant and equipment includes the initial estimate of the costs of dismantling and removing the item and restoring the site on which the item is located.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depreciated as follows:</w:t>
      </w:r>
    </w:p>
    <w:p>
      <w:pPr>
        <w:pStyle w:val="TextBody"/>
        <w:bidi w:val="0"/>
        <w:spacing w:before="0" w:after="0"/>
        <w:jc w:val="both"/>
        <w:rPr>
          <w:caps w:val="false"/>
          <w:smallCaps w:val="false"/>
        </w:rPr>
      </w:pPr>
      <w:r>
        <w:rPr>
          <w:caps w:val="false"/>
          <w:smallCaps w:val="false"/>
        </w:rPr>
        <w:t> </w:t>
      </w:r>
    </w:p>
    <w:tbl>
      <w:tblPr>
        <w:tblW w:w="9465" w:type="dxa"/>
        <w:jc w:val="left"/>
        <w:tblInd w:w="0" w:type="dxa"/>
        <w:tblLayout w:type="fixed"/>
        <w:tblCellMar>
          <w:top w:w="38" w:type="dxa"/>
          <w:left w:w="0" w:type="dxa"/>
          <w:bottom w:w="28" w:type="dxa"/>
          <w:right w:w="0" w:type="dxa"/>
        </w:tblCellMar>
      </w:tblPr>
      <w:tblGrid>
        <w:gridCol w:w="2210"/>
        <w:gridCol w:w="1835"/>
        <w:gridCol w:w="5420"/>
      </w:tblGrid>
      <w:tr>
        <w:trPr/>
        <w:tc>
          <w:tcPr>
            <w:tcW w:w="221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 Class</w:t>
            </w:r>
          </w:p>
        </w:tc>
        <w:tc>
          <w:tcPr>
            <w:tcW w:w="183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Depreciation Method</w:t>
            </w:r>
          </w:p>
        </w:tc>
        <w:tc>
          <w:tcPr>
            <w:tcW w:w="542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Depreciation period</w:t>
            </w:r>
          </w:p>
        </w:tc>
      </w:tr>
      <w:tr>
        <w:trPr/>
        <w:tc>
          <w:tcPr>
            <w:tcW w:w="2210"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BVVE</w:t>
            </w:r>
          </w:p>
        </w:tc>
        <w:tc>
          <w:tcPr>
            <w:tcW w:w="1835" w:type="dxa"/>
            <w:tcBorders/>
            <w:tcMar>
              <w:top w:w="0" w:type="dxa"/>
              <w:bottom w:w="0" w:type="dxa"/>
            </w:tcMar>
            <w:vAlign w:val="center"/>
          </w:tcPr>
          <w:p>
            <w:pPr>
              <w:pStyle w:val="TableContents"/>
              <w:bidi w:val="0"/>
              <w:spacing w:before="0" w:after="283"/>
              <w:jc w:val="left"/>
              <w:rPr/>
            </w:pPr>
            <w:r>
              <w:rPr/>
              <w:t> </w:t>
            </w:r>
          </w:p>
        </w:tc>
        <w:tc>
          <w:tcPr>
            <w:tcW w:w="5420" w:type="dxa"/>
            <w:tcBorders/>
            <w:tcMar>
              <w:top w:w="0" w:type="dxa"/>
              <w:bottom w:w="0" w:type="dxa"/>
            </w:tcMar>
            <w:vAlign w:val="center"/>
          </w:tcPr>
          <w:p>
            <w:pPr>
              <w:pStyle w:val="TableContents"/>
              <w:bidi w:val="0"/>
              <w:spacing w:before="0" w:after="283"/>
              <w:jc w:val="left"/>
              <w:rPr/>
            </w:pPr>
            <w:r>
              <w:rPr/>
              <w:t> </w:t>
            </w:r>
          </w:p>
        </w:tc>
      </w:tr>
      <w:tr>
        <w:trPr/>
        <w:tc>
          <w:tcPr>
            <w:tcW w:w="221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Miners</w:t>
            </w:r>
          </w:p>
        </w:tc>
        <w:tc>
          <w:tcPr>
            <w:tcW w:w="183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542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years</w:t>
            </w:r>
          </w:p>
        </w:tc>
      </w:tr>
      <w:tr>
        <w:trPr/>
        <w:tc>
          <w:tcPr>
            <w:tcW w:w="2210"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Mining-related equipment</w:t>
            </w:r>
          </w:p>
        </w:tc>
        <w:tc>
          <w:tcPr>
            <w:tcW w:w="183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5420"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years</w:t>
            </w:r>
          </w:p>
        </w:tc>
      </w:tr>
      <w:tr>
        <w:trPr/>
        <w:tc>
          <w:tcPr>
            <w:tcW w:w="221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Mineral assets *</w:t>
            </w:r>
          </w:p>
        </w:tc>
        <w:tc>
          <w:tcPr>
            <w:tcW w:w="183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542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2210"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183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5420"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Shorter of the lease term and the expected life of the improvement</w:t>
            </w:r>
          </w:p>
        </w:tc>
      </w:tr>
      <w:tr>
        <w:trPr/>
        <w:tc>
          <w:tcPr>
            <w:tcW w:w="221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Buildings</w:t>
            </w:r>
          </w:p>
        </w:tc>
        <w:tc>
          <w:tcPr>
            <w:tcW w:w="183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Declining balance</w:t>
            </w:r>
          </w:p>
        </w:tc>
        <w:tc>
          <w:tcPr>
            <w:tcW w:w="542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r>
      <w:tr>
        <w:trPr/>
        <w:tc>
          <w:tcPr>
            <w:tcW w:w="2210" w:type="dxa"/>
            <w:tcBorders>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1835" w:type="dxa"/>
            <w:tcBorders>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Declining balance</w:t>
            </w:r>
          </w:p>
        </w:tc>
        <w:tc>
          <w:tcPr>
            <w:tcW w:w="5420" w:type="dxa"/>
            <w:tcBorders>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From the acquisition of mineral assets in 2018 until their disposal during the year ended December 31, 2023, there has been no production.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derecognized. Refer to Note 4b for details regarding the change in useful life and depreciation method.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acquired software and access rights to electricity. Intangible assets acquired separately are initially measured at cost plus direct acquisition costs. Intangible assets acquired in business combinations are measured at their fair value as of the acquisition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other than access rights to electricity, with a finite useful life are amortized over their useful lives using the sum of years method. Access rights to electricity are amortized using the straight-line method over the lease term of the data center or the access rights period. Intangible assets are reviewed for impairment whenever there is an indication that the asset may be impaired. The amortization period and the amortization method for an intangible asset are reviewed at least at each year end.</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22 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left"/>
              <w:rPr/>
            </w:pPr>
            <w:r>
              <w:rPr>
                <w:b/>
              </w:rPr>
              <w:t>Material accounting policy information</w:t>
            </w:r>
            <w:r>
              <w:rPr/>
              <w:t xml:space="preserve"> (Continued)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Intangible assets </w:t>
      </w:r>
      <w:r>
        <w:rPr>
          <w:rFonts w:ascii="Times New Roman;Times;Serif" w:hAnsi="Times New Roman;Times;Serif"/>
          <w:b w:val="false"/>
          <w:i w:val="false"/>
          <w:caps w:val="false"/>
          <w:smallCaps w:val="false"/>
          <w:sz w:val="20"/>
        </w:rPr>
        <w:t>(Continued)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amortized as follows:</w:t>
      </w:r>
    </w:p>
    <w:p>
      <w:pPr>
        <w:pStyle w:val="TextBody"/>
        <w:bidi w:val="0"/>
        <w:spacing w:before="0" w:after="0"/>
        <w:jc w:val="left"/>
        <w:rPr>
          <w:caps w:val="false"/>
          <w:smallCaps w:val="false"/>
        </w:rPr>
      </w:pPr>
      <w:r>
        <w:rPr>
          <w:caps w:val="false"/>
          <w:smallCaps w:val="false"/>
        </w:rPr>
        <w:t> </w:t>
      </w:r>
    </w:p>
    <w:tbl>
      <w:tblPr>
        <w:tblW w:w="8640" w:type="dxa"/>
        <w:jc w:val="left"/>
        <w:tblInd w:w="0" w:type="dxa"/>
        <w:tblLayout w:type="fixed"/>
        <w:tblCellMar>
          <w:top w:w="38" w:type="dxa"/>
          <w:left w:w="0" w:type="dxa"/>
          <w:bottom w:w="28" w:type="dxa"/>
          <w:right w:w="0" w:type="dxa"/>
        </w:tblCellMar>
      </w:tblPr>
      <w:tblGrid>
        <w:gridCol w:w="2210"/>
        <w:gridCol w:w="1880"/>
        <w:gridCol w:w="4550"/>
      </w:tblGrid>
      <w:tr>
        <w:trPr/>
        <w:tc>
          <w:tcPr>
            <w:tcW w:w="221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 Class</w:t>
            </w:r>
          </w:p>
        </w:tc>
        <w:tc>
          <w:tcPr>
            <w:tcW w:w="188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Amortization Method</w:t>
            </w:r>
          </w:p>
        </w:tc>
        <w:tc>
          <w:tcPr>
            <w:tcW w:w="455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Amortization period</w:t>
            </w:r>
          </w:p>
        </w:tc>
      </w:tr>
      <w:tr>
        <w:trPr/>
        <w:tc>
          <w:tcPr>
            <w:tcW w:w="221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Systems software</w:t>
            </w:r>
          </w:p>
        </w:tc>
        <w:tc>
          <w:tcPr>
            <w:tcW w:w="18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 of years</w:t>
            </w:r>
          </w:p>
        </w:tc>
        <w:tc>
          <w:tcPr>
            <w:tcW w:w="455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years</w:t>
            </w:r>
          </w:p>
        </w:tc>
      </w:tr>
      <w:tr>
        <w:trPr/>
        <w:tc>
          <w:tcPr>
            <w:tcW w:w="2210" w:type="dxa"/>
            <w:tcBorders>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rights to electricity</w:t>
            </w:r>
          </w:p>
        </w:tc>
        <w:tc>
          <w:tcPr>
            <w:tcW w:w="1880" w:type="dxa"/>
            <w:tcBorders>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Straight-line</w:t>
            </w:r>
          </w:p>
        </w:tc>
        <w:tc>
          <w:tcPr>
            <w:tcW w:w="4550" w:type="dxa"/>
            <w:tcBorders>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term of the data center or the access rights period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5"/>
        <w:gridCol w:w="888"/>
        <w:gridCol w:w="8962"/>
      </w:tblGrid>
      <w:tr>
        <w:trPr/>
        <w:tc>
          <w:tcPr>
            <w:tcW w:w="35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i/>
              </w:rPr>
            </w:pPr>
            <w:r>
              <w:rPr>
                <w:i/>
              </w:rPr>
              <w:t>i.</w:t>
            </w:r>
          </w:p>
        </w:tc>
        <w:tc>
          <w:tcPr>
            <w:tcW w:w="8962" w:type="dxa"/>
            <w:tcBorders/>
            <w:vAlign w:val="center"/>
          </w:tcPr>
          <w:p>
            <w:pPr>
              <w:pStyle w:val="TableContents"/>
              <w:bidi w:val="0"/>
              <w:spacing w:before="0" w:after="283"/>
              <w:jc w:val="both"/>
              <w:rPr>
                <w:i/>
              </w:rPr>
            </w:pPr>
            <w:r>
              <w:rPr>
                <w:i/>
              </w:rPr>
              <w:t>Systems software</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assets include computer systems comprised of hardware and software. Certain hardware comes pre-installed with firmware. Without this firmware, the hardware could not function and therefore both the hardware and firmware are classified within property, plant and equipment. In contrast, stand-alone software that adds functionality to the hardware is classified as an intangible asset.</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822"/>
        <w:gridCol w:w="9140"/>
      </w:tblGrid>
      <w:tr>
        <w:trPr/>
        <w:tc>
          <w:tcPr>
            <w:tcW w:w="2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i/>
              </w:rPr>
            </w:pPr>
            <w:r>
              <w:rPr>
                <w:i/>
              </w:rPr>
              <w:t>ii.</w:t>
            </w:r>
          </w:p>
        </w:tc>
        <w:tc>
          <w:tcPr>
            <w:tcW w:w="9140" w:type="dxa"/>
            <w:tcBorders/>
            <w:vAlign w:val="center"/>
          </w:tcPr>
          <w:p>
            <w:pPr>
              <w:pStyle w:val="TableContents"/>
              <w:bidi w:val="0"/>
              <w:spacing w:before="0" w:after="283"/>
              <w:jc w:val="both"/>
              <w:rPr>
                <w:i/>
              </w:rPr>
            </w:pPr>
            <w:r>
              <w:rPr>
                <w:i/>
              </w:rPr>
              <w:t>Access rights to electricity</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access rights to electricity were obtained from the acquisitions of assets described in Note 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Segment reporting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reported in a manner consistent with the internal reporting provided to the chief operating decision-maker, who is responsible for allocating resources and assessing the performance of the operating segments, and which has been identified as the Management team that makes strategic decisions.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non-financial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 The recoverable amount is the higher of fair value less costs of sale and value in use. In measuring value in use, the expected future cash flows are discounted using a pre-tax discount rate that reflects the risks specific to the asset. The recoverable amount of an asset that does not generate independent cash flows is determined for the cash generating unit (“CGU”) to which the asset belongs. Impairment losses are recognized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of an asset, other than goodwill, is reversed only if there have been changes in the estimates used to determine the asset’s recoverable amount since the last impairment loss was recognized. Reversal of an impairment loss, as noted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23 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both"/>
              <w:rPr/>
            </w:pPr>
            <w:r>
              <w:rPr>
                <w:b/>
              </w:rPr>
              <w:t xml:space="preserve">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w:t>
      </w:r>
    </w:p>
    <w:tbl>
      <w:tblPr>
        <w:tblW w:w="5000" w:type="pct"/>
        <w:jc w:val="left"/>
        <w:tblInd w:w="0" w:type="dxa"/>
        <w:tblLayout w:type="fixed"/>
        <w:tblCellMar>
          <w:top w:w="0" w:type="dxa"/>
          <w:left w:w="0" w:type="dxa"/>
          <w:bottom w:w="0" w:type="dxa"/>
          <w:right w:w="0" w:type="dxa"/>
        </w:tblCellMar>
      </w:tblPr>
      <w:tblGrid>
        <w:gridCol w:w="372"/>
        <w:gridCol w:w="931"/>
        <w:gridCol w:w="8902"/>
      </w:tblGrid>
      <w:tr>
        <w:trPr/>
        <w:tc>
          <w:tcPr>
            <w:tcW w:w="37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i/>
              </w:rPr>
            </w:pPr>
            <w:r>
              <w:rPr>
                <w:i/>
              </w:rPr>
              <w:t>i.</w:t>
            </w:r>
          </w:p>
        </w:tc>
        <w:tc>
          <w:tcPr>
            <w:tcW w:w="8902" w:type="dxa"/>
            <w:tcBorders/>
            <w:vAlign w:val="center"/>
          </w:tcPr>
          <w:p>
            <w:pPr>
              <w:pStyle w:val="TableContents"/>
              <w:bidi w:val="0"/>
              <w:spacing w:before="0" w:after="283"/>
              <w:jc w:val="both"/>
              <w:rPr>
                <w:i/>
              </w:rPr>
            </w:pPr>
            <w:r>
              <w:rPr>
                <w:i/>
              </w:rPr>
              <w:t>Financial assets</w:t>
            </w:r>
          </w:p>
        </w:tc>
      </w:tr>
    </w:tbl>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recognition and measurement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initially measured at fair value plus transaction costs that can be directly attributed to the acquisition of the financial asset, except in the case of a financial asset measured at fair value through profit or loss (“FVTPL”) in respect of which transaction costs are charged to profit or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measurement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presented at amortized cost are subsequently measured using the effective interest rate (“EIR”) method and are subject to impairment. Gains and losses are recognized in profit or loss when the asset is derecognized, modified or impaired. The Company’s financial assets at amortized cost includes trade receivables, refundable deposits, and certain items included in other assets. Net changes in financial assets measured at fair value are recognized in the statement of profit or loss. The Company’s financial assets at fair value include derivative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allowance for expected credit losses (“ECLs”) for all debt instruments not held at fair value through profit or loss. ECLs are based on the difference between the contractual cash flows due in accordance with the contract and all the cash flows that the Company expects to receive, discounted at an approximation of the original EIR. The expected cash flows will include cash flows from the sale of collateral held or other credit enhancements that are integral to the contractual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trade receivables, the Company applies a simplified approach in calculating ECLs. The Company does not track changes in credit risk, but instead recognizes a loss allowance based on lifetime ECLs at each reporting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Refundable Hosting Deposits, the Company applies the general approach in calculating ECLs. The measurement of expected credit losses is a function of the probability of default, loss given default (i.e. the magnitude of the loss if there is a default) and the exposure at default. The assessment of the probability of default and loss given default is based on credit rating and historical data adjusted by forward-looking information. As for the exposure at default, this is represented by the Refundable Hosting Deposits’ gross carrying amount at the reporting date, the Company’s understanding of the specific future financing needs of the debtor, and other relevant forward-looking information. The expected credit loss is estimated as the difference between all contractual cash flows that are due to the Company in accordance with the contract and all the cash flows that the Company expects to receive, discounted at the original EIR.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 provision matrix that is based on its historical credit loss experience, adjusted for forward-looking factors specific to the debtors and the economic environment.</w:t>
      </w:r>
    </w:p>
    <w:p>
      <w:pPr>
        <w:pStyle w:val="TextBody"/>
        <w:bidi w:val="0"/>
        <w:spacing w:before="0" w:after="0"/>
        <w:jc w:val="left"/>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24 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left"/>
              <w:rPr/>
            </w:pPr>
            <w:r>
              <w:rPr>
                <w:b/>
              </w:rPr>
              <w:t>Material accounting policy information</w:t>
            </w:r>
            <w:r>
              <w:rPr/>
              <w:t xml:space="preserve"> (Continued)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Financial instruments </w:t>
      </w:r>
      <w:r>
        <w:rPr>
          <w:rFonts w:ascii="Times New Roman;Times;Serif" w:hAnsi="Times New Roman;Times;Serif"/>
          <w:b w:val="false"/>
          <w:i w:val="false"/>
          <w:caps w:val="false"/>
          <w:smallCaps w:val="false"/>
          <w:sz w:val="20"/>
        </w:rPr>
        <w:t>(Continued)</w:t>
      </w:r>
    </w:p>
    <w:tbl>
      <w:tblPr>
        <w:tblW w:w="5000" w:type="pct"/>
        <w:jc w:val="left"/>
        <w:tblInd w:w="0" w:type="dxa"/>
        <w:tblLayout w:type="fixed"/>
        <w:tblCellMar>
          <w:top w:w="0" w:type="dxa"/>
          <w:left w:w="0" w:type="dxa"/>
          <w:bottom w:w="0" w:type="dxa"/>
          <w:right w:w="0" w:type="dxa"/>
        </w:tblCellMar>
      </w:tblPr>
      <w:tblGrid>
        <w:gridCol w:w="312"/>
        <w:gridCol w:w="1055"/>
        <w:gridCol w:w="8838"/>
      </w:tblGrid>
      <w:tr>
        <w:trPr/>
        <w:tc>
          <w:tcPr>
            <w:tcW w:w="31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i/>
              </w:rPr>
            </w:pPr>
            <w:r>
              <w:rPr>
                <w:i/>
              </w:rPr>
              <w:t>ii.</w:t>
            </w:r>
          </w:p>
        </w:tc>
        <w:tc>
          <w:tcPr>
            <w:tcW w:w="8838" w:type="dxa"/>
            <w:tcBorders/>
            <w:vAlign w:val="center"/>
          </w:tcPr>
          <w:p>
            <w:pPr>
              <w:pStyle w:val="TableContents"/>
              <w:bidi w:val="0"/>
              <w:spacing w:before="0" w:after="283"/>
              <w:jc w:val="both"/>
              <w:rPr>
                <w:i/>
              </w:rPr>
            </w:pPr>
            <w:r>
              <w:rPr>
                <w:i/>
              </w:rPr>
              <w:t>Financial liabilities</w:t>
            </w:r>
          </w:p>
        </w:tc>
      </w:tr>
    </w:tbl>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recognition and measurement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at initial recognition at fair value through profit or loss, loans and borrowings, payables, or as derivatives designated as hedging instruments in an effective hedge, as appropriate. All financial liabilities are recognized initially at fair value and, in the case of loans and borrowings and payables, net of directly attributable transaction costs. The Company’s financial liabilities include trade payables, accrued liabilities, derivative liabilities, warrant liabilities and long-term debt.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measurement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either measured at fair value through profit or loss or at amortized cost. Financial liabilities measured at fair value through profit or loss included warrant liabilities relating to the private placement described in Note 3e, 9 and 22. After initial recognition, interest-bearing loans and borrowings are subsequently measured at amortized cost using the EIR method. Gains and losses are recognized in profit or loss when the liabilities are derecognized as well as through the EIR amortization process. Amortized cost is calculated by taking into account any discount or premium on acquisition and fees or costs that are an integral part of the EIR. The EIR amortization is included as financial expenses in the statement of profit or loss. This category generally applies to interest-bearing loans and borrowings.</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921"/>
        <w:gridCol w:w="9069"/>
      </w:tblGrid>
      <w:tr>
        <w:trPr/>
        <w:tc>
          <w:tcPr>
            <w:tcW w:w="2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i/>
              </w:rPr>
            </w:pPr>
            <w:r>
              <w:rPr>
                <w:i/>
              </w:rPr>
              <w:t>iii.</w:t>
            </w:r>
          </w:p>
        </w:tc>
        <w:tc>
          <w:tcPr>
            <w:tcW w:w="9069" w:type="dxa"/>
            <w:tcBorders/>
            <w:vAlign w:val="center"/>
          </w:tcPr>
          <w:p>
            <w:pPr>
              <w:pStyle w:val="TableContents"/>
              <w:bidi w:val="0"/>
              <w:spacing w:before="0" w:after="283"/>
              <w:jc w:val="both"/>
              <w:rPr>
                <w:i/>
                <w:sz w:val="20"/>
              </w:rPr>
            </w:pPr>
            <w:r>
              <w:rPr>
                <w:i/>
                <w:sz w:val="20"/>
              </w:rPr>
              <w:t>Non-hedge derivative instruments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BTC option contracts to reduce the risk of variability of cash flows resulting from the fluctuations in the BTC price that impact future sales of digital assets. In addition, the Company entered into contracts and earned premiums by agreeing to sell BTC if the price reached specific targets (“BTC call option”) to reduce the risk of variability of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Both BTC option contract and BTC call option meet the definition of a cash flow hedge as per IFRS 9,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(“IFRS 9”). IFRS 9 provides a non-compulsory accounting policy choice of hedge accounting where the Company elected to not apply hedge accounting on BTC option contracts. All derivative financial instruments not designated in a hedge relationship that qualify for hedge accounting are classified as financial instruments at FVTPL. Derivative financial instruments at FVTPL are recorded in the consolidated statement of financial position at fair value. Changes in the estimated fair value of non-hedge derivatives at each reporting date are included in the statement of profit or loss as non-hedge gain or loss on derivative assets and liabilities.</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792"/>
        <w:gridCol w:w="9218"/>
      </w:tblGrid>
      <w:tr>
        <w:trPr/>
        <w:tc>
          <w:tcPr>
            <w:tcW w:w="19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i/>
              </w:rPr>
            </w:pPr>
            <w:r>
              <w:rPr>
                <w:i/>
              </w:rPr>
              <w:t>iv.</w:t>
            </w:r>
          </w:p>
        </w:tc>
        <w:tc>
          <w:tcPr>
            <w:tcW w:w="9218" w:type="dxa"/>
            <w:tcBorders/>
            <w:vAlign w:val="center"/>
          </w:tcPr>
          <w:p>
            <w:pPr>
              <w:pStyle w:val="TableContents"/>
              <w:bidi w:val="0"/>
              <w:spacing w:before="0" w:after="283"/>
              <w:jc w:val="both"/>
              <w:rPr>
                <w:i/>
              </w:rPr>
            </w:pPr>
            <w:r>
              <w:rPr>
                <w:i/>
              </w:rPr>
              <w:t>Derecognition of financial assets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derecognized when the contractual rights to receive the cash flows from the financial asset expire, or when the Company transfers the contractual rights to a third party to receive the cash flows from the financial asset or assumes an obligation to pay the cash flows received in full to a third party without significant delay.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3"/>
        <w:gridCol w:w="580"/>
        <w:gridCol w:w="9442"/>
      </w:tblGrid>
      <w:tr>
        <w:trPr/>
        <w:tc>
          <w:tcPr>
            <w:tcW w:w="18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i/>
              </w:rPr>
            </w:pPr>
            <w:r>
              <w:rPr>
                <w:i/>
              </w:rPr>
              <w:t>v.</w:t>
            </w:r>
          </w:p>
        </w:tc>
        <w:tc>
          <w:tcPr>
            <w:tcW w:w="9442" w:type="dxa"/>
            <w:tcBorders/>
            <w:vAlign w:val="center"/>
          </w:tcPr>
          <w:p>
            <w:pPr>
              <w:pStyle w:val="TableContents"/>
              <w:bidi w:val="0"/>
              <w:spacing w:before="0" w:after="283"/>
              <w:jc w:val="both"/>
              <w:rPr>
                <w:i/>
              </w:rPr>
            </w:pPr>
            <w:r>
              <w:rPr>
                <w:i/>
              </w:rPr>
              <w:t>Derecognition of financial liabilities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derecognized when they are extinguished, which occurs when the obligation defined in the contract is fulfilled, cancelled or expires. A financial liability is fulfilled when the debtor repays the liability by paying cash, providing other financial assets, goods or services, or is otherwise legally released from the liability.</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25 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left"/>
              <w:rPr/>
            </w:pPr>
            <w:r>
              <w:rPr>
                <w:b/>
              </w:rPr>
              <w:t>Material accounting policy information</w:t>
            </w:r>
            <w:r>
              <w:rPr/>
              <w:t xml:space="preserve"> (Continued)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to sell an asset or paid to transfer a liability in an orderly transaction between market participants at the measurement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 is based on the assumption that the transaction will take place in the asset’s or the liability’s principal market or, in the absence of a principal market, in the most advantageous market. The fair value of an asset or a liability is measured using the assumptions that market participants would use when pricing the asset or liability, assuming that market participants act in their economic best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valuation techniques that are appropriate in the circumstances and for which sufficient data are available to measure fair value, maximizing the use of relevant observable inputs and minimizing the use of unobservable inputs. Fair value measurement of non-financial assets takes into account the ability of a market participant to derive economic benefits from the asset through its best use, or by selling it to another market participant capable of using the asset to its best use.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measured at fair value, or whose fair value is disclosed, are classified into categories within the fair value hierarchy based on the lowest level input that is significant to the overall fair value measurement: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666"/>
        <w:gridCol w:w="9539"/>
      </w:tblGrid>
      <w:tr>
        <w:trPr/>
        <w:tc>
          <w:tcPr>
            <w:tcW w:w="666"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Level</w:t>
            </w:r>
          </w:p>
        </w:tc>
        <w:tc>
          <w:tcPr>
            <w:tcW w:w="9539" w:type="dxa"/>
            <w:tcBorders>
              <w:top w:val="single" w:sz="8" w:space="0" w:color="000000"/>
              <w:bottom w:val="single" w:sz="8" w:space="0" w:color="000000"/>
            </w:tcBorders>
            <w:tcMar>
              <w:top w:w="3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666"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w:t>
            </w:r>
          </w:p>
        </w:tc>
        <w:tc>
          <w:tcPr>
            <w:tcW w:w="9539"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Unadjusted quoted prices in an active market of identical assets and liabilities</w:t>
            </w:r>
          </w:p>
        </w:tc>
      </w:tr>
      <w:tr>
        <w:trPr/>
        <w:tc>
          <w:tcPr>
            <w:tcW w:w="666"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w:t>
            </w:r>
          </w:p>
        </w:tc>
        <w:tc>
          <w:tcPr>
            <w:tcW w:w="9539"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Non-quoted prices included in Level 1 that are either directly or indirectly observable</w:t>
            </w:r>
          </w:p>
        </w:tc>
      </w:tr>
      <w:tr>
        <w:trPr/>
        <w:tc>
          <w:tcPr>
            <w:tcW w:w="666" w:type="dxa"/>
            <w:tcBorders>
              <w:bottom w:val="single" w:sz="12"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w:t>
            </w:r>
          </w:p>
        </w:tc>
        <w:tc>
          <w:tcPr>
            <w:tcW w:w="9539" w:type="dxa"/>
            <w:tcBorders>
              <w:bottom w:val="single" w:sz="12" w:space="0" w:color="000000"/>
            </w:tcBorders>
            <w:shd w:fill="CCEE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Data that is not based on observable market information, such as valuation techniques without the use of observable market data</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represent liabilities to the Company for which the amount or timing is uncertain. Provisions are recognized when the Company has a present legal or constructive obligation as a result of past events, it is probable that an outflow of resources will be required to settle the obligations and the amounts can be reliably estimated. When the Company expects that part or all of the expense will be refunded, such as an insurance claim, the refund will be recognized as a separate asset only on the date when there is certainty of receiving the asset. The expense will be recognized in the statement of profit or loss net of the expected refund.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 retirement provisions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relate to Backbone and Backbone Argentina’s legal obligation, in relation to its leased properties, to restore the properties to their original condition at the end of the lease period. The provisions are calculated at the present value of the expected costs to settle the obligations using estimated future cash flows discounted at a rate that reflects the risks specific to the obligations. Changes in the estimated future costs, or in the discount rate applied, are recorded as an adjustment of the cost of the related asset.</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26 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49"/>
        <w:gridCol w:w="9632"/>
      </w:tblGrid>
      <w:tr>
        <w:trPr/>
        <w:tc>
          <w:tcPr>
            <w:tcW w:w="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b.</w:t>
            </w:r>
          </w:p>
        </w:tc>
        <w:tc>
          <w:tcPr>
            <w:tcW w:w="9632" w:type="dxa"/>
            <w:tcBorders/>
            <w:vAlign w:val="center"/>
          </w:tcPr>
          <w:p>
            <w:pPr>
              <w:pStyle w:val="TableContents"/>
              <w:bidi w:val="0"/>
              <w:spacing w:before="0" w:after="283"/>
              <w:jc w:val="left"/>
              <w:rPr/>
            </w:pPr>
            <w:r>
              <w:rPr>
                <w:b/>
              </w:rPr>
              <w:t>Material accounting policy information</w:t>
            </w:r>
            <w:r>
              <w:rPr/>
              <w:t xml:space="preserve"> (Continued)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transactions</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settled with equity instruments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employee services paid in equity instruments is measured at the fair value of the equity instruments as of the grant date. The fair value is determined using a generally accepted option pricing model. Equity settled transactions with other services providers are measured at the fair value of the goods or services received in return for the equity instruments. The cost of equity-settled transactions is recognized in profit or loss together with a corresponding increase in contributed surplus during the period in which the performance and/or service conditions are to be satisfied and ending on the date on which the relevant employees become entitled to the award (“the vesting period”). The cumulative expense recognized for equity-settled transactions at the end of each reporting period until the vesting date reflects the extent to which the vesting period has expired and Management’s best estimate of the number of equity instruments that will ultimately vest.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grants that do not vest are not recognized. Grants where the fair value is determined at the date of the grant based on non-vesting market conditions are treated as vested, assuming all other vesting conditions (service and/or performance) are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Company modifies the terms of equity-settled transactions, an additional expense is recognized on the date of the modification and is calculated as the increase in the fair value of the compensation granted in excess of the original expense. Cancellation of equity settlement that has not vested is treated as if it had vested on the date of cancellation, with the unrecognized expense recognized immediately. However, if the cancellation is subsequently replaced by a new agreement and is designated as an alternative settlement, then it is treated as a modification of the original agreement as described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is calculated by dividing the net income attributable to the Company’s shareholders by the weighted average number of common shares outstanding during the period. Potential common shares are included in the calculation of diluted earnings per share if their effect dilutes earnings per share from continuing operations. Potential common shares that were converted during the period are included in diluted earnings per share only up to the conversion date, and from that date are included in basic earnings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capital and issue of a unit of securities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 represents the amount received on the issuance of shares, less issuance costs (net of tax).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of a unit of securities involves the allocation of the proceeds received before issue expenses to the securities issued in the unit based on the following order: financial derivatives and other financial instruments measured at fair value in each period. Fair value is then determined for financial liabilities that are measured at amortized cost. The proceeds allocated to equity instruments are determined to be the residual amount. Issue costs are allocated to each component pro rata to the amounts determined for each component in the unit.</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27 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308"/>
        <w:gridCol w:w="9800"/>
      </w:tblGrid>
      <w:tr>
        <w:trPr/>
        <w:tc>
          <w:tcPr>
            <w:tcW w:w="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b/>
              </w:rPr>
            </w:pPr>
            <w:r>
              <w:rPr>
                <w:b/>
              </w:rPr>
              <w:t>c.</w:t>
            </w:r>
          </w:p>
        </w:tc>
        <w:tc>
          <w:tcPr>
            <w:tcW w:w="9800" w:type="dxa"/>
            <w:tcBorders/>
            <w:vAlign w:val="center"/>
          </w:tcPr>
          <w:p>
            <w:pPr>
              <w:pStyle w:val="TableContents"/>
              <w:bidi w:val="0"/>
              <w:spacing w:before="0" w:after="283"/>
              <w:jc w:val="left"/>
              <w:rPr>
                <w:b/>
              </w:rPr>
            </w:pPr>
            <w:r>
              <w:rPr>
                <w:b/>
              </w:rPr>
              <w:t>New accounting amendments issued and adopted by the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amendments to existing standards were adopted by the Company as of January 1, 2024: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Amendments to IFRS 16, </w:t>
      </w:r>
      <w:r>
        <w:rPr>
          <w:rFonts w:ascii="Times New Roman;Times;Serif" w:hAnsi="Times New Roman;Times;Serif"/>
          <w:b/>
          <w:i/>
          <w:caps w:val="false"/>
          <w:smallCaps w:val="false"/>
          <w:sz w:val="20"/>
        </w:rPr>
        <w:t>Leases</w:t>
      </w:r>
      <w:r>
        <w:rPr>
          <w:rFonts w:ascii="Times New Roman;Times;Serif" w:hAnsi="Times New Roman;Times;Serif"/>
          <w:b/>
          <w:i w:val="false"/>
          <w:caps w:val="false"/>
          <w:smallCaps w:val="false"/>
          <w:sz w:val="20"/>
        </w:rPr>
        <w:t xml:space="preserve"> (“IFRS 16”)</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16 require a seller-lessee to subsequently measure lease liabilities arising from a leaseback in a manner that does not recognize any amount of the gain or loss that relates to the right-of-use retained. The new requirements do not prevent a seller-lessee from recognizing in profit or loss any gain or loss relating to the partial or full termination of a 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Amendments to IAS 1, </w:t>
      </w:r>
      <w:r>
        <w:rPr>
          <w:rFonts w:ascii="Times New Roman;Times;Serif" w:hAnsi="Times New Roman;Times;Serif"/>
          <w:b/>
          <w:i/>
          <w:caps w:val="false"/>
          <w:smallCaps w:val="false"/>
          <w:sz w:val="20"/>
        </w:rPr>
        <w:t xml:space="preserve">Presentation of the Financial Statements </w:t>
      </w:r>
      <w:r>
        <w:rPr>
          <w:rFonts w:ascii="Times New Roman;Times;Serif" w:hAnsi="Times New Roman;Times;Serif"/>
          <w:b/>
          <w:i w:val="false"/>
          <w:caps w:val="false"/>
          <w:smallCaps w:val="false"/>
          <w:sz w:val="20"/>
        </w:rPr>
        <w:t>(“IAS 1”)</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1 clarify how to classify debt and other liabilities as current or non-current. The amendments help to determine whether, in the consolidated financial statements, debt and other liabilities with an uncertain settlement date should be classified as current (due or potentially due to be settled within one year) or non-current. The amendments also include clarifying the classification requirements for debt that an entity might settle by converting into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1 specify that covenants to be complied with after the reporting date do not affect the classification of debt as current or non-current at the reporting date. Instead, the amendments require information about these covenants be disclosed in the notes to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Amendments to IAS 7, </w:t>
      </w:r>
      <w:r>
        <w:rPr>
          <w:rFonts w:ascii="Times New Roman;Times;Serif" w:hAnsi="Times New Roman;Times;Serif"/>
          <w:b/>
          <w:i/>
          <w:caps w:val="false"/>
          <w:smallCaps w:val="false"/>
          <w:sz w:val="20"/>
        </w:rPr>
        <w:t xml:space="preserve">Statement of Cash Flows </w:t>
      </w:r>
      <w:r>
        <w:rPr>
          <w:rFonts w:ascii="Times New Roman;Times;Serif" w:hAnsi="Times New Roman;Times;Serif"/>
          <w:b/>
          <w:i w:val="false"/>
          <w:caps w:val="false"/>
          <w:smallCaps w:val="false"/>
          <w:sz w:val="20"/>
        </w:rPr>
        <w:t xml:space="preserve">(“IAS 7”) and IFRS 7, </w:t>
      </w:r>
      <w:r>
        <w:rPr>
          <w:rFonts w:ascii="Times New Roman;Times;Serif" w:hAnsi="Times New Roman;Times;Serif"/>
          <w:b/>
          <w:i/>
          <w:caps w:val="false"/>
          <w:smallCaps w:val="false"/>
          <w:sz w:val="20"/>
        </w:rPr>
        <w:t xml:space="preserve">Financial Instruments: Disclosures </w:t>
      </w:r>
      <w:r>
        <w:rPr>
          <w:rFonts w:ascii="Times New Roman;Times;Serif" w:hAnsi="Times New Roman;Times;Serif"/>
          <w:b/>
          <w:i w:val="false"/>
          <w:caps w:val="false"/>
          <w:smallCaps w:val="false"/>
          <w:sz w:val="20"/>
        </w:rPr>
        <w:t>(“IFRS 7”)</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7 and IFRS 7 introduce disclosure requirements to enhance the transparency of supplier finance arrangements and their effects on an entity’s liabilities, cash flows and exposure to liquidity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by the Company of the amendments listed above did not have a significant impact on the Company’s Financial Statements.</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98"/>
        <w:gridCol w:w="9825"/>
      </w:tblGrid>
      <w:tr>
        <w:trPr/>
        <w:tc>
          <w:tcPr>
            <w:tcW w:w="8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b/>
              </w:rPr>
            </w:pPr>
            <w:r>
              <w:rPr>
                <w:b/>
              </w:rPr>
              <w:t>d.</w:t>
            </w:r>
          </w:p>
        </w:tc>
        <w:tc>
          <w:tcPr>
            <w:tcW w:w="9825" w:type="dxa"/>
            <w:tcBorders/>
            <w:vAlign w:val="center"/>
          </w:tcPr>
          <w:p>
            <w:pPr>
              <w:pStyle w:val="TableContents"/>
              <w:bidi w:val="0"/>
              <w:spacing w:before="0" w:after="283"/>
              <w:jc w:val="both"/>
              <w:rPr>
                <w:b/>
              </w:rPr>
            </w:pPr>
            <w:r>
              <w:rPr>
                <w:b/>
              </w:rPr>
              <w:t>New accounting amendments and standard issued to be adopted at a later date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amendments to existing standards have been issued and are applicable to the Company for its annual period beginning on January 1, 2025, with an earlier application permitted: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Amendments to IAS 21, </w:t>
      </w:r>
      <w:r>
        <w:rPr>
          <w:rFonts w:ascii="Times New Roman;Times;Serif" w:hAnsi="Times New Roman;Times;Serif"/>
          <w:b/>
          <w:i/>
          <w:caps w:val="false"/>
          <w:smallCaps w:val="false"/>
          <w:sz w:val="20"/>
        </w:rPr>
        <w:t xml:space="preserve">The Effects of Changes in Foreign Exchange Rates </w:t>
      </w:r>
      <w:r>
        <w:rPr>
          <w:rFonts w:ascii="Times New Roman;Times;Serif" w:hAnsi="Times New Roman;Times;Serif"/>
          <w:b/>
          <w:i w:val="false"/>
          <w:caps w:val="false"/>
          <w:smallCaps w:val="false"/>
          <w:sz w:val="20"/>
        </w:rPr>
        <w:t>(“IAS 21”)</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 require an entity to apply a consistent approach in assessing whether a currency can be exchanged into another currency and, when it cannot, in determining the exchange rate to use and the disclosures to provide.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 impact of adopting the amendments on the Company’s Financial Statements.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28 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43"/>
        <w:gridCol w:w="9194"/>
      </w:tblGrid>
      <w:tr>
        <w:trPr/>
        <w:tc>
          <w:tcPr>
            <w:tcW w:w="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NOTE 3:</w:t>
            </w:r>
          </w:p>
        </w:tc>
        <w:tc>
          <w:tcPr>
            <w:tcW w:w="9194" w:type="dxa"/>
            <w:tcBorders/>
            <w:vAlign w:val="center"/>
          </w:tcPr>
          <w:p>
            <w:pPr>
              <w:pStyle w:val="TableContents"/>
              <w:bidi w:val="0"/>
              <w:spacing w:before="0" w:after="283"/>
              <w:jc w:val="both"/>
              <w:rPr/>
            </w:pPr>
            <w:r>
              <w:rPr>
                <w:b/>
              </w:rPr>
              <w:t xml:space="preserve">BASIS OF PRESENTATION AND MATERIAL ACCOUNTING POLICY INFORMATION </w:t>
            </w:r>
            <w:r>
              <w:rPr/>
              <w:t>(Continued)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60"/>
        <w:gridCol w:w="9873"/>
      </w:tblGrid>
      <w:tr>
        <w:trPr/>
        <w:tc>
          <w:tcPr>
            <w:tcW w:w="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9873" w:type="dxa"/>
            <w:tcBorders/>
            <w:vAlign w:val="center"/>
          </w:tcPr>
          <w:p>
            <w:pPr>
              <w:pStyle w:val="TableContents"/>
              <w:bidi w:val="0"/>
              <w:spacing w:before="0" w:after="283"/>
              <w:jc w:val="left"/>
              <w:rPr/>
            </w:pPr>
            <w:r>
              <w:rPr>
                <w:b/>
              </w:rPr>
              <w:t xml:space="preserve">New accounting amendments and standard issued to be adopted at a later date </w:t>
            </w:r>
            <w:r>
              <w:rPr/>
              <w:t>(Continued)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amendments to existing standards have been issued and are applicable to the Company for its annual period beginning on January 1, 2026, with an earlier application permitted: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Amendments to IFRS 9, </w:t>
      </w:r>
      <w:r>
        <w:rPr>
          <w:rFonts w:ascii="Times New Roman;Times;Serif" w:hAnsi="Times New Roman;Times;Serif"/>
          <w:b/>
          <w:i/>
          <w:caps w:val="false"/>
          <w:smallCaps w:val="false"/>
          <w:sz w:val="20"/>
        </w:rPr>
        <w:t xml:space="preserve">Financial Instruments </w:t>
      </w:r>
      <w:r>
        <w:rPr>
          <w:rFonts w:ascii="Times New Roman;Times;Serif" w:hAnsi="Times New Roman;Times;Serif"/>
          <w:b/>
          <w:i w:val="false"/>
          <w:caps w:val="false"/>
          <w:smallCaps w:val="false"/>
          <w:sz w:val="20"/>
        </w:rPr>
        <w:t>(“IFRS 9”) and IFRS 7</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9 and IFRS 7 clarify that financial assets and financial liabilities are recognized and derecognized at settlement date except for regular way purchases or sales of financial assets and financial liabilities meeting conditions for the new exception. The new exception permits companies to elect to derecognize certain financial liabilities settled via electronic payment systems earlier than the settlement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amendments also provide guidelines to assess contractual cash flow characteristics of financial assets, which apply to all contingent cash flows, including those arising from environmental, social, and governance (ESG)-linked features.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amendments for investments in equity instruments reported at fair value through other comprehensive income require separately disclosing the fair value gain or loss for investments derecognized in the period and investments held. The amendments added disclosure requirements for financial instruments with contingent features that could change the timing or amount of contractual cash flows that do not relate directly to basic lending risks and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amendments to IFRS 9 clarify: i) the requirements to account for an extinguishment of a lessee’s lease liability that results in a gain or loss recognized in net income; and ii) the definition of the term “transaction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 impact of adopting the new standards on the Company’s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new standard has been issued and is applicable to the Company for its annual period beginning on January 1, 2027, with an earlier application permitted: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IFRS 18, </w:t>
      </w:r>
      <w:r>
        <w:rPr>
          <w:rFonts w:ascii="Times New Roman;Times;Serif" w:hAnsi="Times New Roman;Times;Serif"/>
          <w:b/>
          <w:i/>
          <w:caps w:val="false"/>
          <w:smallCaps w:val="false"/>
          <w:sz w:val="20"/>
        </w:rPr>
        <w:t xml:space="preserve">Presentation and Disclosure in Financial Statements </w:t>
      </w:r>
      <w:r>
        <w:rPr>
          <w:rFonts w:ascii="Times New Roman;Times;Serif" w:hAnsi="Times New Roman;Times;Serif"/>
          <w:b/>
          <w:i w:val="false"/>
          <w:caps w:val="false"/>
          <w:smallCaps w:val="false"/>
          <w:sz w:val="20"/>
        </w:rPr>
        <w:t>(“IFRS 18”)</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2024, the International Accounting Standards Board issued IFRS 18, the new standard on presentation and disclosure in financial statements, which will replace IAS 1, with a focus on updates to the statement of profit or loss. The key new concepts introduced in IFRS 18 relate to:</w:t>
      </w:r>
    </w:p>
    <w:tbl>
      <w:tblPr>
        <w:tblW w:w="5000" w:type="pct"/>
        <w:jc w:val="left"/>
        <w:tblInd w:w="0" w:type="dxa"/>
        <w:tblLayout w:type="fixed"/>
        <w:tblCellMar>
          <w:top w:w="0" w:type="dxa"/>
          <w:left w:w="0" w:type="dxa"/>
          <w:bottom w:w="0" w:type="dxa"/>
          <w:right w:w="0" w:type="dxa"/>
        </w:tblCellMar>
      </w:tblPr>
      <w:tblGrid>
        <w:gridCol w:w="81"/>
        <w:gridCol w:w="241"/>
        <w:gridCol w:w="9883"/>
      </w:tblGrid>
      <w:tr>
        <w:trPr/>
        <w:tc>
          <w:tcPr>
            <w:tcW w:w="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883" w:type="dxa"/>
            <w:tcBorders/>
            <w:vAlign w:val="center"/>
          </w:tcPr>
          <w:p>
            <w:pPr>
              <w:pStyle w:val="TableContents"/>
              <w:bidi w:val="0"/>
              <w:spacing w:before="0" w:after="283"/>
              <w:jc w:val="both"/>
              <w:rPr/>
            </w:pPr>
            <w:r>
              <w:rPr/>
              <w:t>The structure of the statement of profit or loss, including specified totals and subtotals;</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Required disclosures in the financial statements for certain profit or loss performance measures that are reported outside an entity’s financial statements (i.e., management-defined performance measures); and</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Enhanced principles on aggregation and disaggregation which apply to the primary financial statements and notes in general.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 impact of adopting the new standards on the Company’s Financial Statements.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29 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a_012"/>
      <w:bookmarkStart w:id="31" w:name="a_012"/>
      <w:bookmarkEnd w:id="31"/>
    </w:p>
    <w:tbl>
      <w:tblPr>
        <w:tblW w:w="8208" w:type="dxa"/>
        <w:jc w:val="left"/>
        <w:tblInd w:w="0" w:type="dxa"/>
        <w:tblLayout w:type="fixed"/>
        <w:tblCellMar>
          <w:top w:w="0" w:type="dxa"/>
          <w:left w:w="0" w:type="dxa"/>
          <w:bottom w:w="0" w:type="dxa"/>
          <w:right w:w="0" w:type="dxa"/>
        </w:tblCellMar>
      </w:tblPr>
      <w:tblGrid>
        <w:gridCol w:w="68"/>
        <w:gridCol w:w="995"/>
        <w:gridCol w:w="7145"/>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4:</w:t>
            </w:r>
          </w:p>
        </w:tc>
        <w:tc>
          <w:tcPr>
            <w:tcW w:w="7145" w:type="dxa"/>
            <w:tcBorders/>
            <w:vAlign w:val="center"/>
          </w:tcPr>
          <w:p>
            <w:pPr>
              <w:pStyle w:val="TableContents"/>
              <w:bidi w:val="0"/>
              <w:spacing w:before="0" w:after="283"/>
              <w:jc w:val="both"/>
              <w:rPr>
                <w:b/>
              </w:rPr>
            </w:pPr>
            <w:r>
              <w:rPr>
                <w:b/>
              </w:rPr>
              <w:t>SIGNIFICANT ACCOUNTING JUDGMENTS AND ESTIMATES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requires Management to undertake judgments, estimates and assumptions about recognition and measurement of assets, liabilities, income and expenses. These judgments and estimates are based on Management’s best knowledge of the events or circumstances and actions the Company may take in the future. The actual results may differ from these assumptions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 Information about the significant judgments, estimates and assumptions that have the most significant effect on the recognition and measurement of assets, liabilities, income and expenses are discussed below.</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1"/>
        <w:gridCol w:w="1460"/>
        <w:gridCol w:w="8314"/>
      </w:tblGrid>
      <w:tr>
        <w:trPr/>
        <w:tc>
          <w:tcPr>
            <w:tcW w:w="43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b/>
              </w:rPr>
            </w:pPr>
            <w:r>
              <w:rPr>
                <w:b/>
              </w:rPr>
              <w:t>a.</w:t>
            </w:r>
          </w:p>
        </w:tc>
        <w:tc>
          <w:tcPr>
            <w:tcW w:w="8314" w:type="dxa"/>
            <w:tcBorders/>
            <w:vAlign w:val="center"/>
          </w:tcPr>
          <w:p>
            <w:pPr>
              <w:pStyle w:val="TableContents"/>
              <w:bidi w:val="0"/>
              <w:spacing w:before="0" w:after="283"/>
              <w:jc w:val="both"/>
              <w:rPr>
                <w:b/>
              </w:rPr>
            </w:pPr>
            <w:r>
              <w:rPr>
                <w:b/>
              </w:rPr>
              <w:t>Judgements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specific guidance for cryptocurrencies under IFRS Accounting Standards. However, judgement is still required due to the particular characteristics of mining cryptocurrencies. The Company applies judgement to account for the revenue recognition from the sale of computational power used for hashing calculations. In the event that new guidance is issued by the International Accounting Standards Board, the Company may be required to change its accounting policies, which could have a material effect on the Company’s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currently no specific guidance for cryptocurrencies under IFRS Accounting Standards. However, judgement is still required due to the particular characteristics of holding cryptocurrencies. The Company applies judgement to account for the subsequent remeasurement of cryptocurrencies held under IAS 38, </w:t>
      </w:r>
      <w:r>
        <w:rPr>
          <w:rFonts w:ascii="Times New Roman;Times;Serif" w:hAnsi="Times New Roman;Times;Serif"/>
          <w:b w:val="false"/>
          <w:i/>
          <w:caps w:val="false"/>
          <w:smallCaps w:val="false"/>
          <w:sz w:val="20"/>
        </w:rPr>
        <w:t>Intangible Assets</w:t>
      </w:r>
      <w:r>
        <w:rPr>
          <w:rFonts w:ascii="Times New Roman;Times;Serif" w:hAnsi="Times New Roman;Times;Serif"/>
          <w:b w:val="false"/>
          <w:i w:val="false"/>
          <w:caps w:val="false"/>
          <w:smallCaps w:val="false"/>
          <w:sz w:val="20"/>
        </w:rPr>
        <w:t>. In the event that new guidance is issued by the International Accounting Standards Board, the Company may be required to change its accounting policies, which could have a material effect on the Company’s financial statements.</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1"/>
        <w:gridCol w:w="796"/>
        <w:gridCol w:w="9188"/>
      </w:tblGrid>
      <w:tr>
        <w:trPr/>
        <w:tc>
          <w:tcPr>
            <w:tcW w:w="22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b/>
              </w:rPr>
            </w:pPr>
            <w:r>
              <w:rPr>
                <w:b/>
              </w:rPr>
              <w:t>b.</w:t>
            </w:r>
          </w:p>
        </w:tc>
        <w:tc>
          <w:tcPr>
            <w:tcW w:w="9188" w:type="dxa"/>
            <w:tcBorders/>
            <w:vAlign w:val="center"/>
          </w:tcPr>
          <w:p>
            <w:pPr>
              <w:pStyle w:val="TableContents"/>
              <w:bidi w:val="0"/>
              <w:spacing w:before="0" w:after="283"/>
              <w:jc w:val="both"/>
              <w:rPr>
                <w:b/>
              </w:rPr>
            </w:pPr>
            <w:r>
              <w:rPr>
                <w:b/>
              </w:rPr>
              <w:t>Estimates and assumptions</w:t>
            </w:r>
          </w:p>
        </w:tc>
      </w:tr>
    </w:tbl>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IFRS 16 requires the Company to make judgments and estimates that affect the valuation of the lease liabilities and the valuation of ROU assets. These include the determination of contracts in scope of IFRS 16 for the lease term for discounting future cash flows.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30 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68"/>
        <w:gridCol w:w="995"/>
        <w:gridCol w:w="8345"/>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4:</w:t>
            </w:r>
          </w:p>
        </w:tc>
        <w:tc>
          <w:tcPr>
            <w:tcW w:w="8345" w:type="dxa"/>
            <w:tcBorders/>
            <w:vAlign w:val="center"/>
          </w:tcPr>
          <w:p>
            <w:pPr>
              <w:pStyle w:val="TableContents"/>
              <w:bidi w:val="0"/>
              <w:spacing w:before="0" w:after="283"/>
              <w:jc w:val="both"/>
              <w:rPr/>
            </w:pPr>
            <w:r>
              <w:rPr>
                <w:b/>
              </w:rPr>
              <w:t>SIGNIFICANT ACCOUNTING JUDGMENTS AND ESTIMATES</w:t>
            </w:r>
            <w:r>
              <w:rPr/>
              <w:t xml:space="preserve"> (Continued)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577"/>
        <w:gridCol w:w="9469"/>
      </w:tblGrid>
      <w:tr>
        <w:trPr/>
        <w:tc>
          <w:tcPr>
            <w:tcW w:w="1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b/>
              </w:rPr>
            </w:pPr>
            <w:r>
              <w:rPr>
                <w:b/>
              </w:rPr>
              <w:t>b.</w:t>
            </w:r>
          </w:p>
        </w:tc>
        <w:tc>
          <w:tcPr>
            <w:tcW w:w="9469" w:type="dxa"/>
            <w:tcBorders/>
            <w:vAlign w:val="center"/>
          </w:tcPr>
          <w:p>
            <w:pPr>
              <w:pStyle w:val="TableContents"/>
              <w:bidi w:val="0"/>
              <w:spacing w:before="0" w:after="283"/>
              <w:jc w:val="left"/>
              <w:rPr/>
            </w:pPr>
            <w:r>
              <w:rPr>
                <w:b/>
              </w:rPr>
              <w:t xml:space="preserve">Estimates and assumptions </w:t>
            </w:r>
            <w:r>
              <w:rPr/>
              <w:t>(Continued)</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Leases </w:t>
      </w:r>
      <w:r>
        <w:rPr>
          <w:rFonts w:ascii="Times New Roman;Times;Serif" w:hAnsi="Times New Roman;Times;Serif"/>
          <w:b w:val="false"/>
          <w:i w:val="false"/>
          <w:caps w:val="false"/>
          <w:smallCaps w:val="false"/>
          <w:sz w:val="20"/>
        </w:rPr>
        <w:t>(Continued)</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 The Company has the option under some of its leases to lease the assets for additional terms of three to ten years. The Company applies judgement in evaluating whether it is reasonably certain to exercise the option to renew and it considers all relevant factors that create an economic incentive for it to exercise the renewal.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commencement date, the Company reassesses the lease term if there is a significant event or change in circumstances that is within its control and affects its ability to exercise (or not to exercise) the option to renew (e.g., a change in business strategy). The Company includes the renewal period as part of the lease term for leases of most data centers due to the significance of those assets to its operations. The Company has not included renewal periods for data centers when the lease term exceeds 10 years from the commencement of the 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plant and equipment and intangible assets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useful lives, residual values and methods of depreciation are reviewed annually. Any changes based on additional available information are accounted for prospectively as a change in accounting estimate.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in connection with the replacement of older Miners following the Company’s transformative fleet upgrade as described in Note 12, the Company reviewed and adjusted the useful lives, residual values and method of depreciation of older Miners that will be replaced by the new fleet in 2024. For these Miners, the depreciation was accelerated to bring the book value to the estimated recoverable value at the time they are expected to be replaced. The residual values were adjusted to reflect the expected proceeds from the eventual sale and the depreciation method was modified from sum-of-years to straight-line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2024, as part of the Company’s annual review of its estimates used to account for property, plant and equipment, the Company reassessed the depreciation method, the useful life and the residual values of the Miners. As a result of rapid improvements in mining hardware technology, the Company modified the useful life of the Miners from 5 to 3 years and the depreciation method from sum-of-years to the straight-line. The residual values of the Miners remained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depreciation method of mining-related equipment was modified from the original sum-of-years to the straight-line method. The useful life and the residual values remained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these modifications represent changes in accounting estimates and were applied prospectively. Refer to Note 12 - Property, Plant and Equipment.</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31 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68"/>
        <w:gridCol w:w="995"/>
        <w:gridCol w:w="8345"/>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4:</w:t>
            </w:r>
          </w:p>
        </w:tc>
        <w:tc>
          <w:tcPr>
            <w:tcW w:w="8345" w:type="dxa"/>
            <w:tcBorders/>
            <w:vAlign w:val="center"/>
          </w:tcPr>
          <w:p>
            <w:pPr>
              <w:pStyle w:val="TableContents"/>
              <w:bidi w:val="0"/>
              <w:spacing w:before="0" w:after="283"/>
              <w:jc w:val="both"/>
              <w:rPr/>
            </w:pPr>
            <w:r>
              <w:rPr>
                <w:b/>
              </w:rPr>
              <w:t>SIGNIFICANT ACCOUNTING JUDGMENTS AND ESTIMATES</w:t>
            </w:r>
            <w:r>
              <w:rPr/>
              <w:t xml:space="preserve"> (Continued)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577"/>
        <w:gridCol w:w="9469"/>
      </w:tblGrid>
      <w:tr>
        <w:trPr/>
        <w:tc>
          <w:tcPr>
            <w:tcW w:w="1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b/>
              </w:rPr>
            </w:pPr>
            <w:r>
              <w:rPr>
                <w:b/>
              </w:rPr>
              <w:t>b.</w:t>
            </w:r>
          </w:p>
        </w:tc>
        <w:tc>
          <w:tcPr>
            <w:tcW w:w="9469" w:type="dxa"/>
            <w:tcBorders/>
            <w:vAlign w:val="center"/>
          </w:tcPr>
          <w:p>
            <w:pPr>
              <w:pStyle w:val="TableContents"/>
              <w:bidi w:val="0"/>
              <w:spacing w:before="0" w:after="283"/>
              <w:jc w:val="left"/>
              <w:rPr/>
            </w:pPr>
            <w:r>
              <w:rPr>
                <w:b/>
              </w:rPr>
              <w:t xml:space="preserve">Estimates and assumptions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and reversal of impairment of non-financial assets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exercises significant judgement in estimating the inputs used to determine the value in use of its equipment and construction prepayments, property, plant and equipment, right-of-use assets and intangible assets. When there is any indication that any tangible and intangible assets other than goodwill have incurred an impairment loss, the determination of the recoverable amount of such tangible and intangible assets other than goodwill requires Management to estimate cash flows expected to arise from those assets and a suitable discount rate in order to calculate the present value in a manner described above for goodwill.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Liability</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liability is an existing condition, situation, or set of circumstances involving uncertainty as to a possible loss that will ultimately be resolved when one or more future events occur or fail to occur. The Company is party to various legal proceedings, claims, and regulatory, tax or government inquiries and investigations that arise in the ordinary course of business. In assessing loss contingencies related to legal proceedings that are pending against the Company or unasserted claims that may result in such proceedings, the Company, with assistance from its legal counsels, evaluates the perceived merits of any legal proceedings or unasserted claims as well as the perceived merits of the amount of relief sought or expected to be sought. A provision for legal claims against the Company is recorded when the Company has a present legal or constructive obligation as a result of past events, and that is more likely than not to be settled with an outflow of economic resources that can be measured reliably.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Measurement of Financial Instruments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financial instruments that are not traded in an active market is determined using valuation techniques. The Company uses its judgement to select a variety of methods and make assumptions that are mainly based on market conditions existing at the end of each reporting period. The Company used a combination of the Monte Carlo valuation technique and the Black-Scholes model to calculate the fair value for embedded derivatives (redemption option of BTC).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Monte Carlo method relies on computational algorithm that uses repeated random sampling to obtain the likelihood of a range of results of occurring to simulate the future price of BTC. Management exercises significant judgement in considering the input values and selecting the probability distribution used in the Monte Carlo method to estimate the possible outcomes of an uncertain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model is used to value each redemption option of BTC, taking into account the option’s maturity date, expected future price, the exercise price, time to maturity, BTC volatility and the risk-free interest rate.</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32 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a_013"/>
      <w:bookmarkStart w:id="33" w:name="a_013"/>
      <w:bookmarkEnd w:id="33"/>
    </w:p>
    <w:tbl>
      <w:tblPr>
        <w:tblW w:w="4308" w:type="dxa"/>
        <w:jc w:val="left"/>
        <w:tblInd w:w="0" w:type="dxa"/>
        <w:tblLayout w:type="fixed"/>
        <w:tblCellMar>
          <w:top w:w="0" w:type="dxa"/>
          <w:left w:w="0" w:type="dxa"/>
          <w:bottom w:w="0" w:type="dxa"/>
          <w:right w:w="0" w:type="dxa"/>
        </w:tblCellMar>
      </w:tblPr>
      <w:tblGrid>
        <w:gridCol w:w="68"/>
        <w:gridCol w:w="995"/>
        <w:gridCol w:w="3245"/>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5:</w:t>
            </w:r>
          </w:p>
        </w:tc>
        <w:tc>
          <w:tcPr>
            <w:tcW w:w="3245" w:type="dxa"/>
            <w:tcBorders/>
            <w:vAlign w:val="center"/>
          </w:tcPr>
          <w:p>
            <w:pPr>
              <w:pStyle w:val="TableContents"/>
              <w:bidi w:val="0"/>
              <w:spacing w:before="0" w:after="283"/>
              <w:jc w:val="both"/>
              <w:rPr>
                <w:b/>
              </w:rPr>
            </w:pPr>
            <w:r>
              <w:rPr>
                <w:b/>
              </w:rPr>
              <w:t>ACQUISITIONS OF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568"/>
        <w:gridCol w:w="9469"/>
      </w:tblGrid>
      <w:tr>
        <w:trPr/>
        <w:tc>
          <w:tcPr>
            <w:tcW w:w="1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b/>
              </w:rPr>
            </w:pPr>
            <w:r>
              <w:rPr>
                <w:b/>
              </w:rPr>
              <w:t>a.</w:t>
            </w:r>
          </w:p>
        </w:tc>
        <w:tc>
          <w:tcPr>
            <w:tcW w:w="9469" w:type="dxa"/>
            <w:tcBorders/>
            <w:vAlign w:val="center"/>
          </w:tcPr>
          <w:p>
            <w:pPr>
              <w:pStyle w:val="TableContents"/>
              <w:bidi w:val="0"/>
              <w:spacing w:before="0" w:after="283"/>
              <w:jc w:val="both"/>
              <w:rPr>
                <w:b/>
              </w:rPr>
            </w:pPr>
            <w:r>
              <w:rPr>
                <w:b/>
              </w:rPr>
              <w:t>Acquisition of assets in Baie-Comeau</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2023, the Company acquired 100% of the shares of a corporation, referred to as Orion, that owns the right to 22 MW of hydro power capacity in Baie-Comeau, Quebec, Canada. The consideration transferred at closing totaled $1,964 (CAD$2,603), of which $610 (CAD$814) was paid in cash and $1,354 (CAD$1,789) was paid through the issuance of 820,837 common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of Orion does not meet the definition of a business combination under IFRS 3,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 Orion’s primary assets consist mainly of a contractual right for up to 22 MW of hydro power capacity. Therefore, the transaction has been recorded as an acquisition of a group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acquired and the liabilities assumed were recognized and measured by allocating the fair value of the consideration paid to their relative fair values at the closing date of the transaction. All financial assets acquired and financial liabilities assumed were recorded at fair value.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and the net assets acquired are as follows:</w:t>
      </w:r>
    </w:p>
    <w:tbl>
      <w:tblPr>
        <w:tblW w:w="7564" w:type="dxa"/>
        <w:jc w:val="left"/>
        <w:tblInd w:w="0" w:type="dxa"/>
        <w:tblLayout w:type="fixed"/>
        <w:tblCellMar>
          <w:top w:w="0" w:type="dxa"/>
          <w:left w:w="0" w:type="dxa"/>
          <w:bottom w:w="28" w:type="dxa"/>
          <w:right w:w="0" w:type="dxa"/>
        </w:tblCellMar>
      </w:tblPr>
      <w:tblGrid>
        <w:gridCol w:w="5285"/>
        <w:gridCol w:w="90"/>
        <w:gridCol w:w="125"/>
        <w:gridCol w:w="405"/>
        <w:gridCol w:w="90"/>
        <w:gridCol w:w="90"/>
        <w:gridCol w:w="173"/>
        <w:gridCol w:w="1136"/>
        <w:gridCol w:w="170"/>
      </w:tblGrid>
      <w:tr>
        <w:trPr/>
        <w:tc>
          <w:tcPr>
            <w:tcW w:w="5285" w:type="dxa"/>
            <w:tcBorders>
              <w:bottom w:val="single" w:sz="8" w:space="0" w:color="000000"/>
            </w:tcBorders>
            <w:vAlign w:val="center"/>
          </w:tcPr>
          <w:p>
            <w:pPr>
              <w:pStyle w:val="TableContents"/>
              <w:bidi w:val="0"/>
              <w:spacing w:before="0" w:after="283"/>
              <w:ind w:left="0" w:right="0" w:hanging="180"/>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0"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283"/>
              <w:jc w:val="right"/>
              <w:rPr>
                <w:b/>
              </w:rPr>
            </w:pPr>
            <w:r>
              <w:rPr>
                <w:b/>
              </w:rPr>
              <w:t>As of July 5,</w:t>
            </w:r>
          </w:p>
        </w:tc>
        <w:tc>
          <w:tcPr>
            <w:tcW w:w="170"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28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0" w:type="dxa"/>
            <w:gridSpan w:val="2"/>
            <w:tcBorders>
              <w:bottom w:val="single" w:sz="8" w:space="0" w:color="000000"/>
            </w:tcBorders>
            <w:vAlign w:val="center"/>
          </w:tcPr>
          <w:p>
            <w:pPr>
              <w:pStyle w:val="TableContents"/>
              <w:bidi w:val="0"/>
              <w:spacing w:before="0" w:after="283"/>
              <w:jc w:val="right"/>
              <w:rPr>
                <w:b/>
              </w:rPr>
            </w:pPr>
            <w:r>
              <w:rPr>
                <w:b/>
              </w:rPr>
              <w:t>Note</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283"/>
              <w:jc w:val="right"/>
              <w:rPr>
                <w:b/>
              </w:rPr>
            </w:pPr>
            <w:r>
              <w:rPr>
                <w:b/>
              </w:rPr>
              <w:t>2023</w:t>
            </w:r>
          </w:p>
        </w:tc>
        <w:tc>
          <w:tcPr>
            <w:tcW w:w="170"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2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85" w:type="dxa"/>
            <w:tcBorders/>
            <w:tcMar>
              <w:bottom w:w="0" w:type="dxa"/>
            </w:tcMar>
            <w:vAlign w:val="center"/>
          </w:tcPr>
          <w:p>
            <w:pPr>
              <w:pStyle w:val="TableContents"/>
              <w:bidi w:val="0"/>
              <w:spacing w:before="0" w:after="283"/>
              <w:jc w:val="left"/>
              <w:rPr>
                <w:b/>
              </w:rPr>
            </w:pPr>
            <w:r>
              <w:rPr>
                <w:b/>
              </w:rPr>
              <w:t>Purchase price</w:t>
            </w:r>
          </w:p>
        </w:tc>
        <w:tc>
          <w:tcPr>
            <w:tcW w:w="90" w:type="dxa"/>
            <w:tcBorders/>
            <w:tcMar>
              <w:bottom w:w="0" w:type="dxa"/>
            </w:tcMar>
            <w:vAlign w:val="center"/>
          </w:tcPr>
          <w:p>
            <w:pPr>
              <w:pStyle w:val="TableContents"/>
              <w:bidi w:val="0"/>
              <w:spacing w:before="0" w:after="283"/>
              <w:jc w:val="left"/>
              <w:rPr/>
            </w:pPr>
            <w:r>
              <w:rPr/>
              <w:t> </w:t>
            </w:r>
          </w:p>
        </w:tc>
        <w:tc>
          <w:tcPr>
            <w:tcW w:w="53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85" w:type="dxa"/>
            <w:tcBorders/>
            <w:shd w:fill="CCEEFF" w:val="clear"/>
            <w:tcMar>
              <w:bottom w:w="0" w:type="dxa"/>
            </w:tcMar>
            <w:vAlign w:val="center"/>
          </w:tcPr>
          <w:p>
            <w:pPr>
              <w:pStyle w:val="TableContents"/>
              <w:bidi w:val="0"/>
              <w:spacing w:before="0" w:after="283"/>
              <w:jc w:val="left"/>
              <w:rPr/>
            </w:pPr>
            <w:r>
              <w:rPr/>
              <w:t>Cash consideration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610</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285" w:type="dxa"/>
            <w:tcBorders/>
            <w:tcMar>
              <w:bottom w:w="0" w:type="dxa"/>
            </w:tcMar>
            <w:vAlign w:val="center"/>
          </w:tcPr>
          <w:p>
            <w:pPr>
              <w:pStyle w:val="TableContents"/>
              <w:bidi w:val="0"/>
              <w:spacing w:before="0" w:after="283"/>
              <w:jc w:val="left"/>
              <w:rPr/>
            </w:pPr>
            <w:r>
              <w:rPr/>
              <w:t>Value of 820,837 common shares transferred at closing</w:t>
            </w:r>
          </w:p>
        </w:tc>
        <w:tc>
          <w:tcPr>
            <w:tcW w:w="9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1136" w:type="dxa"/>
            <w:tcBorders/>
            <w:tcMar>
              <w:bottom w:w="0" w:type="dxa"/>
            </w:tcMar>
            <w:vAlign w:val="center"/>
          </w:tcPr>
          <w:p>
            <w:pPr>
              <w:pStyle w:val="TableContents"/>
              <w:bidi w:val="0"/>
              <w:spacing w:before="0" w:after="283"/>
              <w:jc w:val="right"/>
              <w:rPr/>
            </w:pPr>
            <w:r>
              <w:rPr/>
              <w:t>1,354</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85" w:type="dxa"/>
            <w:tcBorders>
              <w:bottom w:val="single" w:sz="8" w:space="0" w:color="000000"/>
            </w:tcBorders>
            <w:shd w:fill="CCEEFF" w:val="clear"/>
            <w:tcMar>
              <w:bottom w:w="30" w:type="dxa"/>
            </w:tcMar>
            <w:vAlign w:val="center"/>
          </w:tcPr>
          <w:p>
            <w:pPr>
              <w:pStyle w:val="TableContents"/>
              <w:bidi w:val="0"/>
              <w:spacing w:before="0" w:after="283"/>
              <w:jc w:val="left"/>
              <w:rPr/>
            </w:pPr>
            <w:r>
              <w:rPr/>
              <w:t>Transaction costs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40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vAlign w:val="center"/>
          </w:tcPr>
          <w:p>
            <w:pPr>
              <w:pStyle w:val="TableContents"/>
              <w:bidi w:val="0"/>
              <w:spacing w:before="0" w:after="283"/>
              <w:jc w:val="left"/>
              <w:rPr/>
            </w:pPr>
            <w:r>
              <w:rPr/>
              <w:t> </w:t>
            </w:r>
          </w:p>
        </w:tc>
        <w:tc>
          <w:tcPr>
            <w:tcW w:w="1136" w:type="dxa"/>
            <w:tcBorders>
              <w:bottom w:val="single" w:sz="8" w:space="0" w:color="000000"/>
            </w:tcBorders>
            <w:shd w:fill="CCEEFF" w:val="clear"/>
            <w:vAlign w:val="center"/>
          </w:tcPr>
          <w:p>
            <w:pPr>
              <w:pStyle w:val="TableContents"/>
              <w:bidi w:val="0"/>
              <w:spacing w:before="0" w:after="283"/>
              <w:jc w:val="right"/>
              <w:rPr/>
            </w:pPr>
            <w:r>
              <w:rPr/>
              <w:t>218</w:t>
            </w:r>
          </w:p>
        </w:tc>
        <w:tc>
          <w:tcPr>
            <w:tcW w:w="170"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528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405"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3" w:type="dxa"/>
            <w:tcBorders>
              <w:bottom w:val="single" w:sz="12" w:space="0" w:color="000000"/>
            </w:tcBorders>
            <w:vAlign w:val="center"/>
          </w:tcPr>
          <w:p>
            <w:pPr>
              <w:pStyle w:val="TableContents"/>
              <w:bidi w:val="0"/>
              <w:spacing w:before="0" w:after="283"/>
              <w:jc w:val="left"/>
              <w:rPr/>
            </w:pPr>
            <w:r>
              <w:rPr/>
              <w:t> </w:t>
            </w:r>
          </w:p>
        </w:tc>
        <w:tc>
          <w:tcPr>
            <w:tcW w:w="1136" w:type="dxa"/>
            <w:tcBorders>
              <w:bottom w:val="single" w:sz="12" w:space="0" w:color="000000"/>
            </w:tcBorders>
            <w:vAlign w:val="center"/>
          </w:tcPr>
          <w:p>
            <w:pPr>
              <w:pStyle w:val="TableContents"/>
              <w:bidi w:val="0"/>
              <w:spacing w:before="0" w:after="283"/>
              <w:jc w:val="right"/>
              <w:rPr>
                <w:b/>
              </w:rPr>
            </w:pPr>
            <w:r>
              <w:rPr>
                <w:b/>
              </w:rPr>
              <w:t>2,182</w:t>
            </w:r>
          </w:p>
        </w:tc>
        <w:tc>
          <w:tcPr>
            <w:tcW w:w="170" w:type="dxa"/>
            <w:tcBorders>
              <w:bottom w:val="single" w:sz="12" w:space="0" w:color="000000"/>
            </w:tcBorders>
            <w:tcMar>
              <w:bottom w:w="30" w:type="dxa"/>
            </w:tcMar>
            <w:vAlign w:val="center"/>
          </w:tcPr>
          <w:p>
            <w:pPr>
              <w:pStyle w:val="TableContents"/>
              <w:bidi w:val="0"/>
              <w:spacing w:before="0" w:after="283"/>
              <w:ind w:left="0" w:right="0" w:hanging="180"/>
              <w:jc w:val="left"/>
              <w:rPr/>
            </w:pPr>
            <w:r>
              <w:rPr/>
              <w:t> </w:t>
            </w:r>
          </w:p>
        </w:tc>
      </w:tr>
      <w:tr>
        <w:trPr/>
        <w:tc>
          <w:tcPr>
            <w:tcW w:w="52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285" w:type="dxa"/>
            <w:tcBorders/>
            <w:tcMar>
              <w:bottom w:w="0" w:type="dxa"/>
            </w:tcMar>
            <w:vAlign w:val="center"/>
          </w:tcPr>
          <w:p>
            <w:pPr>
              <w:pStyle w:val="TableContents"/>
              <w:bidi w:val="0"/>
              <w:spacing w:before="0" w:after="283"/>
              <w:jc w:val="left"/>
              <w:rPr>
                <w:b/>
              </w:rPr>
            </w:pPr>
            <w:r>
              <w:rPr>
                <w:b/>
              </w:rPr>
              <w:t>Net assets acquired</w:t>
            </w:r>
          </w:p>
        </w:tc>
        <w:tc>
          <w:tcPr>
            <w:tcW w:w="9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1136"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85" w:type="dxa"/>
            <w:tcBorders/>
            <w:shd w:fill="CCEEFF" w:val="clear"/>
            <w:tcMar>
              <w:bottom w:w="0" w:type="dxa"/>
            </w:tcMar>
            <w:vAlign w:val="center"/>
          </w:tcPr>
          <w:p>
            <w:pPr>
              <w:pStyle w:val="TableContents"/>
              <w:bidi w:val="0"/>
              <w:spacing w:before="0" w:after="283"/>
              <w:jc w:val="left"/>
              <w:rPr/>
            </w:pPr>
            <w:r>
              <w:rPr/>
              <w:t>Security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241</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285" w:type="dxa"/>
            <w:tcBorders/>
            <w:tcMar>
              <w:bottom w:w="0" w:type="dxa"/>
            </w:tcMar>
            <w:vAlign w:val="center"/>
          </w:tcPr>
          <w:p>
            <w:pPr>
              <w:pStyle w:val="TableContents"/>
              <w:bidi w:val="0"/>
              <w:spacing w:before="0" w:after="283"/>
              <w:jc w:val="left"/>
              <w:rPr/>
            </w:pPr>
            <w:r>
              <w:rPr/>
              <w:t>Leasehold improvements</w:t>
            </w:r>
          </w:p>
        </w:tc>
        <w:tc>
          <w:tcPr>
            <w:tcW w:w="9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1136" w:type="dxa"/>
            <w:tcBorders/>
            <w:tcMar>
              <w:bottom w:w="0" w:type="dxa"/>
            </w:tcMar>
            <w:vAlign w:val="center"/>
          </w:tcPr>
          <w:p>
            <w:pPr>
              <w:pStyle w:val="TableContents"/>
              <w:bidi w:val="0"/>
              <w:spacing w:before="0" w:after="283"/>
              <w:jc w:val="right"/>
              <w:rPr/>
            </w:pPr>
            <w:r>
              <w:rPr/>
              <w:t>7</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5285" w:type="dxa"/>
            <w:tcBorders/>
            <w:shd w:fill="CCEEFF" w:val="clear"/>
            <w:tcMar>
              <w:bottom w:w="0" w:type="dxa"/>
            </w:tcMar>
            <w:vAlign w:val="center"/>
          </w:tcPr>
          <w:p>
            <w:pPr>
              <w:pStyle w:val="TableContents"/>
              <w:bidi w:val="0"/>
              <w:spacing w:before="0" w:after="283"/>
              <w:jc w:val="left"/>
              <w:rPr/>
            </w:pPr>
            <w:r>
              <w:rPr/>
              <w:t>Trade payables and accrued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136" w:type="dxa"/>
            <w:tcBorders/>
            <w:shd w:fill="CCEEFF" w:val="clear"/>
            <w:tcMar>
              <w:bottom w:w="0" w:type="dxa"/>
            </w:tcMar>
            <w:vAlign w:val="center"/>
          </w:tcPr>
          <w:p>
            <w:pPr>
              <w:pStyle w:val="TableContents"/>
              <w:bidi w:val="0"/>
              <w:spacing w:before="0" w:after="283"/>
              <w:jc w:val="right"/>
              <w:rPr/>
            </w:pPr>
            <w:r>
              <w:rPr/>
              <w:t>(174</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285" w:type="dxa"/>
            <w:tcBorders/>
            <w:tcMar>
              <w:bottom w:w="0" w:type="dxa"/>
            </w:tcMar>
            <w:vAlign w:val="center"/>
          </w:tcPr>
          <w:p>
            <w:pPr>
              <w:pStyle w:val="TableContents"/>
              <w:bidi w:val="0"/>
              <w:spacing w:before="0" w:after="283"/>
              <w:jc w:val="left"/>
              <w:rPr/>
            </w:pPr>
            <w:r>
              <w:rPr/>
              <w:t>Customer deposit</w:t>
            </w:r>
          </w:p>
        </w:tc>
        <w:tc>
          <w:tcPr>
            <w:tcW w:w="9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1136" w:type="dxa"/>
            <w:tcBorders/>
            <w:tcMar>
              <w:bottom w:w="0" w:type="dxa"/>
            </w:tcMar>
            <w:vAlign w:val="center"/>
          </w:tcPr>
          <w:p>
            <w:pPr>
              <w:pStyle w:val="TableContents"/>
              <w:bidi w:val="0"/>
              <w:spacing w:before="0" w:after="283"/>
              <w:jc w:val="right"/>
              <w:rPr/>
            </w:pPr>
            <w:r>
              <w:rPr/>
              <w:t>(207</w:t>
            </w:r>
          </w:p>
        </w:tc>
        <w:tc>
          <w:tcPr>
            <w:tcW w:w="170" w:type="dxa"/>
            <w:tcBorders/>
            <w:tcMar>
              <w:bottom w:w="0" w:type="dxa"/>
            </w:tcMar>
            <w:vAlign w:val="center"/>
          </w:tcPr>
          <w:p>
            <w:pPr>
              <w:pStyle w:val="TableContents"/>
              <w:bidi w:val="0"/>
              <w:spacing w:before="0" w:after="283"/>
              <w:ind w:left="0" w:right="0" w:hanging="180"/>
              <w:jc w:val="left"/>
              <w:rPr/>
            </w:pPr>
            <w:r>
              <w:rPr/>
              <w:t>)</w:t>
            </w:r>
          </w:p>
        </w:tc>
      </w:tr>
      <w:tr>
        <w:trPr/>
        <w:tc>
          <w:tcPr>
            <w:tcW w:w="5285" w:type="dxa"/>
            <w:tcBorders>
              <w:bottom w:val="single" w:sz="8" w:space="0" w:color="000000"/>
            </w:tcBorders>
            <w:shd w:fill="CCEEFF" w:val="clear"/>
            <w:tcMar>
              <w:bottom w:w="30" w:type="dxa"/>
            </w:tcMar>
            <w:vAlign w:val="center"/>
          </w:tcPr>
          <w:p>
            <w:pPr>
              <w:pStyle w:val="TableContents"/>
              <w:bidi w:val="0"/>
              <w:spacing w:before="0" w:after="283"/>
              <w:jc w:val="left"/>
              <w:rPr/>
            </w:pPr>
            <w:r>
              <w:rPr/>
              <w:t>Intangible - access rights to electricity</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405" w:type="dxa"/>
            <w:tcBorders>
              <w:bottom w:val="single" w:sz="8" w:space="0" w:color="000000"/>
            </w:tcBorders>
            <w:shd w:fill="CCEEFF" w:val="clear"/>
            <w:vAlign w:val="center"/>
          </w:tcPr>
          <w:p>
            <w:pPr>
              <w:pStyle w:val="TableContents"/>
              <w:bidi w:val="0"/>
              <w:spacing w:before="0" w:after="283"/>
              <w:jc w:val="right"/>
              <w:rPr/>
            </w:pPr>
            <w:r>
              <w:rPr/>
              <w:t>13</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vAlign w:val="center"/>
          </w:tcPr>
          <w:p>
            <w:pPr>
              <w:pStyle w:val="TableContents"/>
              <w:bidi w:val="0"/>
              <w:spacing w:before="0" w:after="283"/>
              <w:jc w:val="left"/>
              <w:rPr/>
            </w:pPr>
            <w:r>
              <w:rPr/>
              <w:t> </w:t>
            </w:r>
          </w:p>
        </w:tc>
        <w:tc>
          <w:tcPr>
            <w:tcW w:w="1136" w:type="dxa"/>
            <w:tcBorders>
              <w:bottom w:val="single" w:sz="8" w:space="0" w:color="000000"/>
            </w:tcBorders>
            <w:shd w:fill="CCEEFF" w:val="clear"/>
            <w:vAlign w:val="center"/>
          </w:tcPr>
          <w:p>
            <w:pPr>
              <w:pStyle w:val="TableContents"/>
              <w:bidi w:val="0"/>
              <w:spacing w:before="0" w:after="283"/>
              <w:jc w:val="right"/>
              <w:rPr/>
            </w:pPr>
            <w:r>
              <w:rPr/>
              <w:t>2,315</w:t>
            </w:r>
          </w:p>
        </w:tc>
        <w:tc>
          <w:tcPr>
            <w:tcW w:w="170"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528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405"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3" w:type="dxa"/>
            <w:tcBorders>
              <w:bottom w:val="single" w:sz="12" w:space="0" w:color="000000"/>
            </w:tcBorders>
            <w:vAlign w:val="center"/>
          </w:tcPr>
          <w:p>
            <w:pPr>
              <w:pStyle w:val="TableContents"/>
              <w:bidi w:val="0"/>
              <w:spacing w:before="0" w:after="283"/>
              <w:jc w:val="left"/>
              <w:rPr/>
            </w:pPr>
            <w:r>
              <w:rPr/>
              <w:t> </w:t>
            </w:r>
          </w:p>
        </w:tc>
        <w:tc>
          <w:tcPr>
            <w:tcW w:w="1136" w:type="dxa"/>
            <w:tcBorders>
              <w:bottom w:val="single" w:sz="12" w:space="0" w:color="000000"/>
            </w:tcBorders>
            <w:vAlign w:val="center"/>
          </w:tcPr>
          <w:p>
            <w:pPr>
              <w:pStyle w:val="TableContents"/>
              <w:bidi w:val="0"/>
              <w:spacing w:before="0" w:after="283"/>
              <w:jc w:val="right"/>
              <w:rPr>
                <w:b/>
              </w:rPr>
            </w:pPr>
            <w:r>
              <w:rPr>
                <w:b/>
              </w:rPr>
              <w:t>2,182</w:t>
            </w:r>
          </w:p>
        </w:tc>
        <w:tc>
          <w:tcPr>
            <w:tcW w:w="170" w:type="dxa"/>
            <w:tcBorders>
              <w:bottom w:val="single" w:sz="12" w:space="0" w:color="000000"/>
            </w:tcBorders>
            <w:tcMar>
              <w:bottom w:w="3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separately entered into a lease agreement with a third party for a site to install the infrastructure to operate the acquired capacity. Refer to Note 19.</w:t>
      </w:r>
    </w:p>
    <w:p>
      <w:pPr>
        <w:pStyle w:val="TextBody"/>
        <w:bidi w:val="0"/>
        <w:spacing w:before="0" w:after="0"/>
        <w:jc w:val="left"/>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33 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68"/>
        <w:gridCol w:w="995"/>
        <w:gridCol w:w="4445"/>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5:</w:t>
            </w:r>
          </w:p>
        </w:tc>
        <w:tc>
          <w:tcPr>
            <w:tcW w:w="4445" w:type="dxa"/>
            <w:tcBorders/>
            <w:vAlign w:val="center"/>
          </w:tcPr>
          <w:p>
            <w:pPr>
              <w:pStyle w:val="TableContents"/>
              <w:bidi w:val="0"/>
              <w:spacing w:before="0" w:after="283"/>
              <w:jc w:val="both"/>
              <w:rPr/>
            </w:pPr>
            <w:r>
              <w:rPr>
                <w:b/>
              </w:rPr>
              <w:t>ACQUISITIONS OF ASSETS</w:t>
            </w:r>
            <w:r>
              <w:rPr/>
              <w:t xml:space="preserve"> (Continued)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651"/>
        <w:gridCol w:w="9374"/>
      </w:tblGrid>
      <w:tr>
        <w:trPr/>
        <w:tc>
          <w:tcPr>
            <w:tcW w:w="18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b/>
              </w:rPr>
            </w:pPr>
            <w:r>
              <w:rPr>
                <w:b/>
              </w:rPr>
              <w:t>b.</w:t>
            </w:r>
          </w:p>
        </w:tc>
        <w:tc>
          <w:tcPr>
            <w:tcW w:w="9374" w:type="dxa"/>
            <w:tcBorders/>
            <w:vAlign w:val="center"/>
          </w:tcPr>
          <w:p>
            <w:pPr>
              <w:pStyle w:val="TableContents"/>
              <w:bidi w:val="0"/>
              <w:spacing w:before="0" w:after="283"/>
              <w:jc w:val="both"/>
              <w:rPr>
                <w:b/>
              </w:rPr>
            </w:pPr>
            <w:r>
              <w:rPr>
                <w:b/>
              </w:rPr>
              <w:t>Acquisitions of assets in Paraguay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2023, the Company acquired 100% of the shares of two corporations that own the rights to 50 MW and 100 MW, respectively, of hydro power capacity in Villarrica (Paso Pe) and Yguazu, Paraguay, respectively. The cash considerations totaled $1,095 and $450,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have been recorded as acquisitions of a group of assets as the acquirees’ primary assets consist mainly of contractual rights to electricity supply. The purchase prices and the net assets acquired as of July 14, 2023 are as follows:</w:t>
      </w:r>
    </w:p>
    <w:p>
      <w:pPr>
        <w:pStyle w:val="TextBody"/>
        <w:bidi w:val="0"/>
        <w:spacing w:before="0" w:after="0"/>
        <w:jc w:val="both"/>
        <w:rPr>
          <w:caps w:val="false"/>
          <w:smallCaps w:val="false"/>
        </w:rPr>
      </w:pPr>
      <w:r>
        <w:rPr>
          <w:caps w:val="false"/>
          <w:smallCaps w:val="false"/>
        </w:rPr>
        <w:t> </w:t>
      </w:r>
    </w:p>
    <w:tbl>
      <w:tblPr>
        <w:tblW w:w="8464" w:type="dxa"/>
        <w:jc w:val="left"/>
        <w:tblInd w:w="0" w:type="dxa"/>
        <w:tblLayout w:type="fixed"/>
        <w:tblCellMar>
          <w:top w:w="0" w:type="dxa"/>
          <w:left w:w="0" w:type="dxa"/>
          <w:bottom w:w="28" w:type="dxa"/>
          <w:right w:w="0" w:type="dxa"/>
        </w:tblCellMar>
      </w:tblPr>
      <w:tblGrid>
        <w:gridCol w:w="4385"/>
        <w:gridCol w:w="90"/>
        <w:gridCol w:w="146"/>
        <w:gridCol w:w="474"/>
        <w:gridCol w:w="90"/>
        <w:gridCol w:w="90"/>
        <w:gridCol w:w="267"/>
        <w:gridCol w:w="1762"/>
        <w:gridCol w:w="90"/>
        <w:gridCol w:w="90"/>
        <w:gridCol w:w="152"/>
        <w:gridCol w:w="693"/>
        <w:gridCol w:w="135"/>
      </w:tblGrid>
      <w:tr>
        <w:trPr/>
        <w:tc>
          <w:tcPr>
            <w:tcW w:w="438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right"/>
              <w:rPr>
                <w:b/>
              </w:rPr>
            </w:pPr>
            <w:r>
              <w:rPr>
                <w:b/>
              </w:rPr>
              <w:t>Notes</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Villarrica (Paso Pe)</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283"/>
              <w:jc w:val="right"/>
              <w:rPr>
                <w:b/>
              </w:rPr>
            </w:pPr>
            <w:r>
              <w:rPr>
                <w:b/>
              </w:rPr>
              <w:t>Yguazu</w:t>
            </w:r>
          </w:p>
        </w:tc>
        <w:tc>
          <w:tcPr>
            <w:tcW w:w="1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43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29"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45"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85" w:type="dxa"/>
            <w:tcBorders/>
            <w:tcMar>
              <w:bottom w:w="0" w:type="dxa"/>
            </w:tcMar>
            <w:vAlign w:val="center"/>
          </w:tcPr>
          <w:p>
            <w:pPr>
              <w:pStyle w:val="TableContents"/>
              <w:bidi w:val="0"/>
              <w:spacing w:before="0" w:after="283"/>
              <w:jc w:val="left"/>
              <w:rPr>
                <w:b/>
              </w:rPr>
            </w:pPr>
            <w:r>
              <w:rPr>
                <w:b/>
              </w:rPr>
              <w:t>Purchase price</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29"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45"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85" w:type="dxa"/>
            <w:tcBorders/>
            <w:shd w:fill="CCEEFF" w:val="clear"/>
            <w:tcMar>
              <w:bottom w:w="0" w:type="dxa"/>
            </w:tcMar>
            <w:vAlign w:val="center"/>
          </w:tcPr>
          <w:p>
            <w:pPr>
              <w:pStyle w:val="TableContents"/>
              <w:bidi w:val="0"/>
              <w:spacing w:before="0" w:after="283"/>
              <w:jc w:val="left"/>
              <w:rPr/>
            </w:pPr>
            <w:r>
              <w:rPr/>
              <w:t>Cash consideration paid at closing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pPr>
            <w:r>
              <w:rPr/>
              <w:t>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250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385" w:type="dxa"/>
            <w:tcBorders/>
            <w:tcMar>
              <w:bottom w:w="0" w:type="dxa"/>
            </w:tcMar>
            <w:vAlign w:val="center"/>
          </w:tcPr>
          <w:p>
            <w:pPr>
              <w:pStyle w:val="TableContents"/>
              <w:bidi w:val="0"/>
              <w:spacing w:before="0" w:after="283"/>
              <w:jc w:val="left"/>
              <w:rPr/>
            </w:pPr>
            <w:r>
              <w:rPr/>
              <w:t>Cash consideration payable</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7" w:type="dxa"/>
            <w:tcBorders/>
            <w:tcMar>
              <w:bottom w:w="0" w:type="dxa"/>
            </w:tcMar>
            <w:vAlign w:val="center"/>
          </w:tcPr>
          <w:p>
            <w:pPr>
              <w:pStyle w:val="TableContents"/>
              <w:bidi w:val="0"/>
              <w:spacing w:before="0" w:after="283"/>
              <w:jc w:val="left"/>
              <w:rPr/>
            </w:pPr>
            <w:r>
              <w:rPr/>
              <w:t> </w:t>
            </w:r>
          </w:p>
        </w:tc>
        <w:tc>
          <w:tcPr>
            <w:tcW w:w="1762" w:type="dxa"/>
            <w:tcBorders/>
            <w:tcMar>
              <w:bottom w:w="0" w:type="dxa"/>
            </w:tcMar>
            <w:vAlign w:val="center"/>
          </w:tcPr>
          <w:p>
            <w:pPr>
              <w:pStyle w:val="TableContents"/>
              <w:bidi w:val="0"/>
              <w:spacing w:before="0" w:after="283"/>
              <w:jc w:val="right"/>
              <w:rPr/>
            </w:pPr>
            <w:r>
              <w:rPr/>
              <w:t>1,000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 w:type="dxa"/>
            <w:tcBorders/>
            <w:tcMar>
              <w:bottom w:w="0" w:type="dxa"/>
            </w:tcMar>
            <w:vAlign w:val="center"/>
          </w:tcPr>
          <w:p>
            <w:pPr>
              <w:pStyle w:val="TableContents"/>
              <w:bidi w:val="0"/>
              <w:spacing w:before="0" w:after="283"/>
              <w:jc w:val="left"/>
              <w:rPr/>
            </w:pPr>
            <w:r>
              <w:rPr/>
              <w:t> </w:t>
            </w:r>
          </w:p>
        </w:tc>
        <w:tc>
          <w:tcPr>
            <w:tcW w:w="693" w:type="dxa"/>
            <w:tcBorders/>
            <w:tcMar>
              <w:bottom w:w="0" w:type="dxa"/>
            </w:tcMar>
            <w:vAlign w:val="center"/>
          </w:tcPr>
          <w:p>
            <w:pPr>
              <w:pStyle w:val="TableContents"/>
              <w:bidi w:val="0"/>
              <w:spacing w:before="0" w:after="283"/>
              <w:jc w:val="right"/>
              <w:rPr/>
            </w:pPr>
            <w:r>
              <w:rPr/>
              <w:t>200</w:t>
            </w:r>
          </w:p>
        </w:tc>
        <w:tc>
          <w:tcPr>
            <w:tcW w:w="135" w:type="dxa"/>
            <w:tcBorders/>
            <w:tcMar>
              <w:bottom w:w="0" w:type="dxa"/>
            </w:tcMar>
            <w:vAlign w:val="center"/>
          </w:tcPr>
          <w:p>
            <w:pPr>
              <w:pStyle w:val="TableContents"/>
              <w:bidi w:val="0"/>
              <w:spacing w:before="0" w:after="283"/>
              <w:jc w:val="left"/>
              <w:rPr/>
            </w:pPr>
            <w:r>
              <w:rPr/>
              <w:t> </w:t>
            </w:r>
          </w:p>
        </w:tc>
      </w:tr>
      <w:tr>
        <w:trPr/>
        <w:tc>
          <w:tcPr>
            <w:tcW w:w="4385" w:type="dxa"/>
            <w:tcBorders>
              <w:bottom w:val="single" w:sz="8" w:space="0" w:color="000000"/>
            </w:tcBorders>
            <w:shd w:fill="CCEEFF" w:val="clear"/>
            <w:tcMar>
              <w:bottom w:w="30" w:type="dxa"/>
            </w:tcMar>
            <w:vAlign w:val="center"/>
          </w:tcPr>
          <w:p>
            <w:pPr>
              <w:pStyle w:val="TableContents"/>
              <w:bidi w:val="0"/>
              <w:spacing w:before="0" w:after="283"/>
              <w:jc w:val="left"/>
              <w:rPr/>
            </w:pPr>
            <w:r>
              <w:rPr/>
              <w:t>Transaction costs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vAlign w:val="center"/>
          </w:tcPr>
          <w:p>
            <w:pPr>
              <w:pStyle w:val="TableContents"/>
              <w:bidi w:val="0"/>
              <w:spacing w:before="0" w:after="283"/>
              <w:jc w:val="left"/>
              <w:rPr/>
            </w:pPr>
            <w:r>
              <w:rPr/>
              <w:t> </w:t>
            </w:r>
          </w:p>
        </w:tc>
        <w:tc>
          <w:tcPr>
            <w:tcW w:w="1762" w:type="dxa"/>
            <w:tcBorders>
              <w:bottom w:val="single" w:sz="8" w:space="0" w:color="000000"/>
            </w:tcBorders>
            <w:shd w:fill="CCEEFF" w:val="clear"/>
            <w:vAlign w:val="center"/>
          </w:tcPr>
          <w:p>
            <w:pPr>
              <w:pStyle w:val="TableContents"/>
              <w:bidi w:val="0"/>
              <w:spacing w:before="0" w:after="283"/>
              <w:jc w:val="right"/>
              <w:rPr/>
            </w:pPr>
            <w:r>
              <w:rPr/>
              <w:t>17</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vAlign w:val="center"/>
          </w:tcPr>
          <w:p>
            <w:pPr>
              <w:pStyle w:val="TableContents"/>
              <w:bidi w:val="0"/>
              <w:spacing w:before="0" w:after="283"/>
              <w:jc w:val="left"/>
              <w:rPr/>
            </w:pPr>
            <w:r>
              <w:rPr/>
              <w:t> </w:t>
            </w:r>
          </w:p>
        </w:tc>
        <w:tc>
          <w:tcPr>
            <w:tcW w:w="693" w:type="dxa"/>
            <w:tcBorders>
              <w:bottom w:val="single" w:sz="8" w:space="0" w:color="000000"/>
            </w:tcBorders>
            <w:shd w:fill="CCEEFF" w:val="clear"/>
            <w:vAlign w:val="center"/>
          </w:tcPr>
          <w:p>
            <w:pPr>
              <w:pStyle w:val="TableContents"/>
              <w:bidi w:val="0"/>
              <w:spacing w:before="0" w:after="283"/>
              <w:jc w:val="right"/>
              <w:rPr/>
            </w:pPr>
            <w:r>
              <w:rPr/>
              <w:t>4</w:t>
            </w:r>
          </w:p>
        </w:tc>
        <w:tc>
          <w:tcPr>
            <w:tcW w:w="13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r>
      <w:tr>
        <w:trPr/>
        <w:tc>
          <w:tcPr>
            <w:tcW w:w="438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6" w:type="dxa"/>
            <w:tcBorders>
              <w:bottom w:val="single" w:sz="12" w:space="0" w:color="000000"/>
            </w:tcBorders>
            <w:vAlign w:val="center"/>
          </w:tcPr>
          <w:p>
            <w:pPr>
              <w:pStyle w:val="TableContents"/>
              <w:bidi w:val="0"/>
              <w:spacing w:before="0" w:after="283"/>
              <w:jc w:val="left"/>
              <w:rPr/>
            </w:pPr>
            <w:r>
              <w:rPr/>
              <w:t> </w:t>
            </w:r>
          </w:p>
        </w:tc>
        <w:tc>
          <w:tcPr>
            <w:tcW w:w="474"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7" w:type="dxa"/>
            <w:tcBorders>
              <w:bottom w:val="single" w:sz="12" w:space="0" w:color="000000"/>
            </w:tcBorders>
            <w:vAlign w:val="center"/>
          </w:tcPr>
          <w:p>
            <w:pPr>
              <w:pStyle w:val="TableContents"/>
              <w:bidi w:val="0"/>
              <w:spacing w:before="0" w:after="283"/>
              <w:jc w:val="left"/>
              <w:rPr/>
            </w:pPr>
            <w:r>
              <w:rPr/>
              <w:t> </w:t>
            </w:r>
          </w:p>
        </w:tc>
        <w:tc>
          <w:tcPr>
            <w:tcW w:w="1762" w:type="dxa"/>
            <w:tcBorders>
              <w:bottom w:val="single" w:sz="12" w:space="0" w:color="000000"/>
            </w:tcBorders>
            <w:vAlign w:val="center"/>
          </w:tcPr>
          <w:p>
            <w:pPr>
              <w:pStyle w:val="TableContents"/>
              <w:bidi w:val="0"/>
              <w:spacing w:before="0" w:after="283"/>
              <w:jc w:val="right"/>
              <w:rPr>
                <w:b/>
              </w:rPr>
            </w:pPr>
            <w:r>
              <w:rPr>
                <w:b/>
              </w:rPr>
              <w:t>1,112</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2" w:type="dxa"/>
            <w:tcBorders>
              <w:bottom w:val="single" w:sz="12" w:space="0" w:color="000000"/>
            </w:tcBorders>
            <w:vAlign w:val="center"/>
          </w:tcPr>
          <w:p>
            <w:pPr>
              <w:pStyle w:val="TableContents"/>
              <w:bidi w:val="0"/>
              <w:spacing w:before="0" w:after="283"/>
              <w:jc w:val="left"/>
              <w:rPr/>
            </w:pPr>
            <w:r>
              <w:rPr/>
              <w:t> </w:t>
            </w:r>
          </w:p>
        </w:tc>
        <w:tc>
          <w:tcPr>
            <w:tcW w:w="693" w:type="dxa"/>
            <w:tcBorders>
              <w:bottom w:val="single" w:sz="12" w:space="0" w:color="000000"/>
            </w:tcBorders>
            <w:vAlign w:val="center"/>
          </w:tcPr>
          <w:p>
            <w:pPr>
              <w:pStyle w:val="TableContents"/>
              <w:bidi w:val="0"/>
              <w:spacing w:before="0" w:after="283"/>
              <w:jc w:val="right"/>
              <w:rPr>
                <w:b/>
              </w:rPr>
            </w:pPr>
            <w:r>
              <w:rPr>
                <w:b/>
              </w:rPr>
              <w:t>454</w:t>
            </w:r>
          </w:p>
        </w:tc>
        <w:tc>
          <w:tcPr>
            <w:tcW w:w="135"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43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385" w:type="dxa"/>
            <w:tcBorders/>
            <w:tcMar>
              <w:bottom w:w="0" w:type="dxa"/>
            </w:tcMar>
            <w:vAlign w:val="center"/>
          </w:tcPr>
          <w:p>
            <w:pPr>
              <w:pStyle w:val="TableContents"/>
              <w:bidi w:val="0"/>
              <w:spacing w:before="0" w:after="283"/>
              <w:jc w:val="left"/>
              <w:rPr>
                <w:b/>
              </w:rPr>
            </w:pPr>
            <w:r>
              <w:rPr>
                <w:b/>
              </w:rPr>
              <w:t>Net assets acquired</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7" w:type="dxa"/>
            <w:tcBorders/>
            <w:tcMar>
              <w:bottom w:w="0" w:type="dxa"/>
            </w:tcMar>
            <w:vAlign w:val="center"/>
          </w:tcPr>
          <w:p>
            <w:pPr>
              <w:pStyle w:val="TableContents"/>
              <w:bidi w:val="0"/>
              <w:spacing w:before="0" w:after="283"/>
              <w:jc w:val="left"/>
              <w:rPr/>
            </w:pPr>
            <w:r>
              <w:rPr/>
              <w:t> </w:t>
            </w:r>
          </w:p>
        </w:tc>
        <w:tc>
          <w:tcPr>
            <w:tcW w:w="176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 w:type="dxa"/>
            <w:tcBorders/>
            <w:tcMar>
              <w:bottom w:w="0" w:type="dxa"/>
            </w:tcMar>
            <w:vAlign w:val="center"/>
          </w:tcPr>
          <w:p>
            <w:pPr>
              <w:pStyle w:val="TableContents"/>
              <w:bidi w:val="0"/>
              <w:spacing w:before="0" w:after="283"/>
              <w:jc w:val="left"/>
              <w:rPr/>
            </w:pPr>
            <w:r>
              <w:rPr/>
              <w:t> </w:t>
            </w:r>
          </w:p>
        </w:tc>
        <w:tc>
          <w:tcPr>
            <w:tcW w:w="693"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385" w:type="dxa"/>
            <w:tcBorders/>
            <w:shd w:fill="CCEEFF" w:val="clear"/>
            <w:tcMar>
              <w:bottom w:w="0" w:type="dxa"/>
            </w:tcMar>
            <w:vAlign w:val="center"/>
          </w:tcPr>
          <w:p>
            <w:pPr>
              <w:pStyle w:val="TableContents"/>
              <w:bidi w:val="0"/>
              <w:spacing w:before="0" w:after="283"/>
              <w:jc w:val="left"/>
              <w:rPr/>
            </w:pPr>
            <w:r>
              <w:rPr/>
              <w:t>Cash, cash equivalent and other current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pPr>
            <w:r>
              <w:rPr/>
              <w:t>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27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385" w:type="dxa"/>
            <w:tcBorders/>
            <w:tcMar>
              <w:bottom w:w="0" w:type="dxa"/>
            </w:tcMar>
            <w:vAlign w:val="center"/>
          </w:tcPr>
          <w:p>
            <w:pPr>
              <w:pStyle w:val="TableContents"/>
              <w:bidi w:val="0"/>
              <w:spacing w:before="0" w:after="283"/>
              <w:jc w:val="left"/>
              <w:rPr/>
            </w:pPr>
            <w:r>
              <w:rPr/>
              <w:t>Property, plant and equipment</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7" w:type="dxa"/>
            <w:tcBorders/>
            <w:tcMar>
              <w:bottom w:w="0" w:type="dxa"/>
            </w:tcMar>
            <w:vAlign w:val="center"/>
          </w:tcPr>
          <w:p>
            <w:pPr>
              <w:pStyle w:val="TableContents"/>
              <w:bidi w:val="0"/>
              <w:spacing w:before="0" w:after="283"/>
              <w:jc w:val="left"/>
              <w:rPr/>
            </w:pPr>
            <w:r>
              <w:rPr/>
              <w:t> </w:t>
            </w:r>
          </w:p>
        </w:tc>
        <w:tc>
          <w:tcPr>
            <w:tcW w:w="1762" w:type="dxa"/>
            <w:tcBorders/>
            <w:tcMar>
              <w:bottom w:w="0" w:type="dxa"/>
            </w:tcMar>
            <w:vAlign w:val="center"/>
          </w:tcPr>
          <w:p>
            <w:pPr>
              <w:pStyle w:val="TableContents"/>
              <w:bidi w:val="0"/>
              <w:spacing w:before="0" w:after="283"/>
              <w:jc w:val="right"/>
              <w:rPr/>
            </w:pPr>
            <w:r>
              <w:rPr/>
              <w:t>30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 w:type="dxa"/>
            <w:tcBorders/>
            <w:tcMar>
              <w:bottom w:w="0" w:type="dxa"/>
            </w:tcMar>
            <w:vAlign w:val="center"/>
          </w:tcPr>
          <w:p>
            <w:pPr>
              <w:pStyle w:val="TableContents"/>
              <w:bidi w:val="0"/>
              <w:spacing w:before="0" w:after="283"/>
              <w:jc w:val="left"/>
              <w:rPr/>
            </w:pPr>
            <w:r>
              <w:rPr/>
              <w:t> </w:t>
            </w:r>
          </w:p>
        </w:tc>
        <w:tc>
          <w:tcPr>
            <w:tcW w:w="693" w:type="dxa"/>
            <w:tcBorders/>
            <w:tcMar>
              <w:bottom w:w="0" w:type="dxa"/>
            </w:tcMar>
            <w:vAlign w:val="center"/>
          </w:tcPr>
          <w:p>
            <w:pPr>
              <w:pStyle w:val="TableContents"/>
              <w:bidi w:val="0"/>
              <w:spacing w:before="0" w:after="283"/>
              <w:jc w:val="right"/>
              <w:rPr/>
            </w:pPr>
            <w:r>
              <w:rPr/>
              <w:t>6</w:t>
            </w:r>
          </w:p>
        </w:tc>
        <w:tc>
          <w:tcPr>
            <w:tcW w:w="135" w:type="dxa"/>
            <w:tcBorders/>
            <w:tcMar>
              <w:bottom w:w="0" w:type="dxa"/>
            </w:tcMar>
            <w:vAlign w:val="center"/>
          </w:tcPr>
          <w:p>
            <w:pPr>
              <w:pStyle w:val="TableContents"/>
              <w:bidi w:val="0"/>
              <w:spacing w:before="0" w:after="283"/>
              <w:jc w:val="left"/>
              <w:rPr/>
            </w:pPr>
            <w:r>
              <w:rPr/>
              <w:t> </w:t>
            </w:r>
          </w:p>
        </w:tc>
      </w:tr>
      <w:tr>
        <w:trPr/>
        <w:tc>
          <w:tcPr>
            <w:tcW w:w="4385" w:type="dxa"/>
            <w:tcBorders>
              <w:bottom w:val="single" w:sz="8" w:space="0" w:color="000000"/>
            </w:tcBorders>
            <w:shd w:fill="CCEEFF" w:val="clear"/>
            <w:tcMar>
              <w:bottom w:w="30" w:type="dxa"/>
            </w:tcMar>
            <w:vAlign w:val="center"/>
          </w:tcPr>
          <w:p>
            <w:pPr>
              <w:pStyle w:val="TableContents"/>
              <w:bidi w:val="0"/>
              <w:spacing w:before="0" w:after="283"/>
              <w:jc w:val="left"/>
              <w:rPr/>
            </w:pPr>
            <w:r>
              <w:rPr/>
              <w:t>Intangible - access rights to electricity</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pPr>
            <w:r>
              <w:rPr/>
              <w:t>13</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vAlign w:val="center"/>
          </w:tcPr>
          <w:p>
            <w:pPr>
              <w:pStyle w:val="TableContents"/>
              <w:bidi w:val="0"/>
              <w:spacing w:before="0" w:after="283"/>
              <w:jc w:val="left"/>
              <w:rPr/>
            </w:pPr>
            <w:r>
              <w:rPr/>
              <w:t> </w:t>
            </w:r>
          </w:p>
        </w:tc>
        <w:tc>
          <w:tcPr>
            <w:tcW w:w="1762" w:type="dxa"/>
            <w:tcBorders>
              <w:bottom w:val="single" w:sz="8" w:space="0" w:color="000000"/>
            </w:tcBorders>
            <w:shd w:fill="CCEEFF" w:val="clear"/>
            <w:vAlign w:val="center"/>
          </w:tcPr>
          <w:p>
            <w:pPr>
              <w:pStyle w:val="TableContents"/>
              <w:bidi w:val="0"/>
              <w:spacing w:before="0" w:after="283"/>
              <w:jc w:val="right"/>
              <w:rPr/>
            </w:pPr>
            <w:r>
              <w:rPr/>
              <w:t>1,065</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vAlign w:val="center"/>
          </w:tcPr>
          <w:p>
            <w:pPr>
              <w:pStyle w:val="TableContents"/>
              <w:bidi w:val="0"/>
              <w:spacing w:before="0" w:after="283"/>
              <w:jc w:val="left"/>
              <w:rPr/>
            </w:pPr>
            <w:r>
              <w:rPr/>
              <w:t> </w:t>
            </w:r>
          </w:p>
        </w:tc>
        <w:tc>
          <w:tcPr>
            <w:tcW w:w="693" w:type="dxa"/>
            <w:tcBorders>
              <w:bottom w:val="single" w:sz="8" w:space="0" w:color="000000"/>
            </w:tcBorders>
            <w:shd w:fill="CCEEFF" w:val="clear"/>
            <w:vAlign w:val="center"/>
          </w:tcPr>
          <w:p>
            <w:pPr>
              <w:pStyle w:val="TableContents"/>
              <w:bidi w:val="0"/>
              <w:spacing w:before="0" w:after="283"/>
              <w:jc w:val="right"/>
              <w:rPr/>
            </w:pPr>
            <w:r>
              <w:rPr/>
              <w:t>421</w:t>
            </w:r>
          </w:p>
        </w:tc>
        <w:tc>
          <w:tcPr>
            <w:tcW w:w="13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r>
      <w:tr>
        <w:trPr/>
        <w:tc>
          <w:tcPr>
            <w:tcW w:w="438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6" w:type="dxa"/>
            <w:tcBorders>
              <w:bottom w:val="single" w:sz="12" w:space="0" w:color="000000"/>
            </w:tcBorders>
            <w:vAlign w:val="center"/>
          </w:tcPr>
          <w:p>
            <w:pPr>
              <w:pStyle w:val="TableContents"/>
              <w:bidi w:val="0"/>
              <w:spacing w:before="0" w:after="283"/>
              <w:jc w:val="left"/>
              <w:rPr/>
            </w:pPr>
            <w:r>
              <w:rPr/>
              <w:t> </w:t>
            </w:r>
          </w:p>
        </w:tc>
        <w:tc>
          <w:tcPr>
            <w:tcW w:w="474"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7" w:type="dxa"/>
            <w:tcBorders>
              <w:bottom w:val="single" w:sz="12" w:space="0" w:color="000000"/>
            </w:tcBorders>
            <w:vAlign w:val="center"/>
          </w:tcPr>
          <w:p>
            <w:pPr>
              <w:pStyle w:val="TableContents"/>
              <w:bidi w:val="0"/>
              <w:spacing w:before="0" w:after="283"/>
              <w:jc w:val="left"/>
              <w:rPr/>
            </w:pPr>
            <w:r>
              <w:rPr/>
              <w:t> </w:t>
            </w:r>
          </w:p>
        </w:tc>
        <w:tc>
          <w:tcPr>
            <w:tcW w:w="1762" w:type="dxa"/>
            <w:tcBorders>
              <w:bottom w:val="single" w:sz="12" w:space="0" w:color="000000"/>
            </w:tcBorders>
            <w:vAlign w:val="center"/>
          </w:tcPr>
          <w:p>
            <w:pPr>
              <w:pStyle w:val="TableContents"/>
              <w:bidi w:val="0"/>
              <w:spacing w:before="0" w:after="283"/>
              <w:jc w:val="right"/>
              <w:rPr>
                <w:b/>
              </w:rPr>
            </w:pPr>
            <w:r>
              <w:rPr>
                <w:b/>
              </w:rPr>
              <w:t>1,112</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2" w:type="dxa"/>
            <w:tcBorders>
              <w:bottom w:val="single" w:sz="12" w:space="0" w:color="000000"/>
            </w:tcBorders>
            <w:vAlign w:val="center"/>
          </w:tcPr>
          <w:p>
            <w:pPr>
              <w:pStyle w:val="TableContents"/>
              <w:bidi w:val="0"/>
              <w:spacing w:before="0" w:after="283"/>
              <w:jc w:val="left"/>
              <w:rPr/>
            </w:pPr>
            <w:r>
              <w:rPr/>
              <w:t> </w:t>
            </w:r>
          </w:p>
        </w:tc>
        <w:tc>
          <w:tcPr>
            <w:tcW w:w="693" w:type="dxa"/>
            <w:tcBorders>
              <w:bottom w:val="single" w:sz="12" w:space="0" w:color="000000"/>
            </w:tcBorders>
            <w:vAlign w:val="center"/>
          </w:tcPr>
          <w:p>
            <w:pPr>
              <w:pStyle w:val="TableContents"/>
              <w:bidi w:val="0"/>
              <w:spacing w:before="0" w:after="283"/>
              <w:jc w:val="right"/>
              <w:rPr>
                <w:b/>
              </w:rPr>
            </w:pPr>
            <w:r>
              <w:rPr>
                <w:b/>
              </w:rPr>
              <w:t>454</w:t>
            </w:r>
          </w:p>
        </w:tc>
        <w:tc>
          <w:tcPr>
            <w:tcW w:w="135" w:type="dxa"/>
            <w:tcBorders>
              <w:bottom w:val="single" w:sz="12" w:space="0" w:color="000000"/>
            </w:tcBorders>
            <w:tcMar>
              <w:bottom w:w="3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34 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 w:name="a_014"/>
      <w:bookmarkStart w:id="35" w:name="a_014"/>
      <w:bookmarkEnd w:id="35"/>
    </w:p>
    <w:tbl>
      <w:tblPr>
        <w:tblW w:w="3858" w:type="dxa"/>
        <w:jc w:val="left"/>
        <w:tblInd w:w="0" w:type="dxa"/>
        <w:tblLayout w:type="fixed"/>
        <w:tblCellMar>
          <w:top w:w="0" w:type="dxa"/>
          <w:left w:w="0" w:type="dxa"/>
          <w:bottom w:w="0" w:type="dxa"/>
          <w:right w:w="0" w:type="dxa"/>
        </w:tblCellMar>
      </w:tblPr>
      <w:tblGrid>
        <w:gridCol w:w="68"/>
        <w:gridCol w:w="995"/>
        <w:gridCol w:w="2795"/>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6:</w:t>
            </w:r>
          </w:p>
        </w:tc>
        <w:tc>
          <w:tcPr>
            <w:tcW w:w="2795" w:type="dxa"/>
            <w:tcBorders/>
            <w:vAlign w:val="center"/>
          </w:tcPr>
          <w:p>
            <w:pPr>
              <w:pStyle w:val="TableContents"/>
              <w:bidi w:val="0"/>
              <w:spacing w:before="0" w:after="283"/>
              <w:jc w:val="both"/>
              <w:rPr>
                <w:b/>
              </w:rPr>
            </w:pPr>
            <w:r>
              <w:rPr>
                <w:b/>
              </w:rPr>
              <w:t>TRADE RECEIVABLES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represents the Company’s right to an amount of consideration that is unconditional (i.e., only the passage of time is required before payment of the consideration is due). Most trade receivables are derived from the sale of electrical components and services to external customers by the Company’s wholly-owned subsidiary, Volta. Trade receivables are non-interest bearing and are generally on terms of 30 to 90 days.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credit risk exposure of the Company’s trade receivables as of December 31, 2024 and December 31, 2023 is detailed in the trade receivables aging as follows:</w:t>
      </w:r>
    </w:p>
    <w:p>
      <w:pPr>
        <w:pStyle w:val="TextBody"/>
        <w:bidi w:val="0"/>
        <w:spacing w:before="0" w:after="0"/>
        <w:jc w:val="both"/>
        <w:rPr>
          <w:caps w:val="false"/>
          <w:smallCaps w:val="false"/>
        </w:rPr>
      </w:pPr>
      <w:r>
        <w:rPr>
          <w:caps w:val="false"/>
          <w:smallCaps w:val="false"/>
        </w:rPr>
        <w:t> </w:t>
      </w:r>
    </w:p>
    <w:tbl>
      <w:tblPr>
        <w:tblW w:w="6428" w:type="dxa"/>
        <w:jc w:val="left"/>
        <w:tblInd w:w="0" w:type="dxa"/>
        <w:tblLayout w:type="fixed"/>
        <w:tblCellMar>
          <w:top w:w="0" w:type="dxa"/>
          <w:left w:w="0" w:type="dxa"/>
          <w:bottom w:w="28" w:type="dxa"/>
          <w:right w:w="0" w:type="dxa"/>
        </w:tblCellMar>
      </w:tblPr>
      <w:tblGrid>
        <w:gridCol w:w="1955"/>
        <w:gridCol w:w="90"/>
        <w:gridCol w:w="267"/>
        <w:gridCol w:w="1762"/>
        <w:gridCol w:w="125"/>
        <w:gridCol w:w="90"/>
        <w:gridCol w:w="353"/>
        <w:gridCol w:w="1616"/>
        <w:gridCol w:w="170"/>
      </w:tblGrid>
      <w:tr>
        <w:trPr/>
        <w:tc>
          <w:tcPr>
            <w:tcW w:w="195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As of December 31,</w:t>
            </w:r>
          </w:p>
        </w:tc>
        <w:tc>
          <w:tcPr>
            <w:tcW w:w="170"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195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pPr>
            <w:r>
              <w:rPr/>
              <w:t>1 - 30 days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b/>
              </w:rPr>
            </w:pPr>
            <w:r>
              <w:rPr>
                <w:b/>
              </w:rPr>
              <w:t>573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pPr>
            <w:r>
              <w:rPr/>
              <w:t>353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31 - 60 days</w:t>
            </w:r>
          </w:p>
        </w:tc>
        <w:tc>
          <w:tcPr>
            <w:tcW w:w="90" w:type="dxa"/>
            <w:tcBorders/>
            <w:tcMar>
              <w:bottom w:w="0" w:type="dxa"/>
            </w:tcMar>
            <w:vAlign w:val="center"/>
          </w:tcPr>
          <w:p>
            <w:pPr>
              <w:pStyle w:val="TableContents"/>
              <w:bidi w:val="0"/>
              <w:spacing w:before="0" w:after="283"/>
              <w:jc w:val="left"/>
              <w:rPr/>
            </w:pPr>
            <w:r>
              <w:rPr/>
              <w:t> </w:t>
            </w:r>
          </w:p>
        </w:tc>
        <w:tc>
          <w:tcPr>
            <w:tcW w:w="267" w:type="dxa"/>
            <w:tcBorders/>
            <w:tcMar>
              <w:bottom w:w="0" w:type="dxa"/>
            </w:tcMar>
            <w:vAlign w:val="center"/>
          </w:tcPr>
          <w:p>
            <w:pPr>
              <w:pStyle w:val="TableContents"/>
              <w:bidi w:val="0"/>
              <w:spacing w:before="0" w:after="283"/>
              <w:jc w:val="left"/>
              <w:rPr/>
            </w:pPr>
            <w:r>
              <w:rPr/>
              <w:t> </w:t>
            </w:r>
          </w:p>
        </w:tc>
        <w:tc>
          <w:tcPr>
            <w:tcW w:w="1762" w:type="dxa"/>
            <w:tcBorders/>
            <w:tcMar>
              <w:bottom w:w="0" w:type="dxa"/>
            </w:tcMar>
            <w:vAlign w:val="center"/>
          </w:tcPr>
          <w:p>
            <w:pPr>
              <w:pStyle w:val="TableContents"/>
              <w:bidi w:val="0"/>
              <w:spacing w:before="0" w:after="283"/>
              <w:jc w:val="right"/>
              <w:rPr>
                <w:b/>
              </w:rPr>
            </w:pPr>
            <w:r>
              <w:rPr>
                <w:b/>
              </w:rPr>
              <w:t>331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3" w:type="dxa"/>
            <w:tcBorders/>
            <w:tcMar>
              <w:bottom w:w="0" w:type="dxa"/>
            </w:tcMar>
            <w:vAlign w:val="center"/>
          </w:tcPr>
          <w:p>
            <w:pPr>
              <w:pStyle w:val="TableContents"/>
              <w:bidi w:val="0"/>
              <w:spacing w:before="0" w:after="283"/>
              <w:jc w:val="left"/>
              <w:rPr/>
            </w:pPr>
            <w:r>
              <w:rPr/>
              <w:t> </w:t>
            </w:r>
          </w:p>
        </w:tc>
        <w:tc>
          <w:tcPr>
            <w:tcW w:w="1616" w:type="dxa"/>
            <w:tcBorders/>
            <w:tcMar>
              <w:bottom w:w="0" w:type="dxa"/>
            </w:tcMar>
            <w:vAlign w:val="center"/>
          </w:tcPr>
          <w:p>
            <w:pPr>
              <w:pStyle w:val="TableContents"/>
              <w:bidi w:val="0"/>
              <w:spacing w:before="0" w:after="283"/>
              <w:jc w:val="right"/>
              <w:rPr/>
            </w:pPr>
            <w:r>
              <w:rPr/>
              <w:t>119</w:t>
            </w:r>
          </w:p>
        </w:tc>
        <w:tc>
          <w:tcPr>
            <w:tcW w:w="170"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pPr>
            <w:r>
              <w:rPr/>
              <w:t>61 - 90 days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b/>
              </w:rPr>
            </w:pPr>
            <w:r>
              <w:rPr>
                <w:b/>
              </w:rPr>
              <w:t>189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pPr>
            <w:r>
              <w:rPr/>
              <w:t>63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&gt; 91 days</w:t>
            </w:r>
          </w:p>
        </w:tc>
        <w:tc>
          <w:tcPr>
            <w:tcW w:w="90" w:type="dxa"/>
            <w:tcBorders/>
            <w:tcMar>
              <w:bottom w:w="0" w:type="dxa"/>
            </w:tcMar>
            <w:vAlign w:val="center"/>
          </w:tcPr>
          <w:p>
            <w:pPr>
              <w:pStyle w:val="TableContents"/>
              <w:bidi w:val="0"/>
              <w:spacing w:before="0" w:after="283"/>
              <w:jc w:val="left"/>
              <w:rPr/>
            </w:pPr>
            <w:r>
              <w:rPr/>
              <w:t> </w:t>
            </w:r>
          </w:p>
        </w:tc>
        <w:tc>
          <w:tcPr>
            <w:tcW w:w="267" w:type="dxa"/>
            <w:tcBorders/>
            <w:tcMar>
              <w:bottom w:w="0" w:type="dxa"/>
            </w:tcMar>
            <w:vAlign w:val="center"/>
          </w:tcPr>
          <w:p>
            <w:pPr>
              <w:pStyle w:val="TableContents"/>
              <w:bidi w:val="0"/>
              <w:spacing w:before="0" w:after="283"/>
              <w:jc w:val="left"/>
              <w:rPr/>
            </w:pPr>
            <w:r>
              <w:rPr/>
              <w:t> </w:t>
            </w:r>
          </w:p>
        </w:tc>
        <w:tc>
          <w:tcPr>
            <w:tcW w:w="1762" w:type="dxa"/>
            <w:tcBorders/>
            <w:tcMar>
              <w:bottom w:w="0" w:type="dxa"/>
            </w:tcMar>
            <w:vAlign w:val="center"/>
          </w:tcPr>
          <w:p>
            <w:pPr>
              <w:pStyle w:val="TableContents"/>
              <w:bidi w:val="0"/>
              <w:spacing w:before="0" w:after="283"/>
              <w:jc w:val="right"/>
              <w:rPr>
                <w:b/>
              </w:rPr>
            </w:pPr>
            <w:r>
              <w:rPr>
                <w:b/>
              </w:rPr>
              <w:t>213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3" w:type="dxa"/>
            <w:tcBorders/>
            <w:tcMar>
              <w:bottom w:w="0" w:type="dxa"/>
            </w:tcMar>
            <w:vAlign w:val="center"/>
          </w:tcPr>
          <w:p>
            <w:pPr>
              <w:pStyle w:val="TableContents"/>
              <w:bidi w:val="0"/>
              <w:spacing w:before="0" w:after="283"/>
              <w:jc w:val="left"/>
              <w:rPr/>
            </w:pPr>
            <w:r>
              <w:rPr/>
              <w:t> </w:t>
            </w:r>
          </w:p>
        </w:tc>
        <w:tc>
          <w:tcPr>
            <w:tcW w:w="1616" w:type="dxa"/>
            <w:tcBorders/>
            <w:tcMar>
              <w:bottom w:w="0" w:type="dxa"/>
            </w:tcMar>
            <w:vAlign w:val="center"/>
          </w:tcPr>
          <w:p>
            <w:pPr>
              <w:pStyle w:val="TableContents"/>
              <w:bidi w:val="0"/>
              <w:spacing w:before="0" w:after="283"/>
              <w:jc w:val="right"/>
              <w:rPr/>
            </w:pPr>
            <w:r>
              <w:rPr/>
              <w:t>230</w:t>
            </w:r>
          </w:p>
        </w:tc>
        <w:tc>
          <w:tcPr>
            <w:tcW w:w="170" w:type="dxa"/>
            <w:tcBorders/>
            <w:tcMar>
              <w:bottom w:w="0" w:type="dxa"/>
            </w:tcMar>
            <w:vAlign w:val="center"/>
          </w:tcPr>
          <w:p>
            <w:pPr>
              <w:pStyle w:val="TableContents"/>
              <w:bidi w:val="0"/>
              <w:spacing w:before="0" w:after="283"/>
              <w:jc w:val="left"/>
              <w:rPr/>
            </w:pPr>
            <w:r>
              <w:rPr/>
              <w:t> </w:t>
            </w:r>
          </w:p>
        </w:tc>
      </w:tr>
      <w:tr>
        <w:trPr/>
        <w:tc>
          <w:tcPr>
            <w:tcW w:w="1955" w:type="dxa"/>
            <w:tcBorders>
              <w:bottom w:val="single" w:sz="8" w:space="0" w:color="000000"/>
            </w:tcBorders>
            <w:shd w:fill="CCEEFF" w:val="clear"/>
            <w:tcMar>
              <w:bottom w:w="30" w:type="dxa"/>
            </w:tcMar>
            <w:vAlign w:val="center"/>
          </w:tcPr>
          <w:p>
            <w:pPr>
              <w:pStyle w:val="TableContents"/>
              <w:bidi w:val="0"/>
              <w:spacing w:before="0" w:after="283"/>
              <w:jc w:val="left"/>
              <w:rPr/>
            </w:pPr>
            <w:r>
              <w:rPr/>
              <w:t>Allowance for ECL</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vAlign w:val="center"/>
          </w:tcPr>
          <w:p>
            <w:pPr>
              <w:pStyle w:val="TableContents"/>
              <w:bidi w:val="0"/>
              <w:spacing w:before="0" w:after="283"/>
              <w:jc w:val="left"/>
              <w:rPr/>
            </w:pPr>
            <w:r>
              <w:rPr/>
              <w:t> </w:t>
            </w:r>
          </w:p>
        </w:tc>
        <w:tc>
          <w:tcPr>
            <w:tcW w:w="1762" w:type="dxa"/>
            <w:tcBorders>
              <w:bottom w:val="single" w:sz="8" w:space="0" w:color="000000"/>
            </w:tcBorders>
            <w:shd w:fill="CCEEFF" w:val="clear"/>
            <w:vAlign w:val="center"/>
          </w:tcPr>
          <w:p>
            <w:pPr>
              <w:pStyle w:val="TableContents"/>
              <w:bidi w:val="0"/>
              <w:spacing w:before="0" w:after="283"/>
              <w:jc w:val="right"/>
              <w:rPr>
                <w:b/>
              </w:rPr>
            </w:pPr>
            <w:r>
              <w:rPr>
                <w:b/>
              </w:rPr>
              <w:t>(47</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vAlign w:val="center"/>
          </w:tcPr>
          <w:p>
            <w:pPr>
              <w:pStyle w:val="TableContents"/>
              <w:bidi w:val="0"/>
              <w:spacing w:before="0" w:after="283"/>
              <w:jc w:val="left"/>
              <w:rPr/>
            </w:pPr>
            <w:r>
              <w:rPr/>
              <w:t> </w:t>
            </w:r>
          </w:p>
        </w:tc>
        <w:tc>
          <w:tcPr>
            <w:tcW w:w="1616" w:type="dxa"/>
            <w:tcBorders>
              <w:bottom w:val="single" w:sz="8" w:space="0" w:color="000000"/>
            </w:tcBorders>
            <w:shd w:fill="CCEEFF" w:val="clear"/>
            <w:vAlign w:val="center"/>
          </w:tcPr>
          <w:p>
            <w:pPr>
              <w:pStyle w:val="TableContents"/>
              <w:bidi w:val="0"/>
              <w:spacing w:before="0" w:after="283"/>
              <w:jc w:val="right"/>
              <w:rPr/>
            </w:pPr>
            <w:r>
              <w:rPr/>
              <w:t>(51</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195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7" w:type="dxa"/>
            <w:tcBorders>
              <w:bottom w:val="single" w:sz="12" w:space="0" w:color="000000"/>
            </w:tcBorders>
            <w:vAlign w:val="center"/>
          </w:tcPr>
          <w:p>
            <w:pPr>
              <w:pStyle w:val="TableContents"/>
              <w:bidi w:val="0"/>
              <w:spacing w:before="0" w:after="283"/>
              <w:jc w:val="left"/>
              <w:rPr/>
            </w:pPr>
            <w:r>
              <w:rPr/>
              <w:t> </w:t>
            </w:r>
          </w:p>
        </w:tc>
        <w:tc>
          <w:tcPr>
            <w:tcW w:w="1762" w:type="dxa"/>
            <w:tcBorders>
              <w:bottom w:val="single" w:sz="12" w:space="0" w:color="000000"/>
            </w:tcBorders>
            <w:vAlign w:val="center"/>
          </w:tcPr>
          <w:p>
            <w:pPr>
              <w:pStyle w:val="TableContents"/>
              <w:bidi w:val="0"/>
              <w:spacing w:before="0" w:after="283"/>
              <w:jc w:val="right"/>
              <w:rPr>
                <w:b/>
              </w:rPr>
            </w:pPr>
            <w:r>
              <w:rPr>
                <w:b/>
              </w:rPr>
              <w:t>1,259</w:t>
            </w:r>
          </w:p>
        </w:tc>
        <w:tc>
          <w:tcPr>
            <w:tcW w:w="12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53" w:type="dxa"/>
            <w:tcBorders>
              <w:bottom w:val="single" w:sz="12" w:space="0" w:color="000000"/>
            </w:tcBorders>
            <w:vAlign w:val="center"/>
          </w:tcPr>
          <w:p>
            <w:pPr>
              <w:pStyle w:val="TableContents"/>
              <w:bidi w:val="0"/>
              <w:spacing w:before="0" w:after="283"/>
              <w:jc w:val="left"/>
              <w:rPr/>
            </w:pPr>
            <w:r>
              <w:rPr/>
              <w:t> </w:t>
            </w:r>
          </w:p>
        </w:tc>
        <w:tc>
          <w:tcPr>
            <w:tcW w:w="1616" w:type="dxa"/>
            <w:tcBorders>
              <w:bottom w:val="single" w:sz="12" w:space="0" w:color="000000"/>
            </w:tcBorders>
            <w:vAlign w:val="center"/>
          </w:tcPr>
          <w:p>
            <w:pPr>
              <w:pStyle w:val="TableContents"/>
              <w:bidi w:val="0"/>
              <w:spacing w:before="0" w:after="283"/>
              <w:jc w:val="right"/>
              <w:rPr/>
            </w:pPr>
            <w:r>
              <w:rPr/>
              <w:t>714</w:t>
            </w:r>
          </w:p>
        </w:tc>
        <w:tc>
          <w:tcPr>
            <w:tcW w:w="170" w:type="dxa"/>
            <w:tcBorders>
              <w:bottom w:val="single" w:sz="12" w:space="0" w:color="000000"/>
            </w:tcBorders>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a_015"/>
      <w:bookmarkStart w:id="37" w:name="a_015"/>
      <w:bookmarkEnd w:id="37"/>
    </w:p>
    <w:tbl>
      <w:tblPr>
        <w:tblW w:w="3003" w:type="dxa"/>
        <w:jc w:val="left"/>
        <w:tblInd w:w="0" w:type="dxa"/>
        <w:tblLayout w:type="fixed"/>
        <w:tblCellMar>
          <w:top w:w="0" w:type="dxa"/>
          <w:left w:w="0" w:type="dxa"/>
          <w:bottom w:w="0" w:type="dxa"/>
          <w:right w:w="0" w:type="dxa"/>
        </w:tblCellMar>
      </w:tblPr>
      <w:tblGrid>
        <w:gridCol w:w="68"/>
        <w:gridCol w:w="995"/>
        <w:gridCol w:w="1940"/>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7:</w:t>
            </w:r>
          </w:p>
        </w:tc>
        <w:tc>
          <w:tcPr>
            <w:tcW w:w="1940" w:type="dxa"/>
            <w:tcBorders/>
            <w:vAlign w:val="center"/>
          </w:tcPr>
          <w:p>
            <w:pPr>
              <w:pStyle w:val="TableContents"/>
              <w:bidi w:val="0"/>
              <w:spacing w:before="0" w:after="283"/>
              <w:jc w:val="both"/>
              <w:rPr>
                <w:b/>
              </w:rPr>
            </w:pPr>
            <w:r>
              <w:rPr>
                <w:b/>
              </w:rPr>
              <w:t>OTHER ASSETS</w:t>
            </w:r>
          </w:p>
        </w:tc>
      </w:tr>
    </w:tbl>
    <w:p>
      <w:pPr>
        <w:pStyle w:val="TextBody"/>
        <w:bidi w:val="0"/>
        <w:spacing w:before="0" w:after="0"/>
        <w:jc w:val="both"/>
        <w:rPr>
          <w:caps w:val="false"/>
          <w:smallCaps w:val="false"/>
        </w:rPr>
      </w:pPr>
      <w:r>
        <w:rPr>
          <w:caps w:val="false"/>
          <w:smallCaps w:val="false"/>
        </w:rPr>
        <w:t> </w:t>
      </w:r>
    </w:p>
    <w:tbl>
      <w:tblPr>
        <w:tblW w:w="6523" w:type="dxa"/>
        <w:jc w:val="left"/>
        <w:tblInd w:w="0" w:type="dxa"/>
        <w:tblLayout w:type="fixed"/>
        <w:tblCellMar>
          <w:top w:w="0" w:type="dxa"/>
          <w:left w:w="0" w:type="dxa"/>
          <w:bottom w:w="28" w:type="dxa"/>
          <w:right w:w="0" w:type="dxa"/>
        </w:tblCellMar>
      </w:tblPr>
      <w:tblGrid>
        <w:gridCol w:w="2120"/>
        <w:gridCol w:w="90"/>
        <w:gridCol w:w="267"/>
        <w:gridCol w:w="1762"/>
        <w:gridCol w:w="90"/>
        <w:gridCol w:w="90"/>
        <w:gridCol w:w="259"/>
        <w:gridCol w:w="1710"/>
        <w:gridCol w:w="135"/>
      </w:tblGrid>
      <w:tr>
        <w:trPr/>
        <w:tc>
          <w:tcPr>
            <w:tcW w:w="212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As of December 31,</w:t>
            </w:r>
          </w:p>
        </w:tc>
        <w:tc>
          <w:tcPr>
            <w:tcW w:w="1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12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7" w:type="dxa"/>
            <w:tcBorders>
              <w:bottom w:val="single" w:sz="8" w:space="0" w:color="000000"/>
            </w:tcBorders>
            <w:vAlign w:val="center"/>
          </w:tcPr>
          <w:p>
            <w:pPr>
              <w:pStyle w:val="TableContents"/>
              <w:bidi w:val="0"/>
              <w:spacing w:before="0" w:after="283"/>
              <w:jc w:val="left"/>
              <w:rPr/>
            </w:pPr>
            <w:r>
              <w:rPr/>
              <w:t> </w:t>
            </w:r>
          </w:p>
        </w:tc>
        <w:tc>
          <w:tcPr>
            <w:tcW w:w="1762" w:type="dxa"/>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59" w:type="dxa"/>
            <w:tcBorders>
              <w:bottom w:val="single" w:sz="8" w:space="0" w:color="000000"/>
            </w:tcBorders>
            <w:vAlign w:val="center"/>
          </w:tcPr>
          <w:p>
            <w:pPr>
              <w:pStyle w:val="TableContents"/>
              <w:bidi w:val="0"/>
              <w:spacing w:before="0" w:after="283"/>
              <w:jc w:val="left"/>
              <w:rPr/>
            </w:pPr>
            <w:r>
              <w:rPr/>
              <w:t> </w:t>
            </w:r>
          </w:p>
        </w:tc>
        <w:tc>
          <w:tcPr>
            <w:tcW w:w="1710" w:type="dxa"/>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pPr>
            <w:r>
              <w:rPr/>
              <w:t>Sales taxes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b/>
              </w:rPr>
            </w:pPr>
            <w:r>
              <w:rPr>
                <w:b/>
              </w:rPr>
              <w:t>5,898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710" w:type="dxa"/>
            <w:tcBorders/>
            <w:shd w:fill="CCEEFF" w:val="clear"/>
            <w:tcMar>
              <w:bottom w:w="0" w:type="dxa"/>
            </w:tcMar>
            <w:vAlign w:val="center"/>
          </w:tcPr>
          <w:p>
            <w:pPr>
              <w:pStyle w:val="TableContents"/>
              <w:bidi w:val="0"/>
              <w:spacing w:before="0" w:after="283"/>
              <w:jc w:val="right"/>
              <w:rPr/>
            </w:pPr>
            <w:r>
              <w:rPr/>
              <w:t>805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bottom w:val="single" w:sz="8" w:space="0" w:color="000000"/>
            </w:tcBorders>
            <w:tcMar>
              <w:bottom w:w="30" w:type="dxa"/>
            </w:tcMar>
            <w:vAlign w:val="center"/>
          </w:tcPr>
          <w:p>
            <w:pPr>
              <w:pStyle w:val="TableContents"/>
              <w:bidi w:val="0"/>
              <w:spacing w:before="0" w:after="283"/>
              <w:jc w:val="left"/>
              <w:rPr/>
            </w:pPr>
            <w:r>
              <w:rPr/>
              <w:t>Other receivables</w:t>
            </w:r>
          </w:p>
        </w:tc>
        <w:tc>
          <w:tcPr>
            <w:tcW w:w="90" w:type="dxa"/>
            <w:tcBorders>
              <w:bottom w:val="single" w:sz="8" w:space="0" w:color="000000"/>
            </w:tcBorders>
            <w:vAlign w:val="center"/>
          </w:tcPr>
          <w:p>
            <w:pPr>
              <w:pStyle w:val="TableContents"/>
              <w:bidi w:val="0"/>
              <w:spacing w:before="0" w:after="283"/>
              <w:jc w:val="left"/>
              <w:rPr/>
            </w:pPr>
            <w:r>
              <w:rPr/>
              <w:t> </w:t>
            </w:r>
          </w:p>
        </w:tc>
        <w:tc>
          <w:tcPr>
            <w:tcW w:w="267" w:type="dxa"/>
            <w:tcBorders>
              <w:bottom w:val="single" w:sz="8" w:space="0" w:color="000000"/>
            </w:tcBorders>
            <w:vAlign w:val="center"/>
          </w:tcPr>
          <w:p>
            <w:pPr>
              <w:pStyle w:val="TableContents"/>
              <w:bidi w:val="0"/>
              <w:spacing w:before="0" w:after="283"/>
              <w:jc w:val="left"/>
              <w:rPr/>
            </w:pPr>
            <w:r>
              <w:rPr/>
              <w:t> </w:t>
            </w:r>
          </w:p>
        </w:tc>
        <w:tc>
          <w:tcPr>
            <w:tcW w:w="1762" w:type="dxa"/>
            <w:tcBorders>
              <w:bottom w:val="single" w:sz="8" w:space="0" w:color="000000"/>
            </w:tcBorders>
            <w:vAlign w:val="center"/>
          </w:tcPr>
          <w:p>
            <w:pPr>
              <w:pStyle w:val="TableContents"/>
              <w:bidi w:val="0"/>
              <w:spacing w:before="0" w:after="283"/>
              <w:jc w:val="right"/>
              <w:rPr>
                <w:b/>
              </w:rPr>
            </w:pPr>
            <w:r>
              <w:rPr>
                <w:b/>
              </w:rPr>
              <w:t>1,387</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59" w:type="dxa"/>
            <w:tcBorders>
              <w:bottom w:val="single" w:sz="8" w:space="0" w:color="000000"/>
            </w:tcBorders>
            <w:vAlign w:val="center"/>
          </w:tcPr>
          <w:p>
            <w:pPr>
              <w:pStyle w:val="TableContents"/>
              <w:bidi w:val="0"/>
              <w:spacing w:before="0" w:after="283"/>
              <w:jc w:val="left"/>
              <w:rPr/>
            </w:pPr>
            <w:r>
              <w:rPr/>
              <w:t> </w:t>
            </w:r>
          </w:p>
        </w:tc>
        <w:tc>
          <w:tcPr>
            <w:tcW w:w="1710" w:type="dxa"/>
            <w:tcBorders>
              <w:bottom w:val="single" w:sz="8" w:space="0" w:color="000000"/>
            </w:tcBorders>
            <w:vAlign w:val="center"/>
          </w:tcPr>
          <w:p>
            <w:pPr>
              <w:pStyle w:val="TableContents"/>
              <w:bidi w:val="0"/>
              <w:spacing w:before="0" w:after="283"/>
              <w:jc w:val="right"/>
              <w:rPr/>
            </w:pPr>
            <w:r>
              <w:rPr/>
              <w:t>689</w:t>
            </w:r>
          </w:p>
        </w:tc>
        <w:tc>
          <w:tcPr>
            <w:tcW w:w="1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12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vAlign w:val="center"/>
          </w:tcPr>
          <w:p>
            <w:pPr>
              <w:pStyle w:val="TableContents"/>
              <w:bidi w:val="0"/>
              <w:spacing w:before="0" w:after="283"/>
              <w:jc w:val="left"/>
              <w:rPr/>
            </w:pPr>
            <w:r>
              <w:rPr/>
              <w:t> </w:t>
            </w:r>
          </w:p>
        </w:tc>
        <w:tc>
          <w:tcPr>
            <w:tcW w:w="1762" w:type="dxa"/>
            <w:tcBorders>
              <w:bottom w:val="single" w:sz="12" w:space="0" w:color="000000"/>
            </w:tcBorders>
            <w:shd w:fill="CCEEFF" w:val="clear"/>
            <w:vAlign w:val="center"/>
          </w:tcPr>
          <w:p>
            <w:pPr>
              <w:pStyle w:val="TableContents"/>
              <w:bidi w:val="0"/>
              <w:spacing w:before="0" w:after="283"/>
              <w:jc w:val="right"/>
              <w:rPr>
                <w:b/>
              </w:rPr>
            </w:pPr>
            <w:r>
              <w:rPr>
                <w:b/>
              </w:rPr>
              <w:t>7,285</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vAlign w:val="center"/>
          </w:tcPr>
          <w:p>
            <w:pPr>
              <w:pStyle w:val="TableContents"/>
              <w:bidi w:val="0"/>
              <w:spacing w:before="0" w:after="283"/>
              <w:jc w:val="left"/>
              <w:rPr/>
            </w:pPr>
            <w:r>
              <w:rPr/>
              <w:t> </w:t>
            </w:r>
          </w:p>
        </w:tc>
        <w:tc>
          <w:tcPr>
            <w:tcW w:w="1710" w:type="dxa"/>
            <w:tcBorders>
              <w:bottom w:val="single" w:sz="12" w:space="0" w:color="000000"/>
            </w:tcBorders>
            <w:shd w:fill="CCEEFF" w:val="clear"/>
            <w:vAlign w:val="center"/>
          </w:tcPr>
          <w:p>
            <w:pPr>
              <w:pStyle w:val="TableContents"/>
              <w:bidi w:val="0"/>
              <w:spacing w:before="0" w:after="283"/>
              <w:jc w:val="right"/>
              <w:rPr/>
            </w:pPr>
            <w:r>
              <w:rPr/>
              <w:t>1,494</w:t>
            </w:r>
          </w:p>
        </w:tc>
        <w:tc>
          <w:tcPr>
            <w:tcW w:w="13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35 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8" w:name="a_016"/>
      <w:bookmarkStart w:id="39" w:name="a_016"/>
      <w:bookmarkEnd w:id="39"/>
    </w:p>
    <w:tbl>
      <w:tblPr>
        <w:tblW w:w="3183" w:type="dxa"/>
        <w:jc w:val="left"/>
        <w:tblInd w:w="0" w:type="dxa"/>
        <w:tblLayout w:type="fixed"/>
        <w:tblCellMar>
          <w:top w:w="0" w:type="dxa"/>
          <w:left w:w="0" w:type="dxa"/>
          <w:bottom w:w="0" w:type="dxa"/>
          <w:right w:w="0" w:type="dxa"/>
        </w:tblCellMar>
      </w:tblPr>
      <w:tblGrid>
        <w:gridCol w:w="68"/>
        <w:gridCol w:w="995"/>
        <w:gridCol w:w="2120"/>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8:</w:t>
            </w:r>
          </w:p>
        </w:tc>
        <w:tc>
          <w:tcPr>
            <w:tcW w:w="2120" w:type="dxa"/>
            <w:tcBorders/>
            <w:vAlign w:val="center"/>
          </w:tcPr>
          <w:p>
            <w:pPr>
              <w:pStyle w:val="TableContents"/>
              <w:bidi w:val="0"/>
              <w:spacing w:before="0" w:after="283"/>
              <w:jc w:val="both"/>
              <w:rPr>
                <w:b/>
              </w:rPr>
            </w:pPr>
            <w:r>
              <w:rPr>
                <w:b/>
              </w:rPr>
              <w:t>DIGITAL ASSETS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BTC transactions and the corresponding values for the years ended December 31, 2024 and 2023 were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04"/>
        <w:gridCol w:w="90"/>
        <w:gridCol w:w="113"/>
        <w:gridCol w:w="837"/>
        <w:gridCol w:w="125"/>
        <w:gridCol w:w="90"/>
        <w:gridCol w:w="90"/>
        <w:gridCol w:w="905"/>
        <w:gridCol w:w="125"/>
        <w:gridCol w:w="90"/>
        <w:gridCol w:w="104"/>
        <w:gridCol w:w="771"/>
        <w:gridCol w:w="125"/>
        <w:gridCol w:w="90"/>
        <w:gridCol w:w="90"/>
        <w:gridCol w:w="905"/>
        <w:gridCol w:w="151"/>
      </w:tblGrid>
      <w:tr>
        <w:trPr/>
        <w:tc>
          <w:tcPr>
            <w:tcW w:w="5504" w:type="dxa"/>
            <w:tcBorders>
              <w:bottom w:val="single" w:sz="8" w:space="0" w:color="000000"/>
            </w:tcBorders>
            <w:vAlign w:val="center"/>
          </w:tcPr>
          <w:p>
            <w:pPr>
              <w:pStyle w:val="TableContents"/>
              <w:bidi w:val="0"/>
              <w:spacing w:before="0" w:after="283"/>
              <w:ind w:left="0" w:right="0" w:hanging="180"/>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4460" w:type="dxa"/>
            <w:gridSpan w:val="14"/>
            <w:tcBorders>
              <w:bottom w:val="single" w:sz="8" w:space="0" w:color="000000"/>
            </w:tcBorders>
            <w:vAlign w:val="center"/>
          </w:tcPr>
          <w:p>
            <w:pPr>
              <w:pStyle w:val="TableContents"/>
              <w:bidi w:val="0"/>
              <w:spacing w:before="0" w:after="283"/>
              <w:jc w:val="center"/>
              <w:rPr>
                <w:b/>
              </w:rPr>
            </w:pPr>
            <w:r>
              <w:rPr>
                <w:b/>
              </w:rPr>
              <w:t>Year ended December 31,</w:t>
            </w:r>
          </w:p>
        </w:tc>
        <w:tc>
          <w:tcPr>
            <w:tcW w:w="151"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504"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2160" w:type="dxa"/>
            <w:gridSpan w:val="6"/>
            <w:tcBorders>
              <w:bottom w:val="single" w:sz="8" w:space="0" w:color="000000"/>
            </w:tcBorders>
            <w:vAlign w:val="center"/>
          </w:tcPr>
          <w:p>
            <w:pPr>
              <w:pStyle w:val="TableContents"/>
              <w:bidi w:val="0"/>
              <w:spacing w:before="0" w:after="283"/>
              <w:jc w:val="right"/>
              <w:rPr>
                <w:b/>
              </w:rPr>
            </w:pPr>
            <w:r>
              <w:rPr>
                <w:b/>
              </w:rPr>
              <w:t>2024</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2085" w:type="dxa"/>
            <w:gridSpan w:val="6"/>
            <w:tcBorders>
              <w:bottom w:val="single" w:sz="8" w:space="0" w:color="000000"/>
            </w:tcBorders>
            <w:vAlign w:val="center"/>
          </w:tcPr>
          <w:p>
            <w:pPr>
              <w:pStyle w:val="TableContents"/>
              <w:bidi w:val="0"/>
              <w:spacing w:before="0" w:after="283"/>
              <w:jc w:val="right"/>
              <w:rPr/>
            </w:pPr>
            <w:r>
              <w:rPr/>
              <w:t>2023</w:t>
            </w:r>
          </w:p>
        </w:tc>
        <w:tc>
          <w:tcPr>
            <w:tcW w:w="151"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504"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right"/>
              <w:rPr>
                <w:b/>
              </w:rPr>
            </w:pPr>
            <w:r>
              <w:rPr>
                <w:b/>
              </w:rPr>
              <w:t>Quantity</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right"/>
              <w:rPr>
                <w:b/>
              </w:rPr>
            </w:pPr>
            <w:r>
              <w:rPr>
                <w:b/>
              </w:rPr>
              <w:t>Value</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spacing w:before="0" w:after="283"/>
              <w:jc w:val="right"/>
              <w:rPr/>
            </w:pPr>
            <w:r>
              <w:rPr/>
              <w:t>Quantity</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right"/>
              <w:rPr/>
            </w:pPr>
            <w:r>
              <w:rPr/>
              <w:t>Value</w:t>
            </w:r>
          </w:p>
        </w:tc>
        <w:tc>
          <w:tcPr>
            <w:tcW w:w="151"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504" w:type="dxa"/>
            <w:tcBorders>
              <w:bottom w:val="single" w:sz="8" w:space="0" w:color="000000"/>
            </w:tcBorders>
            <w:shd w:fill="CCEEFF" w:val="clear"/>
            <w:tcMar>
              <w:bottom w:w="30" w:type="dxa"/>
            </w:tcMar>
            <w:vAlign w:val="center"/>
          </w:tcPr>
          <w:p>
            <w:pPr>
              <w:pStyle w:val="TableContents"/>
              <w:bidi w:val="0"/>
              <w:spacing w:before="0" w:after="283"/>
              <w:jc w:val="left"/>
              <w:rPr/>
            </w:pPr>
            <w:r>
              <w:rPr/>
              <w:t>Balance of digital assets including digital assets collateralized as of January 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vAlign w:val="center"/>
          </w:tcPr>
          <w:p>
            <w:pPr>
              <w:pStyle w:val="TableContents"/>
              <w:bidi w:val="0"/>
              <w:spacing w:before="0" w:after="283"/>
              <w:jc w:val="left"/>
              <w:rPr/>
            </w:pPr>
            <w:r>
              <w:rPr/>
              <w:t> </w:t>
            </w:r>
          </w:p>
        </w:tc>
        <w:tc>
          <w:tcPr>
            <w:tcW w:w="837" w:type="dxa"/>
            <w:tcBorders>
              <w:bottom w:val="single" w:sz="8" w:space="0" w:color="000000"/>
            </w:tcBorders>
            <w:shd w:fill="CCEEFF" w:val="clear"/>
            <w:vAlign w:val="center"/>
          </w:tcPr>
          <w:p>
            <w:pPr>
              <w:pStyle w:val="TableContents"/>
              <w:bidi w:val="0"/>
              <w:spacing w:before="0" w:after="283"/>
              <w:jc w:val="right"/>
              <w:rPr>
                <w:b/>
              </w:rPr>
            </w:pPr>
            <w:r>
              <w:rPr>
                <w:b/>
              </w:rPr>
              <w:t>804</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b/>
              </w:rPr>
            </w:pPr>
            <w:r>
              <w:rPr>
                <w:b/>
              </w:rPr>
              <w:t>33,971</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771" w:type="dxa"/>
            <w:tcBorders>
              <w:bottom w:val="single" w:sz="8" w:space="0" w:color="000000"/>
            </w:tcBorders>
            <w:shd w:fill="CCEEFF" w:val="clear"/>
            <w:vAlign w:val="center"/>
          </w:tcPr>
          <w:p>
            <w:pPr>
              <w:pStyle w:val="TableContents"/>
              <w:bidi w:val="0"/>
              <w:spacing w:before="0" w:after="283"/>
              <w:jc w:val="right"/>
              <w:rPr/>
            </w:pPr>
            <w:r>
              <w:rPr/>
              <w:t>405</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pPr>
            <w:r>
              <w:rPr/>
              <w:t>6,705</w:t>
            </w:r>
          </w:p>
        </w:tc>
        <w:tc>
          <w:tcPr>
            <w:tcW w:w="151"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5504" w:type="dxa"/>
            <w:tcBorders/>
            <w:tcMar>
              <w:bottom w:w="0" w:type="dxa"/>
            </w:tcMar>
            <w:vAlign w:val="center"/>
          </w:tcPr>
          <w:p>
            <w:pPr>
              <w:pStyle w:val="TableContents"/>
              <w:bidi w:val="0"/>
              <w:spacing w:before="0" w:after="283"/>
              <w:jc w:val="left"/>
              <w:rPr/>
            </w:pPr>
            <w:r>
              <w:rPr/>
              <w:t>BTC earned*</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837" w:type="dxa"/>
            <w:tcBorders/>
            <w:tcMar>
              <w:bottom w:w="0" w:type="dxa"/>
            </w:tcMar>
            <w:vAlign w:val="center"/>
          </w:tcPr>
          <w:p>
            <w:pPr>
              <w:pStyle w:val="TableContents"/>
              <w:bidi w:val="0"/>
              <w:spacing w:before="0" w:after="283"/>
              <w:jc w:val="right"/>
              <w:rPr>
                <w:b/>
              </w:rPr>
            </w:pPr>
            <w:r>
              <w:rPr>
                <w:b/>
              </w:rPr>
              <w:t>2,914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186,527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771" w:type="dxa"/>
            <w:tcBorders/>
            <w:tcMar>
              <w:bottom w:w="0" w:type="dxa"/>
            </w:tcMar>
            <w:vAlign w:val="center"/>
          </w:tcPr>
          <w:p>
            <w:pPr>
              <w:pStyle w:val="TableContents"/>
              <w:bidi w:val="0"/>
              <w:spacing w:before="0" w:after="283"/>
              <w:jc w:val="right"/>
              <w:rPr/>
            </w:pPr>
            <w:r>
              <w:rPr/>
              <w:t>4,928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141,306</w:t>
            </w:r>
          </w:p>
        </w:tc>
        <w:tc>
          <w:tcPr>
            <w:tcW w:w="151" w:type="dxa"/>
            <w:tcBorders/>
            <w:tcMar>
              <w:bottom w:w="0" w:type="dxa"/>
            </w:tcMar>
            <w:vAlign w:val="center"/>
          </w:tcPr>
          <w:p>
            <w:pPr>
              <w:pStyle w:val="TableContents"/>
              <w:bidi w:val="0"/>
              <w:spacing w:before="0" w:after="283"/>
              <w:ind w:left="0" w:right="0" w:hanging="180"/>
              <w:jc w:val="left"/>
              <w:rPr/>
            </w:pPr>
            <w:r>
              <w:rPr/>
              <w:t> </w:t>
            </w:r>
          </w:p>
        </w:tc>
      </w:tr>
      <w:tr>
        <w:trPr/>
        <w:tc>
          <w:tcPr>
            <w:tcW w:w="5504" w:type="dxa"/>
            <w:tcBorders/>
            <w:shd w:fill="CCEEFF" w:val="clear"/>
            <w:tcMar>
              <w:bottom w:w="0" w:type="dxa"/>
            </w:tcMar>
            <w:vAlign w:val="center"/>
          </w:tcPr>
          <w:p>
            <w:pPr>
              <w:pStyle w:val="TableContents"/>
              <w:bidi w:val="0"/>
              <w:spacing w:before="0" w:after="283"/>
              <w:jc w:val="left"/>
              <w:rPr/>
            </w:pPr>
            <w:r>
              <w:rPr/>
              <w:t>BTC exchanged for cash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283"/>
              <w:jc w:val="right"/>
              <w:rPr>
                <w:b/>
              </w:rPr>
            </w:pPr>
            <w:r>
              <w:rPr>
                <w:b/>
              </w:rPr>
              <w:t>(2,419</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(152,135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(4,529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(129,309</w:t>
            </w:r>
          </w:p>
        </w:tc>
        <w:tc>
          <w:tcPr>
            <w:tcW w:w="15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504" w:type="dxa"/>
            <w:tcBorders/>
            <w:tcMar>
              <w:bottom w:w="0" w:type="dxa"/>
            </w:tcMar>
            <w:vAlign w:val="center"/>
          </w:tcPr>
          <w:p>
            <w:pPr>
              <w:pStyle w:val="TableContents"/>
              <w:bidi w:val="0"/>
              <w:spacing w:before="0" w:after="283"/>
              <w:jc w:val="left"/>
              <w:rPr/>
            </w:pPr>
            <w:r>
              <w:rPr/>
              <w:t>BTC exchanged for services</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837" w:type="dxa"/>
            <w:tcBorders/>
            <w:tcMar>
              <w:bottom w:w="0" w:type="dxa"/>
            </w:tcMar>
            <w:vAlign w:val="center"/>
          </w:tcPr>
          <w:p>
            <w:pPr>
              <w:pStyle w:val="TableContents"/>
              <w:bidi w:val="0"/>
              <w:spacing w:before="0" w:after="283"/>
              <w:jc w:val="right"/>
              <w:rPr>
                <w:b/>
              </w:rPr>
            </w:pPr>
            <w:r>
              <w:rPr>
                <w:b/>
              </w:rPr>
              <w:t>(14</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(1,463</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7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right"/>
              <w:rPr/>
            </w:pPr>
            <w:r>
              <w:rPr/>
              <w:t>—</w:t>
            </w:r>
          </w:p>
        </w:tc>
        <w:tc>
          <w:tcPr>
            <w:tcW w:w="151" w:type="dxa"/>
            <w:tcBorders/>
            <w:tcMar>
              <w:bottom w:w="0" w:type="dxa"/>
            </w:tcMar>
            <w:vAlign w:val="center"/>
          </w:tcPr>
          <w:p>
            <w:pPr>
              <w:pStyle w:val="TableContents"/>
              <w:bidi w:val="0"/>
              <w:spacing w:before="0" w:after="283"/>
              <w:ind w:left="0" w:right="0" w:hanging="180"/>
              <w:jc w:val="left"/>
              <w:rPr/>
            </w:pPr>
            <w:r>
              <w:rPr/>
              <w:t> </w:t>
            </w:r>
          </w:p>
        </w:tc>
      </w:tr>
      <w:tr>
        <w:trPr/>
        <w:tc>
          <w:tcPr>
            <w:tcW w:w="5504" w:type="dxa"/>
            <w:tcBorders/>
            <w:shd w:fill="CCEEFF" w:val="clear"/>
            <w:tcMar>
              <w:bottom w:w="0" w:type="dxa"/>
            </w:tcMar>
            <w:vAlign w:val="center"/>
          </w:tcPr>
          <w:p>
            <w:pPr>
              <w:pStyle w:val="TableContents"/>
              <w:bidi w:val="0"/>
              <w:spacing w:before="0" w:after="283"/>
              <w:jc w:val="left"/>
              <w:rPr/>
            </w:pPr>
            <w:r>
              <w:rPr/>
              <w:t>Realized gain on disposition of digital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27,209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7,713</w:t>
            </w:r>
          </w:p>
        </w:tc>
        <w:tc>
          <w:tcPr>
            <w:tcW w:w="15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504" w:type="dxa"/>
            <w:tcBorders>
              <w:bottom w:val="single" w:sz="8" w:space="0" w:color="000000"/>
            </w:tcBorders>
            <w:tcMar>
              <w:bottom w:w="30" w:type="dxa"/>
            </w:tcMar>
            <w:vAlign w:val="center"/>
          </w:tcPr>
          <w:p>
            <w:pPr>
              <w:pStyle w:val="TableContents"/>
              <w:bidi w:val="0"/>
              <w:spacing w:before="0" w:after="283"/>
              <w:jc w:val="left"/>
              <w:rPr/>
            </w:pPr>
            <w:r>
              <w:rPr/>
              <w:t>Change in unrealized gain on revaluation of digital assets**</w:t>
            </w:r>
          </w:p>
        </w:tc>
        <w:tc>
          <w:tcPr>
            <w:tcW w:w="90" w:type="dxa"/>
            <w:tcBorders>
              <w:bottom w:val="single" w:sz="8" w:space="0" w:color="000000"/>
            </w:tcBorders>
            <w:vAlign w:val="center"/>
          </w:tcPr>
          <w:p>
            <w:pPr>
              <w:pStyle w:val="TableContents"/>
              <w:bidi w:val="0"/>
              <w:spacing w:before="0" w:after="283"/>
              <w:jc w:val="left"/>
              <w:rPr/>
            </w:pPr>
            <w:r>
              <w:rPr/>
              <w:t> </w:t>
            </w:r>
          </w:p>
        </w:tc>
        <w:tc>
          <w:tcPr>
            <w:tcW w:w="113" w:type="dxa"/>
            <w:tcBorders>
              <w:bottom w:val="single" w:sz="8" w:space="0" w:color="000000"/>
            </w:tcBorders>
            <w:vAlign w:val="center"/>
          </w:tcPr>
          <w:p>
            <w:pPr>
              <w:pStyle w:val="TableContents"/>
              <w:bidi w:val="0"/>
              <w:spacing w:before="0" w:after="283"/>
              <w:jc w:val="left"/>
              <w:rPr/>
            </w:pPr>
            <w:r>
              <w:rPr/>
              <w:t> </w:t>
            </w:r>
          </w:p>
        </w:tc>
        <w:tc>
          <w:tcPr>
            <w:tcW w:w="837"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b/>
              </w:rPr>
            </w:pPr>
            <w:r>
              <w:rPr>
                <w:b/>
              </w:rPr>
              <w:t>26,015</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4" w:type="dxa"/>
            <w:tcBorders>
              <w:bottom w:val="single" w:sz="8" w:space="0" w:color="000000"/>
            </w:tcBorders>
            <w:vAlign w:val="center"/>
          </w:tcPr>
          <w:p>
            <w:pPr>
              <w:pStyle w:val="TableContents"/>
              <w:bidi w:val="0"/>
              <w:spacing w:before="0" w:after="283"/>
              <w:jc w:val="left"/>
              <w:rPr/>
            </w:pPr>
            <w:r>
              <w:rPr/>
              <w:t> </w:t>
            </w:r>
          </w:p>
        </w:tc>
        <w:tc>
          <w:tcPr>
            <w:tcW w:w="771"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pPr>
            <w:r>
              <w:rPr/>
              <w:t>7,556</w:t>
            </w:r>
          </w:p>
        </w:tc>
        <w:tc>
          <w:tcPr>
            <w:tcW w:w="151"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5504" w:type="dxa"/>
            <w:tcBorders/>
            <w:shd w:fill="CCEEFF" w:val="clear"/>
            <w:tcMar>
              <w:bottom w:w="0" w:type="dxa"/>
            </w:tcMar>
            <w:vAlign w:val="center"/>
          </w:tcPr>
          <w:p>
            <w:pPr>
              <w:pStyle w:val="TableContents"/>
              <w:bidi w:val="0"/>
              <w:spacing w:before="0" w:after="283"/>
              <w:jc w:val="left"/>
              <w:rPr>
                <w:b/>
              </w:rPr>
            </w:pPr>
            <w:r>
              <w:rPr>
                <w:b/>
              </w:rPr>
              <w:t>Balance of digital assets including restricted digital assets and digital assets collateralized as of December 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283"/>
              <w:jc w:val="right"/>
              <w:rPr>
                <w:b/>
              </w:rPr>
            </w:pPr>
            <w:r>
              <w:rPr>
                <w:b/>
              </w:rPr>
              <w:t>1,285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120,124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804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33,971</w:t>
            </w:r>
          </w:p>
        </w:tc>
        <w:tc>
          <w:tcPr>
            <w:tcW w:w="15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504" w:type="dxa"/>
            <w:tcBorders/>
            <w:tcMar>
              <w:bottom w:w="0" w:type="dxa"/>
            </w:tcMar>
            <w:vAlign w:val="center"/>
          </w:tcPr>
          <w:p>
            <w:pPr>
              <w:pStyle w:val="TableContents"/>
              <w:bidi w:val="0"/>
              <w:spacing w:before="0" w:after="283"/>
              <w:jc w:val="left"/>
              <w:rPr/>
            </w:pPr>
            <w:r>
              <w:rPr/>
              <w:t>Less restricted digital assets as of December 31,***</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837" w:type="dxa"/>
            <w:tcBorders/>
            <w:tcMar>
              <w:bottom w:w="0" w:type="dxa"/>
            </w:tcMar>
            <w:vAlign w:val="center"/>
          </w:tcPr>
          <w:p>
            <w:pPr>
              <w:pStyle w:val="TableContents"/>
              <w:bidi w:val="0"/>
              <w:spacing w:before="0" w:after="283"/>
              <w:jc w:val="right"/>
              <w:rPr>
                <w:b/>
              </w:rPr>
            </w:pPr>
            <w:r>
              <w:rPr>
                <w:b/>
              </w:rPr>
              <w:t>(351</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(32,826</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77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right"/>
              <w:rPr/>
            </w:pPr>
            <w:r>
              <w:rPr/>
              <w:t>—</w:t>
            </w:r>
          </w:p>
        </w:tc>
        <w:tc>
          <w:tcPr>
            <w:tcW w:w="151" w:type="dxa"/>
            <w:tcBorders/>
            <w:tcMar>
              <w:bottom w:w="0" w:type="dxa"/>
            </w:tcMar>
            <w:vAlign w:val="center"/>
          </w:tcPr>
          <w:p>
            <w:pPr>
              <w:pStyle w:val="TableContents"/>
              <w:bidi w:val="0"/>
              <w:spacing w:before="0" w:after="283"/>
              <w:ind w:left="0" w:right="0" w:hanging="180"/>
              <w:jc w:val="left"/>
              <w:rPr/>
            </w:pPr>
            <w:r>
              <w:rPr/>
              <w:t> </w:t>
            </w:r>
          </w:p>
        </w:tc>
      </w:tr>
      <w:tr>
        <w:trPr/>
        <w:tc>
          <w:tcPr>
            <w:tcW w:w="5504" w:type="dxa"/>
            <w:tcBorders>
              <w:bottom w:val="single" w:sz="8" w:space="0" w:color="000000"/>
            </w:tcBorders>
            <w:shd w:fill="CCEEFF" w:val="clear"/>
            <w:tcMar>
              <w:bottom w:w="30" w:type="dxa"/>
            </w:tcMar>
            <w:vAlign w:val="center"/>
          </w:tcPr>
          <w:p>
            <w:pPr>
              <w:pStyle w:val="TableContents"/>
              <w:bidi w:val="0"/>
              <w:spacing w:before="0" w:after="283"/>
              <w:jc w:val="left"/>
              <w:rPr/>
            </w:pPr>
            <w:r>
              <w:rPr/>
              <w:t>Less digital assets collateralized as of December 31,****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vAlign w:val="center"/>
          </w:tcPr>
          <w:p>
            <w:pPr>
              <w:pStyle w:val="TableContents"/>
              <w:bidi w:val="0"/>
              <w:spacing w:before="0" w:after="283"/>
              <w:jc w:val="left"/>
              <w:rPr/>
            </w:pPr>
            <w:r>
              <w:rPr/>
              <w:t> </w:t>
            </w:r>
          </w:p>
        </w:tc>
        <w:tc>
          <w:tcPr>
            <w:tcW w:w="837"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771" w:type="dxa"/>
            <w:tcBorders>
              <w:bottom w:val="single" w:sz="8" w:space="0" w:color="000000"/>
            </w:tcBorders>
            <w:shd w:fill="CCEEFF" w:val="clear"/>
            <w:vAlign w:val="center"/>
          </w:tcPr>
          <w:p>
            <w:pPr>
              <w:pStyle w:val="TableContents"/>
              <w:bidi w:val="0"/>
              <w:spacing w:before="0" w:after="283"/>
              <w:jc w:val="right"/>
              <w:rPr/>
            </w:pPr>
            <w:r>
              <w:rPr/>
              <w:t>(50</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pPr>
            <w:r>
              <w:rPr/>
              <w:t>(2,101</w:t>
            </w:r>
          </w:p>
        </w:tc>
        <w:tc>
          <w:tcPr>
            <w:tcW w:w="151" w:type="dxa"/>
            <w:tcBorders>
              <w:bottom w:val="single" w:sz="8" w:space="0" w:color="000000"/>
            </w:tcBorders>
            <w:shd w:fill="CCEEFF" w:val="clear"/>
            <w:vAlign w:val="center"/>
          </w:tcPr>
          <w:p>
            <w:pPr>
              <w:pStyle w:val="TableContents"/>
              <w:bidi w:val="0"/>
              <w:spacing w:before="0" w:after="283"/>
              <w:ind w:left="0" w:right="0" w:hanging="180"/>
              <w:jc w:val="left"/>
              <w:rPr/>
            </w:pPr>
            <w:r>
              <w:rPr/>
              <w:t>)</w:t>
            </w:r>
          </w:p>
        </w:tc>
      </w:tr>
      <w:tr>
        <w:trPr/>
        <w:tc>
          <w:tcPr>
            <w:tcW w:w="5504" w:type="dxa"/>
            <w:tcBorders>
              <w:bottom w:val="single" w:sz="12" w:space="0" w:color="000000"/>
            </w:tcBorders>
            <w:tcMar>
              <w:bottom w:w="30" w:type="dxa"/>
            </w:tcMar>
            <w:vAlign w:val="center"/>
          </w:tcPr>
          <w:p>
            <w:pPr>
              <w:pStyle w:val="TableContents"/>
              <w:bidi w:val="0"/>
              <w:spacing w:before="0" w:after="283"/>
              <w:jc w:val="left"/>
              <w:rPr>
                <w:b/>
              </w:rPr>
            </w:pPr>
            <w:r>
              <w:rPr>
                <w:b/>
              </w:rPr>
              <w:t>Balance of digital assets excluding restricted digital assets and digital assets collateralized as of 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113" w:type="dxa"/>
            <w:tcBorders>
              <w:bottom w:val="single" w:sz="12" w:space="0" w:color="000000"/>
            </w:tcBorders>
            <w:vAlign w:val="center"/>
          </w:tcPr>
          <w:p>
            <w:pPr>
              <w:pStyle w:val="TableContents"/>
              <w:bidi w:val="0"/>
              <w:spacing w:before="0" w:after="283"/>
              <w:jc w:val="left"/>
              <w:rPr/>
            </w:pPr>
            <w:r>
              <w:rPr/>
              <w:t> </w:t>
            </w:r>
          </w:p>
        </w:tc>
        <w:tc>
          <w:tcPr>
            <w:tcW w:w="837" w:type="dxa"/>
            <w:tcBorders>
              <w:bottom w:val="single" w:sz="12" w:space="0" w:color="000000"/>
            </w:tcBorders>
            <w:vAlign w:val="center"/>
          </w:tcPr>
          <w:p>
            <w:pPr>
              <w:pStyle w:val="TableContents"/>
              <w:bidi w:val="0"/>
              <w:spacing w:before="0" w:after="283"/>
              <w:jc w:val="right"/>
              <w:rPr>
                <w:b/>
              </w:rPr>
            </w:pPr>
            <w:r>
              <w:rPr>
                <w:b/>
              </w:rPr>
              <w:t>934</w:t>
            </w:r>
          </w:p>
        </w:tc>
        <w:tc>
          <w:tcPr>
            <w:tcW w:w="12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b/>
              </w:rPr>
            </w:pPr>
            <w:r>
              <w:rPr>
                <w:b/>
              </w:rPr>
              <w:t>87,298</w:t>
            </w:r>
          </w:p>
        </w:tc>
        <w:tc>
          <w:tcPr>
            <w:tcW w:w="12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4" w:type="dxa"/>
            <w:tcBorders>
              <w:bottom w:val="single" w:sz="12" w:space="0" w:color="000000"/>
            </w:tcBorders>
            <w:vAlign w:val="center"/>
          </w:tcPr>
          <w:p>
            <w:pPr>
              <w:pStyle w:val="TableContents"/>
              <w:bidi w:val="0"/>
              <w:spacing w:before="0" w:after="283"/>
              <w:jc w:val="left"/>
              <w:rPr/>
            </w:pPr>
            <w:r>
              <w:rPr/>
              <w:t> </w:t>
            </w:r>
          </w:p>
        </w:tc>
        <w:tc>
          <w:tcPr>
            <w:tcW w:w="771" w:type="dxa"/>
            <w:tcBorders>
              <w:bottom w:val="single" w:sz="12" w:space="0" w:color="000000"/>
            </w:tcBorders>
            <w:vAlign w:val="center"/>
          </w:tcPr>
          <w:p>
            <w:pPr>
              <w:pStyle w:val="TableContents"/>
              <w:bidi w:val="0"/>
              <w:spacing w:before="0" w:after="283"/>
              <w:jc w:val="right"/>
              <w:rPr/>
            </w:pPr>
            <w:r>
              <w:rPr/>
              <w:t>754</w:t>
            </w:r>
          </w:p>
        </w:tc>
        <w:tc>
          <w:tcPr>
            <w:tcW w:w="125"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pPr>
            <w:r>
              <w:rPr/>
              <w:t>31,870</w:t>
            </w:r>
          </w:p>
        </w:tc>
        <w:tc>
          <w:tcPr>
            <w:tcW w:w="151" w:type="dxa"/>
            <w:tcBorders>
              <w:bottom w:val="single" w:sz="12" w:space="0" w:color="000000"/>
            </w:tcBorders>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Management estimates the fair value of BTC earned on a daily basis as the quantity of cryptocurrency received multiplied by the price quoted on Coinbase Prime on the day it was received. Management considers the prices quoted on Coinbase Prime to be a level 1 input under IFRS 13,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 portion of the realized gain on disposition of digital assets and the change in unrealized gain on revaluation of digital assets is presented in other comprehensive income after reversing previously recorded revaluation loss on digital assets in the statement of profit or loss. For the year ended December 31, 2024, a gain of $39,120, net of $14,104 of deferred income tax expense, was presented in other comprehensive income (year ended December 31, 2023: a gain of $9,242, net of $3,332 of deferred income tax expense).</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Refer to Note 9 and 14 for details regarding the BTC payment (“BTC Pledged”) to a third party as a deposit of Miners presented as restricted digital assets. As the Company has the right to redeem the BTC Pledged, the ability of the third party to control the asset is limited, and the BTC Pledged does not meet the definition of a sale. Subsequently, in January 2025, the Company exercised the first BTC Installment. Refer to Note 32 for more details.</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Refer to Note 18 for details of the Company’s long-term debt and BTC collateralized. During the first quarter of 2024, the NYDIG Loan balance was fully repaid and the BTC previously collateralized thereunder became unencumbered.</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36 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0" w:name="a_017"/>
      <w:bookmarkStart w:id="41" w:name="a_017"/>
      <w:bookmarkEnd w:id="41"/>
    </w:p>
    <w:tbl>
      <w:tblPr>
        <w:tblW w:w="5868" w:type="dxa"/>
        <w:jc w:val="left"/>
        <w:tblInd w:w="0" w:type="dxa"/>
        <w:tblLayout w:type="fixed"/>
        <w:tblCellMar>
          <w:top w:w="0" w:type="dxa"/>
          <w:left w:w="0" w:type="dxa"/>
          <w:bottom w:w="0" w:type="dxa"/>
          <w:right w:w="0" w:type="dxa"/>
        </w:tblCellMar>
      </w:tblPr>
      <w:tblGrid>
        <w:gridCol w:w="68"/>
        <w:gridCol w:w="995"/>
        <w:gridCol w:w="4805"/>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9:</w:t>
            </w:r>
          </w:p>
        </w:tc>
        <w:tc>
          <w:tcPr>
            <w:tcW w:w="4805" w:type="dxa"/>
            <w:tcBorders/>
            <w:vAlign w:val="center"/>
          </w:tcPr>
          <w:p>
            <w:pPr>
              <w:pStyle w:val="TableContents"/>
              <w:bidi w:val="0"/>
              <w:spacing w:before="0" w:after="283"/>
              <w:jc w:val="both"/>
              <w:rPr>
                <w:b/>
              </w:rPr>
            </w:pPr>
            <w:r>
              <w:rPr>
                <w:b/>
              </w:rPr>
              <w:t>DERIVATIVE ASSETS AND LIABILITIES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BTC option and selling contracts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the first quarter of 2023, the Company purchased BTC option contracts that gave it the right, but not the obligation, to sell digital assets at a fixed price. Option contracts are used to reduce the risk of BTC price volatility and reduce the variability of cash flows resulting from future sales of digital assets. The Company also entered into contracts and earned premiums by agreeing to sell BTC if the price reached specific targets. The Company did not apply hedge accounting to these contracts. Refer to Note 3b (Financial Instruments) for more details.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BTC Redemption Option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entered into two supplemental agreements (“Supplementary Agreements”) in relation to the Purchase Option and the March Purchase Option as explained in Note 14. The Supplementary Agreements allow the Company to pay for the Miners in cash, BTC or a combination of both.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elects for BTC Pledged either full or partial, the Company has the option to redeem back the BTC Pledged at the price originally pledged in four quarterly installments (“BTC Installments”) within 12 months after the redemption period starts. The redemption period starts when the Miners are shipped. See Note 23 for more details. If the Company elects not to redeem one of the BTC Installments, the Company forfeits the right to redeem the remaining BTC Installments. The right to redeem the BTC (“BTC Redemption Option”) meets the definition of an embedded derivative. In November 2024, the Company paid for the Miners in the Supplementary Agreements using 351 BTC valued at $33,200. The BTC Redemption Option was initially recognized at a fair value of $1,349 which was allocated to the option from the initial equipment deposit. As of December 31, 2024, the BTC Redemption Option fair value increased to $3,418 resulting in an unrealized gain of $2,069 in Net financial income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the Company exercised the first BTC Installment. Refer to Note 32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derivatives:</w:t>
      </w:r>
    </w:p>
    <w:p>
      <w:pPr>
        <w:pStyle w:val="TextBody"/>
        <w:bidi w:val="0"/>
        <w:spacing w:before="0" w:after="0"/>
        <w:jc w:val="both"/>
        <w:rPr>
          <w:caps w:val="false"/>
          <w:smallCaps w:val="false"/>
        </w:rPr>
      </w:pPr>
      <w:r>
        <w:rPr>
          <w:caps w:val="false"/>
          <w:smallCaps w:val="false"/>
        </w:rPr>
        <w:t> </w:t>
      </w:r>
    </w:p>
    <w:tbl>
      <w:tblPr>
        <w:tblW w:w="4584" w:type="dxa"/>
        <w:jc w:val="left"/>
        <w:tblInd w:w="0" w:type="dxa"/>
        <w:tblLayout w:type="fixed"/>
        <w:tblCellMar>
          <w:top w:w="0" w:type="dxa"/>
          <w:left w:w="0" w:type="dxa"/>
          <w:bottom w:w="28" w:type="dxa"/>
          <w:right w:w="0" w:type="dxa"/>
        </w:tblCellMar>
      </w:tblPr>
      <w:tblGrid>
        <w:gridCol w:w="2330"/>
        <w:gridCol w:w="90"/>
        <w:gridCol w:w="116"/>
        <w:gridCol w:w="760"/>
        <w:gridCol w:w="161"/>
        <w:gridCol w:w="116"/>
        <w:gridCol w:w="116"/>
        <w:gridCol w:w="760"/>
        <w:gridCol w:w="135"/>
      </w:tblGrid>
      <w:tr>
        <w:trPr/>
        <w:tc>
          <w:tcPr>
            <w:tcW w:w="233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6"/>
            <w:tcBorders>
              <w:bottom w:val="single" w:sz="8" w:space="0" w:color="000000"/>
            </w:tcBorders>
            <w:vAlign w:val="center"/>
          </w:tcPr>
          <w:p>
            <w:pPr>
              <w:pStyle w:val="TableContents"/>
              <w:bidi w:val="0"/>
              <w:spacing w:before="0" w:after="283"/>
              <w:jc w:val="center"/>
              <w:rPr>
                <w:b/>
              </w:rPr>
            </w:pPr>
            <w:r>
              <w:rPr>
                <w:b/>
              </w:rPr>
              <w:t>As of December 31,</w:t>
            </w:r>
          </w:p>
        </w:tc>
        <w:tc>
          <w:tcPr>
            <w:tcW w:w="1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33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76" w:type="dxa"/>
            <w:gridSpan w:val="2"/>
            <w:tcBorders>
              <w:bottom w:val="single" w:sz="8" w:space="0" w:color="000000"/>
            </w:tcBorders>
            <w:vAlign w:val="center"/>
          </w:tcPr>
          <w:p>
            <w:pPr>
              <w:pStyle w:val="TableContents"/>
              <w:bidi w:val="0"/>
              <w:spacing w:before="0" w:after="283"/>
              <w:jc w:val="right"/>
              <w:rPr>
                <w:b/>
              </w:rPr>
            </w:pPr>
            <w:r>
              <w:rPr>
                <w:b/>
              </w:rPr>
              <w:t>2024</w:t>
            </w:r>
          </w:p>
        </w:tc>
        <w:tc>
          <w:tcPr>
            <w:tcW w:w="161" w:type="dxa"/>
            <w:tcBorders>
              <w:bottom w:val="single" w:sz="8" w:space="0" w:color="000000"/>
            </w:tcBorders>
            <w:tcMar>
              <w:bottom w:w="30" w:type="dxa"/>
            </w:tcMar>
            <w:vAlign w:val="center"/>
          </w:tcPr>
          <w:p>
            <w:pPr>
              <w:pStyle w:val="TableContents"/>
              <w:bidi w:val="0"/>
              <w:spacing w:before="0" w:after="283"/>
              <w:jc w:val="left"/>
              <w:rPr/>
            </w:pPr>
            <w:r>
              <w:rPr/>
              <w:t> </w:t>
            </w:r>
          </w:p>
        </w:tc>
        <w:tc>
          <w:tcPr>
            <w:tcW w:w="116" w:type="dxa"/>
            <w:tcBorders>
              <w:bottom w:val="single" w:sz="8" w:space="0" w:color="000000"/>
            </w:tcBorders>
            <w:vAlign w:val="center"/>
          </w:tcPr>
          <w:p>
            <w:pPr>
              <w:pStyle w:val="TableContents"/>
              <w:bidi w:val="0"/>
              <w:spacing w:before="0" w:after="283"/>
              <w:jc w:val="left"/>
              <w:rPr/>
            </w:pPr>
            <w:r>
              <w:rPr/>
              <w:t> </w:t>
            </w:r>
          </w:p>
        </w:tc>
        <w:tc>
          <w:tcPr>
            <w:tcW w:w="876" w:type="dxa"/>
            <w:gridSpan w:val="2"/>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b/>
              </w:rPr>
            </w:pPr>
            <w:r>
              <w:rPr>
                <w:b/>
              </w:rPr>
              <w:t>Derivative assets</w:t>
            </w:r>
          </w:p>
        </w:tc>
        <w:tc>
          <w:tcPr>
            <w:tcW w:w="90" w:type="dxa"/>
            <w:tcBorders/>
            <w:tcMar>
              <w:bottom w:w="0" w:type="dxa"/>
            </w:tcMar>
            <w:vAlign w:val="center"/>
          </w:tcPr>
          <w:p>
            <w:pPr>
              <w:pStyle w:val="TableContents"/>
              <w:bidi w:val="0"/>
              <w:spacing w:before="0" w:after="283"/>
              <w:jc w:val="left"/>
              <w:rPr/>
            </w:pPr>
            <w:r>
              <w:rPr/>
              <w:t> </w:t>
            </w:r>
          </w:p>
        </w:tc>
        <w:tc>
          <w:tcPr>
            <w:tcW w:w="876" w:type="dxa"/>
            <w:gridSpan w:val="2"/>
            <w:tcBorders/>
            <w:tcMar>
              <w:bottom w:w="0" w:type="dxa"/>
            </w:tcMar>
            <w:vAlign w:val="center"/>
          </w:tcPr>
          <w:p>
            <w:pPr>
              <w:pStyle w:val="TableContents"/>
              <w:bidi w:val="0"/>
              <w:spacing w:before="0" w:after="283"/>
              <w:jc w:val="right"/>
              <w:rPr/>
            </w:pPr>
            <w:r>
              <w:rPr/>
              <w:t> </w:t>
            </w:r>
          </w:p>
        </w:tc>
        <w:tc>
          <w:tcPr>
            <w:tcW w:w="161"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876"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both"/>
              <w:rPr/>
            </w:pPr>
            <w:r>
              <w:rPr/>
              <w:t>BTC option contracts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0"/>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1,281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bottom w:val="single" w:sz="8" w:space="0" w:color="000000"/>
            </w:tcBorders>
            <w:tcMar>
              <w:bottom w:w="30" w:type="dxa"/>
            </w:tcMar>
            <w:vAlign w:val="center"/>
          </w:tcPr>
          <w:p>
            <w:pPr>
              <w:pStyle w:val="TableContents"/>
              <w:bidi w:val="0"/>
              <w:spacing w:before="0" w:after="283"/>
              <w:jc w:val="both"/>
              <w:rPr/>
            </w:pPr>
            <w:r>
              <w:rPr/>
              <w:t>BTC redemption option</w:t>
            </w:r>
          </w:p>
        </w:tc>
        <w:tc>
          <w:tcPr>
            <w:tcW w:w="90" w:type="dxa"/>
            <w:tcBorders>
              <w:bottom w:val="single" w:sz="8" w:space="0" w:color="000000"/>
            </w:tcBorders>
            <w:vAlign w:val="center"/>
          </w:tcPr>
          <w:p>
            <w:pPr>
              <w:pStyle w:val="TableContents"/>
              <w:bidi w:val="0"/>
              <w:spacing w:before="0" w:after="283"/>
              <w:jc w:val="left"/>
              <w:rPr/>
            </w:pPr>
            <w:r>
              <w:rPr/>
              <w:t> </w:t>
            </w:r>
          </w:p>
        </w:tc>
        <w:tc>
          <w:tcPr>
            <w:tcW w:w="116" w:type="dxa"/>
            <w:tcBorders>
              <w:bottom w:val="single" w:sz="8" w:space="0" w:color="000000"/>
            </w:tcBorders>
            <w:vAlign w:val="center"/>
          </w:tcPr>
          <w:p>
            <w:pPr>
              <w:pStyle w:val="TableContents"/>
              <w:bidi w:val="0"/>
              <w:spacing w:before="0" w:after="283"/>
              <w:jc w:val="left"/>
              <w:rPr/>
            </w:pPr>
            <w:r>
              <w:rPr/>
              <w:t> </w:t>
            </w:r>
          </w:p>
        </w:tc>
        <w:tc>
          <w:tcPr>
            <w:tcW w:w="760" w:type="dxa"/>
            <w:tcBorders>
              <w:bottom w:val="single" w:sz="8" w:space="0" w:color="000000"/>
            </w:tcBorders>
            <w:vAlign w:val="center"/>
          </w:tcPr>
          <w:p>
            <w:pPr>
              <w:pStyle w:val="TableContents"/>
              <w:bidi w:val="0"/>
              <w:spacing w:before="0" w:after="283"/>
              <w:jc w:val="right"/>
              <w:rPr>
                <w:b/>
              </w:rPr>
            </w:pPr>
            <w:r>
              <w:rPr>
                <w:b/>
              </w:rPr>
              <w:t>3,418</w:t>
            </w:r>
          </w:p>
        </w:tc>
        <w:tc>
          <w:tcPr>
            <w:tcW w:w="161" w:type="dxa"/>
            <w:tcBorders>
              <w:bottom w:val="single" w:sz="8" w:space="0" w:color="000000"/>
            </w:tcBorders>
            <w:tcMar>
              <w:bottom w:w="30" w:type="dxa"/>
            </w:tcMar>
            <w:vAlign w:val="center"/>
          </w:tcPr>
          <w:p>
            <w:pPr>
              <w:pStyle w:val="TableContents"/>
              <w:bidi w:val="0"/>
              <w:spacing w:before="0" w:after="283"/>
              <w:jc w:val="left"/>
              <w:rPr/>
            </w:pPr>
            <w:r>
              <w:rPr/>
              <w:t> </w:t>
            </w:r>
          </w:p>
        </w:tc>
        <w:tc>
          <w:tcPr>
            <w:tcW w:w="116" w:type="dxa"/>
            <w:tcBorders>
              <w:bottom w:val="single" w:sz="8" w:space="0" w:color="000000"/>
            </w:tcBorders>
            <w:vAlign w:val="center"/>
          </w:tcPr>
          <w:p>
            <w:pPr>
              <w:pStyle w:val="TableContents"/>
              <w:bidi w:val="0"/>
              <w:spacing w:before="0" w:after="283"/>
              <w:jc w:val="left"/>
              <w:rPr/>
            </w:pPr>
            <w:r>
              <w:rPr/>
              <w:t> </w:t>
            </w:r>
          </w:p>
        </w:tc>
        <w:tc>
          <w:tcPr>
            <w:tcW w:w="116" w:type="dxa"/>
            <w:tcBorders>
              <w:bottom w:val="single" w:sz="8" w:space="0" w:color="000000"/>
            </w:tcBorders>
            <w:vAlign w:val="center"/>
          </w:tcPr>
          <w:p>
            <w:pPr>
              <w:pStyle w:val="TableContents"/>
              <w:bidi w:val="0"/>
              <w:spacing w:before="0" w:after="283"/>
              <w:jc w:val="left"/>
              <w:rPr/>
            </w:pPr>
            <w:r>
              <w:rPr/>
              <w:t> </w:t>
            </w:r>
          </w:p>
        </w:tc>
        <w:tc>
          <w:tcPr>
            <w:tcW w:w="760" w:type="dxa"/>
            <w:tcBorders>
              <w:bottom w:val="single" w:sz="8" w:space="0" w:color="000000"/>
            </w:tcBorders>
            <w:vAlign w:val="center"/>
          </w:tcPr>
          <w:p>
            <w:pPr>
              <w:pStyle w:val="TableContents"/>
              <w:bidi w:val="0"/>
              <w:spacing w:before="0" w:after="0"/>
              <w:jc w:val="right"/>
              <w:rPr/>
            </w:pPr>
            <w:r>
              <w:rPr/>
              <w:t>—</w:t>
            </w:r>
          </w:p>
        </w:tc>
        <w:tc>
          <w:tcPr>
            <w:tcW w:w="1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b/>
              </w:rPr>
            </w:pPr>
            <w:r>
              <w:rPr>
                <w:b/>
              </w:rPr>
              <w:t>3,418</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760" w:type="dxa"/>
            <w:tcBorders/>
            <w:shd w:fill="CCEEFF" w:val="clear"/>
            <w:tcMar>
              <w:bottom w:w="0" w:type="dxa"/>
            </w:tcMar>
            <w:vAlign w:val="center"/>
          </w:tcPr>
          <w:p>
            <w:pPr>
              <w:pStyle w:val="TableContents"/>
              <w:bidi w:val="0"/>
              <w:spacing w:before="0" w:after="283"/>
              <w:jc w:val="right"/>
              <w:rPr/>
            </w:pPr>
            <w:r>
              <w:rPr/>
              <w:t>1,281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b/>
              </w:rPr>
            </w:pPr>
            <w:r>
              <w:rPr>
                <w:b/>
              </w:rPr>
              <w:t>Derivative liabilities</w:t>
            </w:r>
          </w:p>
        </w:tc>
        <w:tc>
          <w:tcPr>
            <w:tcW w:w="9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760" w:type="dxa"/>
            <w:tcBorders/>
            <w:tcMar>
              <w:bottom w:w="0" w:type="dxa"/>
            </w:tcMar>
            <w:vAlign w:val="center"/>
          </w:tcPr>
          <w:p>
            <w:pPr>
              <w:pStyle w:val="TableContents"/>
              <w:bidi w:val="0"/>
              <w:spacing w:before="0" w:after="283"/>
              <w:jc w:val="right"/>
              <w:rPr/>
            </w:pPr>
            <w:r>
              <w:rPr/>
              <w:t> </w:t>
            </w:r>
          </w:p>
        </w:tc>
        <w:tc>
          <w:tcPr>
            <w:tcW w:w="161"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76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330" w:type="dxa"/>
            <w:tcBorders>
              <w:bottom w:val="single" w:sz="12" w:space="0" w:color="000000"/>
            </w:tcBorders>
            <w:shd w:fill="CCEEFF" w:val="clear"/>
            <w:tcMar>
              <w:bottom w:w="30" w:type="dxa"/>
            </w:tcMar>
            <w:vAlign w:val="center"/>
          </w:tcPr>
          <w:p>
            <w:pPr>
              <w:pStyle w:val="TableContents"/>
              <w:bidi w:val="0"/>
              <w:spacing w:before="0" w:after="283"/>
              <w:jc w:val="left"/>
              <w:rPr/>
            </w:pPr>
            <w:r>
              <w:rPr/>
              <w:t>BTC selling contracts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760" w:type="dxa"/>
            <w:tcBorders>
              <w:bottom w:val="single" w:sz="12" w:space="0" w:color="000000"/>
            </w:tcBorders>
            <w:shd w:fill="CCEEFF" w:val="clear"/>
            <w:vAlign w:val="center"/>
          </w:tcPr>
          <w:p>
            <w:pPr>
              <w:pStyle w:val="TableContents"/>
              <w:bidi w:val="0"/>
              <w:spacing w:before="0" w:after="283"/>
              <w:jc w:val="right"/>
              <w:rPr>
                <w:b/>
              </w:rPr>
            </w:pPr>
            <w:r>
              <w:rPr>
                <w:b/>
              </w:rPr>
              <w:t>(128</w:t>
            </w:r>
          </w:p>
        </w:tc>
        <w:tc>
          <w:tcPr>
            <w:tcW w:w="161"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760" w:type="dxa"/>
            <w:tcBorders>
              <w:bottom w:val="single" w:sz="12" w:space="0" w:color="000000"/>
            </w:tcBorders>
            <w:shd w:fill="CCEEFF" w:val="clear"/>
            <w:vAlign w:val="center"/>
          </w:tcPr>
          <w:p>
            <w:pPr>
              <w:pStyle w:val="TableContents"/>
              <w:bidi w:val="0"/>
              <w:spacing w:before="0" w:after="0"/>
              <w:jc w:val="right"/>
              <w:rPr/>
            </w:pPr>
            <w:r>
              <w:rPr/>
              <w:t>—</w:t>
            </w:r>
          </w:p>
        </w:tc>
        <w:tc>
          <w:tcPr>
            <w:tcW w:w="13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37 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68"/>
        <w:gridCol w:w="995"/>
        <w:gridCol w:w="6005"/>
      </w:tblGrid>
      <w:tr>
        <w:trPr/>
        <w:tc>
          <w:tcPr>
            <w:tcW w:w="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b/>
              </w:rPr>
            </w:pPr>
            <w:r>
              <w:rPr>
                <w:b/>
              </w:rPr>
              <w:t>NOTE 9:</w:t>
            </w:r>
          </w:p>
        </w:tc>
        <w:tc>
          <w:tcPr>
            <w:tcW w:w="6005" w:type="dxa"/>
            <w:tcBorders/>
            <w:vAlign w:val="center"/>
          </w:tcPr>
          <w:p>
            <w:pPr>
              <w:pStyle w:val="TableContents"/>
              <w:bidi w:val="0"/>
              <w:spacing w:before="0" w:after="283"/>
              <w:jc w:val="both"/>
              <w:rPr/>
            </w:pPr>
            <w:r>
              <w:rPr>
                <w:b/>
              </w:rPr>
              <w:t xml:space="preserve">DERIVATIVE ASSETS AND LIABILITIES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fair value measurement of BTC option and selling contracts derivatives (Level 2):</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88"/>
        <w:gridCol w:w="90"/>
        <w:gridCol w:w="116"/>
        <w:gridCol w:w="1022"/>
        <w:gridCol w:w="125"/>
        <w:gridCol w:w="90"/>
        <w:gridCol w:w="177"/>
        <w:gridCol w:w="961"/>
        <w:gridCol w:w="125"/>
        <w:gridCol w:w="90"/>
        <w:gridCol w:w="137"/>
        <w:gridCol w:w="796"/>
        <w:gridCol w:w="90"/>
        <w:gridCol w:w="90"/>
        <w:gridCol w:w="162"/>
        <w:gridCol w:w="771"/>
        <w:gridCol w:w="175"/>
      </w:tblGrid>
      <w:tr>
        <w:trPr/>
        <w:tc>
          <w:tcPr>
            <w:tcW w:w="5188"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4752" w:type="dxa"/>
            <w:gridSpan w:val="14"/>
            <w:tcBorders>
              <w:bottom w:val="single" w:sz="8" w:space="0" w:color="000000"/>
            </w:tcBorders>
            <w:vAlign w:val="center"/>
          </w:tcPr>
          <w:p>
            <w:pPr>
              <w:pStyle w:val="TableContents"/>
              <w:bidi w:val="0"/>
              <w:spacing w:before="0" w:after="283"/>
              <w:jc w:val="center"/>
              <w:rPr>
                <w:b/>
              </w:rPr>
            </w:pPr>
            <w:r>
              <w:rPr>
                <w:b/>
              </w:rPr>
              <w:t>As of December 31,</w:t>
            </w:r>
          </w:p>
        </w:tc>
        <w:tc>
          <w:tcPr>
            <w:tcW w:w="17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5188"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491" w:type="dxa"/>
            <w:gridSpan w:val="6"/>
            <w:tcBorders>
              <w:bottom w:val="single" w:sz="8" w:space="0" w:color="000000"/>
            </w:tcBorders>
            <w:vAlign w:val="center"/>
          </w:tcPr>
          <w:p>
            <w:pPr>
              <w:pStyle w:val="TableContents"/>
              <w:bidi w:val="0"/>
              <w:spacing w:before="0" w:after="283"/>
              <w:jc w:val="center"/>
              <w:rPr>
                <w:b/>
              </w:rPr>
            </w:pPr>
            <w:r>
              <w:rPr>
                <w:b/>
              </w:rPr>
              <w:t>2024</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4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17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5188"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138" w:type="dxa"/>
            <w:gridSpan w:val="2"/>
            <w:tcBorders>
              <w:bottom w:val="single" w:sz="8" w:space="0" w:color="000000"/>
            </w:tcBorders>
            <w:vAlign w:val="center"/>
          </w:tcPr>
          <w:p>
            <w:pPr>
              <w:pStyle w:val="TableContents"/>
              <w:bidi w:val="0"/>
              <w:spacing w:before="0" w:after="283"/>
              <w:jc w:val="right"/>
              <w:rPr>
                <w:b/>
              </w:rPr>
            </w:pPr>
            <w:r>
              <w:rPr>
                <w:b/>
              </w:rPr>
              <w:t xml:space="preserve">Derivative </w:t>
              <w:br/>
              <w:t>Assets</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138" w:type="dxa"/>
            <w:gridSpan w:val="2"/>
            <w:tcBorders>
              <w:bottom w:val="single" w:sz="8" w:space="0" w:color="000000"/>
            </w:tcBorders>
            <w:vAlign w:val="center"/>
          </w:tcPr>
          <w:p>
            <w:pPr>
              <w:pStyle w:val="TableContents"/>
              <w:bidi w:val="0"/>
              <w:spacing w:before="0" w:after="283"/>
              <w:jc w:val="right"/>
              <w:rPr>
                <w:b/>
              </w:rPr>
            </w:pPr>
            <w:r>
              <w:rPr>
                <w:b/>
              </w:rPr>
              <w:t xml:space="preserve">Derivative </w:t>
              <w:br/>
              <w:t>Liabilities</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33"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 </w:t>
              <w:br/>
              <w:t>Assets</w:t>
            </w:r>
          </w:p>
        </w:tc>
        <w:tc>
          <w:tcPr>
            <w:tcW w:w="90" w:type="dxa"/>
            <w:tcBorders>
              <w:bottom w:val="single" w:sz="8" w:space="0" w:color="000000"/>
            </w:tcBorders>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933"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 </w:t>
              <w:br/>
              <w:t>Liabilities</w:t>
            </w:r>
          </w:p>
        </w:tc>
        <w:tc>
          <w:tcPr>
            <w:tcW w:w="17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5188" w:type="dxa"/>
            <w:tcBorders>
              <w:bottom w:val="single" w:sz="8" w:space="0" w:color="000000"/>
            </w:tcBorders>
            <w:shd w:fill="CCEEFF" w:val="clear"/>
            <w:tcMar>
              <w:bottom w:w="30" w:type="dxa"/>
            </w:tcMar>
            <w:vAlign w:val="center"/>
          </w:tcPr>
          <w:p>
            <w:pPr>
              <w:pStyle w:val="TableContents"/>
              <w:bidi w:val="0"/>
              <w:spacing w:before="0" w:after="283"/>
              <w:jc w:val="left"/>
              <w:rPr/>
            </w:pPr>
            <w:r>
              <w:rPr/>
              <w:t>Balance as of January 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vAlign w:val="center"/>
          </w:tcPr>
          <w:p>
            <w:pPr>
              <w:pStyle w:val="TableContents"/>
              <w:bidi w:val="0"/>
              <w:spacing w:before="0" w:after="283"/>
              <w:jc w:val="left"/>
              <w:rPr/>
            </w:pPr>
            <w:r>
              <w:rPr/>
              <w:t> </w:t>
            </w:r>
          </w:p>
        </w:tc>
        <w:tc>
          <w:tcPr>
            <w:tcW w:w="1022" w:type="dxa"/>
            <w:tcBorders>
              <w:bottom w:val="single" w:sz="8" w:space="0" w:color="000000"/>
            </w:tcBorders>
            <w:shd w:fill="CCEEFF" w:val="clear"/>
            <w:vAlign w:val="center"/>
          </w:tcPr>
          <w:p>
            <w:pPr>
              <w:pStyle w:val="TableContents"/>
              <w:bidi w:val="0"/>
              <w:spacing w:before="0" w:after="283"/>
              <w:jc w:val="right"/>
              <w:rPr>
                <w:b/>
              </w:rPr>
            </w:pPr>
            <w:r>
              <w:rPr>
                <w:b/>
              </w:rPr>
              <w:t>1,281</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vAlign w:val="center"/>
          </w:tcPr>
          <w:p>
            <w:pPr>
              <w:pStyle w:val="TableContents"/>
              <w:bidi w:val="0"/>
              <w:spacing w:before="0" w:after="283"/>
              <w:jc w:val="left"/>
              <w:rPr/>
            </w:pPr>
            <w:r>
              <w:rPr/>
              <w:t> </w:t>
            </w:r>
          </w:p>
        </w:tc>
        <w:tc>
          <w:tcPr>
            <w:tcW w:w="961"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8" w:space="0" w:color="000000"/>
            </w:tcBorders>
            <w:shd w:fill="CCEEFF" w:val="clear"/>
            <w:vAlign w:val="center"/>
          </w:tcPr>
          <w:p>
            <w:pPr>
              <w:pStyle w:val="TableContents"/>
              <w:bidi w:val="0"/>
              <w:spacing w:before="0" w:after="283"/>
              <w:jc w:val="right"/>
              <w:rPr/>
            </w:pPr>
            <w:r>
              <w:rPr/>
              <w:t>—</w:t>
            </w:r>
          </w:p>
        </w:tc>
        <w:tc>
          <w:tcPr>
            <w:tcW w:w="17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r>
      <w:tr>
        <w:trPr/>
        <w:tc>
          <w:tcPr>
            <w:tcW w:w="5188" w:type="dxa"/>
            <w:tcBorders/>
            <w:tcMar>
              <w:bottom w:w="0" w:type="dxa"/>
            </w:tcMar>
            <w:vAlign w:val="center"/>
          </w:tcPr>
          <w:p>
            <w:pPr>
              <w:pStyle w:val="TableContents"/>
              <w:bidi w:val="0"/>
              <w:spacing w:before="0" w:after="283"/>
              <w:jc w:val="left"/>
              <w:rPr/>
            </w:pPr>
            <w:r>
              <w:rPr/>
              <w:t>Remeasurement recognized in statement of profit or loss during the period</w:t>
            </w:r>
          </w:p>
        </w:tc>
        <w:tc>
          <w:tcPr>
            <w:tcW w:w="90" w:type="dxa"/>
            <w:tcBorders/>
            <w:tcMar>
              <w:bottom w:w="0" w:type="dxa"/>
            </w:tcMar>
            <w:vAlign w:val="center"/>
          </w:tcPr>
          <w:p>
            <w:pPr>
              <w:pStyle w:val="TableContents"/>
              <w:bidi w:val="0"/>
              <w:spacing w:before="0" w:after="283"/>
              <w:jc w:val="left"/>
              <w:rPr/>
            </w:pPr>
            <w:r>
              <w:rPr/>
              <w:t> </w:t>
            </w:r>
          </w:p>
        </w:tc>
        <w:tc>
          <w:tcPr>
            <w:tcW w:w="116" w:type="dxa"/>
            <w:tcBorders/>
            <w:tcMar>
              <w:bottom w:w="0" w:type="dxa"/>
            </w:tcMar>
            <w:vAlign w:val="center"/>
          </w:tcPr>
          <w:p>
            <w:pPr>
              <w:pStyle w:val="TableContents"/>
              <w:bidi w:val="0"/>
              <w:spacing w:before="0" w:after="283"/>
              <w:jc w:val="left"/>
              <w:rPr/>
            </w:pPr>
            <w:r>
              <w:rPr/>
              <w:t> </w:t>
            </w:r>
          </w:p>
        </w:tc>
        <w:tc>
          <w:tcPr>
            <w:tcW w:w="1022" w:type="dxa"/>
            <w:tcBorders/>
            <w:tcMar>
              <w:bottom w:w="0" w:type="dxa"/>
            </w:tcMar>
            <w:vAlign w:val="center"/>
          </w:tcPr>
          <w:p>
            <w:pPr>
              <w:pStyle w:val="TableContents"/>
              <w:bidi w:val="0"/>
              <w:spacing w:before="0" w:after="283"/>
              <w:jc w:val="right"/>
              <w:rPr>
                <w:b/>
              </w:rPr>
            </w:pPr>
            <w:r>
              <w:rPr>
                <w:b/>
              </w:rPr>
              <w:t>15,871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7" w:type="dxa"/>
            <w:tcBorders/>
            <w:tcMar>
              <w:bottom w:w="0" w:type="dxa"/>
            </w:tcMar>
            <w:vAlign w:val="center"/>
          </w:tcPr>
          <w:p>
            <w:pPr>
              <w:pStyle w:val="TableContents"/>
              <w:bidi w:val="0"/>
              <w:spacing w:before="0" w:after="283"/>
              <w:jc w:val="left"/>
              <w:rPr/>
            </w:pPr>
            <w:r>
              <w:rPr/>
              <w:t> </w:t>
            </w:r>
          </w:p>
        </w:tc>
        <w:tc>
          <w:tcPr>
            <w:tcW w:w="961" w:type="dxa"/>
            <w:tcBorders/>
            <w:tcMar>
              <w:bottom w:w="0" w:type="dxa"/>
            </w:tcMar>
            <w:vAlign w:val="center"/>
          </w:tcPr>
          <w:p>
            <w:pPr>
              <w:pStyle w:val="TableContents"/>
              <w:bidi w:val="0"/>
              <w:spacing w:before="0" w:after="283"/>
              <w:jc w:val="right"/>
              <w:rPr>
                <w:b/>
              </w:rPr>
            </w:pPr>
            <w:r>
              <w:rPr>
                <w:b/>
              </w:rPr>
              <w:t>(121</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75" w:type="dxa"/>
            <w:tcBorders/>
            <w:tcMar>
              <w:bottom w:w="0" w:type="dxa"/>
            </w:tcMar>
            <w:vAlign w:val="center"/>
          </w:tcPr>
          <w:p>
            <w:pPr>
              <w:pStyle w:val="TableContents"/>
              <w:bidi w:val="0"/>
              <w:spacing w:before="0" w:after="283"/>
              <w:jc w:val="left"/>
              <w:rPr/>
            </w:pPr>
            <w:r>
              <w:rPr/>
              <w:t> </w:t>
            </w:r>
          </w:p>
        </w:tc>
      </w:tr>
      <w:tr>
        <w:trPr/>
        <w:tc>
          <w:tcPr>
            <w:tcW w:w="5188" w:type="dxa"/>
            <w:tcBorders/>
            <w:shd w:fill="CCEEFF" w:val="clear"/>
            <w:tcMar>
              <w:bottom w:w="0" w:type="dxa"/>
            </w:tcMar>
            <w:vAlign w:val="center"/>
          </w:tcPr>
          <w:p>
            <w:pPr>
              <w:pStyle w:val="TableContents"/>
              <w:bidi w:val="0"/>
              <w:spacing w:before="0" w:after="283"/>
              <w:jc w:val="left"/>
              <w:rPr/>
            </w:pPr>
            <w:r>
              <w:rPr/>
              <w:t>Purchases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b/>
              </w:rPr>
            </w:pPr>
            <w:r>
              <w:rPr>
                <w:b/>
              </w:rPr>
              <w:t>13,610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b/>
              </w:rPr>
            </w:pPr>
            <w:r>
              <w:rPr>
                <w:b/>
              </w:rPr>
              <w:t>351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175" w:type="dxa"/>
            <w:tcBorders/>
            <w:shd w:fill="CCEEFF" w:val="clear"/>
            <w:tcMar>
              <w:bottom w:w="0" w:type="dxa"/>
            </w:tcMar>
            <w:vAlign w:val="center"/>
          </w:tcPr>
          <w:p>
            <w:pPr>
              <w:pStyle w:val="TableContents"/>
              <w:bidi w:val="0"/>
              <w:spacing w:before="0" w:after="283"/>
              <w:jc w:val="left"/>
              <w:rPr/>
            </w:pPr>
            <w:r>
              <w:rPr/>
              <w:t> </w:t>
            </w:r>
          </w:p>
        </w:tc>
      </w:tr>
      <w:tr>
        <w:trPr/>
        <w:tc>
          <w:tcPr>
            <w:tcW w:w="5188" w:type="dxa"/>
            <w:tcBorders>
              <w:bottom w:val="single" w:sz="8" w:space="0" w:color="000000"/>
            </w:tcBorders>
            <w:tcMar>
              <w:bottom w:w="30" w:type="dxa"/>
            </w:tcMar>
            <w:vAlign w:val="center"/>
          </w:tcPr>
          <w:p>
            <w:pPr>
              <w:pStyle w:val="TableContents"/>
              <w:bidi w:val="0"/>
              <w:spacing w:before="0" w:after="283"/>
              <w:jc w:val="left"/>
              <w:rPr/>
            </w:pPr>
            <w:r>
              <w:rPr/>
              <w:t>Sales</w:t>
            </w:r>
          </w:p>
        </w:tc>
        <w:tc>
          <w:tcPr>
            <w:tcW w:w="90" w:type="dxa"/>
            <w:tcBorders>
              <w:bottom w:val="single" w:sz="8" w:space="0" w:color="000000"/>
            </w:tcBorders>
            <w:vAlign w:val="center"/>
          </w:tcPr>
          <w:p>
            <w:pPr>
              <w:pStyle w:val="TableContents"/>
              <w:bidi w:val="0"/>
              <w:spacing w:before="0" w:after="283"/>
              <w:jc w:val="left"/>
              <w:rPr/>
            </w:pPr>
            <w:r>
              <w:rPr/>
              <w:t> </w:t>
            </w:r>
          </w:p>
        </w:tc>
        <w:tc>
          <w:tcPr>
            <w:tcW w:w="116" w:type="dxa"/>
            <w:tcBorders>
              <w:bottom w:val="single" w:sz="8" w:space="0" w:color="000000"/>
            </w:tcBorders>
            <w:vAlign w:val="center"/>
          </w:tcPr>
          <w:p>
            <w:pPr>
              <w:pStyle w:val="TableContents"/>
              <w:bidi w:val="0"/>
              <w:spacing w:before="0" w:after="283"/>
              <w:jc w:val="left"/>
              <w:rPr/>
            </w:pPr>
            <w:r>
              <w:rPr/>
              <w:t> </w:t>
            </w:r>
          </w:p>
        </w:tc>
        <w:tc>
          <w:tcPr>
            <w:tcW w:w="1022" w:type="dxa"/>
            <w:tcBorders>
              <w:bottom w:val="single" w:sz="8" w:space="0" w:color="000000"/>
            </w:tcBorders>
            <w:vAlign w:val="center"/>
          </w:tcPr>
          <w:p>
            <w:pPr>
              <w:pStyle w:val="TableContents"/>
              <w:bidi w:val="0"/>
              <w:spacing w:before="0" w:after="283"/>
              <w:jc w:val="right"/>
              <w:rPr>
                <w:b/>
              </w:rPr>
            </w:pPr>
            <w:r>
              <w:rPr>
                <w:b/>
              </w:rPr>
              <w:t>(30,762</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77" w:type="dxa"/>
            <w:tcBorders>
              <w:bottom w:val="single" w:sz="8" w:space="0" w:color="000000"/>
            </w:tcBorders>
            <w:vAlign w:val="center"/>
          </w:tcPr>
          <w:p>
            <w:pPr>
              <w:pStyle w:val="TableContents"/>
              <w:bidi w:val="0"/>
              <w:spacing w:before="0" w:after="283"/>
              <w:jc w:val="left"/>
              <w:rPr/>
            </w:pPr>
            <w:r>
              <w:rPr/>
              <w:t> </w:t>
            </w:r>
          </w:p>
        </w:tc>
        <w:tc>
          <w:tcPr>
            <w:tcW w:w="961" w:type="dxa"/>
            <w:tcBorders>
              <w:bottom w:val="single" w:sz="8" w:space="0" w:color="000000"/>
            </w:tcBorders>
            <w:vAlign w:val="center"/>
          </w:tcPr>
          <w:p>
            <w:pPr>
              <w:pStyle w:val="TableContents"/>
              <w:bidi w:val="0"/>
              <w:spacing w:before="0" w:after="283"/>
              <w:jc w:val="right"/>
              <w:rPr>
                <w:b/>
              </w:rPr>
            </w:pPr>
            <w:r>
              <w:rPr>
                <w:b/>
              </w:rPr>
              <w:t>(358</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37"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8" w:space="0" w:color="000000"/>
            </w:tcBorders>
            <w:vAlign w:val="center"/>
          </w:tcPr>
          <w:p>
            <w:pPr>
              <w:pStyle w:val="TableContents"/>
              <w:bidi w:val="0"/>
              <w:spacing w:before="0" w:after="283"/>
              <w:jc w:val="right"/>
              <w:rPr/>
            </w:pPr>
            <w:r>
              <w:rPr/>
              <w:t>—</w:t>
            </w:r>
          </w:p>
        </w:tc>
        <w:tc>
          <w:tcPr>
            <w:tcW w:w="90" w:type="dxa"/>
            <w:tcBorders>
              <w:bottom w:val="single" w:sz="8" w:space="0" w:color="000000"/>
            </w:tcBorders>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175" w:type="dxa"/>
            <w:tcBorders>
              <w:bottom w:val="single" w:sz="8" w:space="0" w:color="000000"/>
            </w:tcBorders>
            <w:vAlign w:val="center"/>
          </w:tcPr>
          <w:p>
            <w:pPr>
              <w:pStyle w:val="TableContents"/>
              <w:bidi w:val="0"/>
              <w:spacing w:before="0" w:after="283"/>
              <w:jc w:val="left"/>
              <w:rPr/>
            </w:pPr>
            <w:r>
              <w:rPr/>
              <w:t>)</w:t>
            </w:r>
          </w:p>
        </w:tc>
      </w:tr>
      <w:tr>
        <w:trPr/>
        <w:tc>
          <w:tcPr>
            <w:tcW w:w="5188" w:type="dxa"/>
            <w:tcBorders>
              <w:bottom w:val="single" w:sz="12" w:space="0" w:color="000000"/>
            </w:tcBorders>
            <w:shd w:fill="CCEEFF" w:val="clear"/>
            <w:tcMar>
              <w:bottom w:w="30" w:type="dxa"/>
            </w:tcMar>
            <w:vAlign w:val="center"/>
          </w:tcPr>
          <w:p>
            <w:pPr>
              <w:pStyle w:val="TableContents"/>
              <w:bidi w:val="0"/>
              <w:spacing w:before="0" w:after="283"/>
              <w:jc w:val="left"/>
              <w:rPr/>
            </w:pPr>
            <w:r>
              <w:rPr/>
              <w:t>Balance as of period end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022"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vAlign w:val="center"/>
          </w:tcPr>
          <w:p>
            <w:pPr>
              <w:pStyle w:val="TableContents"/>
              <w:bidi w:val="0"/>
              <w:spacing w:before="0" w:after="283"/>
              <w:jc w:val="left"/>
              <w:rPr/>
            </w:pPr>
            <w:r>
              <w:rPr/>
              <w:t> </w:t>
            </w:r>
          </w:p>
        </w:tc>
        <w:tc>
          <w:tcPr>
            <w:tcW w:w="961" w:type="dxa"/>
            <w:tcBorders>
              <w:bottom w:val="single" w:sz="12" w:space="0" w:color="000000"/>
            </w:tcBorders>
            <w:shd w:fill="CCEEFF" w:val="clear"/>
            <w:vAlign w:val="center"/>
          </w:tcPr>
          <w:p>
            <w:pPr>
              <w:pStyle w:val="TableContents"/>
              <w:bidi w:val="0"/>
              <w:spacing w:before="0" w:after="283"/>
              <w:jc w:val="right"/>
              <w:rPr>
                <w:b/>
              </w:rPr>
            </w:pPr>
            <w:r>
              <w:rPr>
                <w:b/>
              </w:rPr>
              <w:t>(128</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12" w:space="0" w:color="000000"/>
            </w:tcBorders>
            <w:shd w:fill="CCEEFF" w:val="clear"/>
            <w:vAlign w:val="center"/>
          </w:tcPr>
          <w:p>
            <w:pPr>
              <w:pStyle w:val="TableContents"/>
              <w:bidi w:val="0"/>
              <w:spacing w:before="0" w:after="283"/>
              <w:jc w:val="right"/>
              <w:rPr/>
            </w:pPr>
            <w:r>
              <w:rPr/>
              <w:t>—</w:t>
            </w:r>
          </w:p>
        </w:tc>
        <w:tc>
          <w:tcPr>
            <w:tcW w:w="17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gain or loss on BTC option and selling contracts derivatives are recognized in Net financial income (expenses) in the consolidated statements of profit or loss and comprehensive profit or loss:</w:t>
      </w:r>
    </w:p>
    <w:p>
      <w:pPr>
        <w:pStyle w:val="TextBody"/>
        <w:bidi w:val="0"/>
        <w:spacing w:before="0" w:after="0"/>
        <w:jc w:val="both"/>
        <w:rPr>
          <w:caps w:val="false"/>
          <w:smallCaps w:val="false"/>
        </w:rPr>
      </w:pPr>
      <w:r>
        <w:rPr>
          <w:caps w:val="false"/>
          <w:smallCaps w:val="false"/>
        </w:rPr>
        <w:t> </w:t>
      </w:r>
    </w:p>
    <w:tbl>
      <w:tblPr>
        <w:tblW w:w="8278" w:type="dxa"/>
        <w:jc w:val="left"/>
        <w:tblInd w:w="0" w:type="dxa"/>
        <w:tblLayout w:type="fixed"/>
        <w:tblCellMar>
          <w:top w:w="0" w:type="dxa"/>
          <w:left w:w="0" w:type="dxa"/>
          <w:bottom w:w="28" w:type="dxa"/>
          <w:right w:w="0" w:type="dxa"/>
        </w:tblCellMar>
      </w:tblPr>
      <w:tblGrid>
        <w:gridCol w:w="5330"/>
        <w:gridCol w:w="90"/>
        <w:gridCol w:w="152"/>
        <w:gridCol w:w="1201"/>
        <w:gridCol w:w="211"/>
        <w:gridCol w:w="152"/>
        <w:gridCol w:w="152"/>
        <w:gridCol w:w="820"/>
        <w:gridCol w:w="170"/>
      </w:tblGrid>
      <w:tr>
        <w:trPr/>
        <w:tc>
          <w:tcPr>
            <w:tcW w:w="533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2688"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533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53" w:type="dxa"/>
            <w:gridSpan w:val="2"/>
            <w:tcBorders>
              <w:bottom w:val="single" w:sz="8" w:space="0" w:color="000000"/>
            </w:tcBorders>
            <w:vAlign w:val="center"/>
          </w:tcPr>
          <w:p>
            <w:pPr>
              <w:pStyle w:val="TableContents"/>
              <w:bidi w:val="0"/>
              <w:spacing w:before="0" w:after="283"/>
              <w:jc w:val="right"/>
              <w:rPr>
                <w:b/>
              </w:rPr>
            </w:pPr>
            <w:r>
              <w:rPr>
                <w:b/>
              </w:rPr>
              <w:t>2024</w:t>
            </w:r>
          </w:p>
        </w:tc>
        <w:tc>
          <w:tcPr>
            <w:tcW w:w="211" w:type="dxa"/>
            <w:tcBorders>
              <w:bottom w:val="single" w:sz="8" w:space="0" w:color="000000"/>
            </w:tcBorders>
            <w:tcMar>
              <w:bottom w:w="30" w:type="dxa"/>
            </w:tcMar>
            <w:vAlign w:val="center"/>
          </w:tcPr>
          <w:p>
            <w:pPr>
              <w:pStyle w:val="TableContents"/>
              <w:bidi w:val="0"/>
              <w:spacing w:before="0" w:after="283"/>
              <w:jc w:val="left"/>
              <w:rPr/>
            </w:pPr>
            <w:r>
              <w:rPr/>
              <w:t> </w:t>
            </w:r>
          </w:p>
        </w:tc>
        <w:tc>
          <w:tcPr>
            <w:tcW w:w="152" w:type="dxa"/>
            <w:tcBorders>
              <w:bottom w:val="single" w:sz="8" w:space="0" w:color="000000"/>
            </w:tcBorders>
            <w:vAlign w:val="center"/>
          </w:tcPr>
          <w:p>
            <w:pPr>
              <w:pStyle w:val="TableContents"/>
              <w:bidi w:val="0"/>
              <w:spacing w:before="0" w:after="283"/>
              <w:jc w:val="left"/>
              <w:rPr/>
            </w:pPr>
            <w:r>
              <w:rPr/>
              <w:t> </w:t>
            </w:r>
          </w:p>
        </w:tc>
        <w:tc>
          <w:tcPr>
            <w:tcW w:w="972" w:type="dxa"/>
            <w:gridSpan w:val="2"/>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5330" w:type="dxa"/>
            <w:tcBorders/>
            <w:shd w:fill="CCEEFF" w:val="clear"/>
            <w:tcMar>
              <w:bottom w:w="0" w:type="dxa"/>
            </w:tcMar>
            <w:vAlign w:val="center"/>
          </w:tcPr>
          <w:p>
            <w:pPr>
              <w:pStyle w:val="TableContents"/>
              <w:bidi w:val="0"/>
              <w:spacing w:before="0" w:after="283"/>
              <w:jc w:val="both"/>
              <w:rPr/>
            </w:pPr>
            <w:r>
              <w:rPr/>
              <w:t>Unrealized change in fair value of outstanding contracts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201" w:type="dxa"/>
            <w:tcBorders/>
            <w:shd w:fill="CCEEFF" w:val="clear"/>
            <w:tcMar>
              <w:bottom w:w="0" w:type="dxa"/>
            </w:tcMar>
            <w:vAlign w:val="center"/>
          </w:tcPr>
          <w:p>
            <w:pPr>
              <w:pStyle w:val="TableContents"/>
              <w:bidi w:val="0"/>
              <w:spacing w:before="0" w:after="283"/>
              <w:jc w:val="right"/>
              <w:rPr>
                <w:b/>
              </w:rPr>
            </w:pPr>
            <w:r>
              <w:rPr>
                <w:b/>
              </w:rPr>
              <w:t>(179</w:t>
            </w:r>
          </w:p>
        </w:tc>
        <w:tc>
          <w:tcPr>
            <w:tcW w:w="211" w:type="dxa"/>
            <w:tcBorders/>
            <w:shd w:fill="CCEEFF" w:val="clear"/>
            <w:tcMar>
              <w:bottom w:w="0" w:type="dxa"/>
            </w:tcMar>
            <w:vAlign w:val="center"/>
          </w:tcPr>
          <w:p>
            <w:pPr>
              <w:pStyle w:val="TableContents"/>
              <w:bidi w:val="0"/>
              <w:spacing w:before="0" w:after="283"/>
              <w:jc w:val="left"/>
              <w:rPr>
                <w:b/>
              </w:rPr>
            </w:pPr>
            <w:r>
              <w:rPr>
                <w:b/>
              </w:rPr>
              <w:t>)</w:t>
            </w:r>
          </w:p>
        </w:tc>
        <w:tc>
          <w:tcPr>
            <w:tcW w:w="152"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409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330" w:type="dxa"/>
            <w:tcBorders>
              <w:bottom w:val="single" w:sz="8" w:space="0" w:color="000000"/>
            </w:tcBorders>
            <w:tcMar>
              <w:bottom w:w="30" w:type="dxa"/>
            </w:tcMar>
            <w:vAlign w:val="center"/>
          </w:tcPr>
          <w:p>
            <w:pPr>
              <w:pStyle w:val="TableContents"/>
              <w:bidi w:val="0"/>
              <w:spacing w:before="0" w:after="283"/>
              <w:jc w:val="both"/>
              <w:rPr/>
            </w:pPr>
            <w:r>
              <w:rPr/>
              <w:t>Realized gain (loss) on settled contracts</w:t>
            </w:r>
          </w:p>
        </w:tc>
        <w:tc>
          <w:tcPr>
            <w:tcW w:w="90" w:type="dxa"/>
            <w:tcBorders>
              <w:bottom w:val="single" w:sz="8" w:space="0" w:color="000000"/>
            </w:tcBorders>
            <w:vAlign w:val="center"/>
          </w:tcPr>
          <w:p>
            <w:pPr>
              <w:pStyle w:val="TableContents"/>
              <w:bidi w:val="0"/>
              <w:spacing w:before="0" w:after="283"/>
              <w:jc w:val="left"/>
              <w:rPr/>
            </w:pPr>
            <w:r>
              <w:rPr/>
              <w:t> </w:t>
            </w:r>
          </w:p>
        </w:tc>
        <w:tc>
          <w:tcPr>
            <w:tcW w:w="152" w:type="dxa"/>
            <w:tcBorders>
              <w:bottom w:val="single" w:sz="8" w:space="0" w:color="000000"/>
            </w:tcBorders>
            <w:vAlign w:val="center"/>
          </w:tcPr>
          <w:p>
            <w:pPr>
              <w:pStyle w:val="TableContents"/>
              <w:bidi w:val="0"/>
              <w:spacing w:before="0" w:after="283"/>
              <w:jc w:val="left"/>
              <w:rPr/>
            </w:pPr>
            <w:r>
              <w:rPr/>
              <w:t> </w:t>
            </w:r>
          </w:p>
        </w:tc>
        <w:tc>
          <w:tcPr>
            <w:tcW w:w="1201" w:type="dxa"/>
            <w:tcBorders>
              <w:bottom w:val="single" w:sz="8" w:space="0" w:color="000000"/>
            </w:tcBorders>
            <w:vAlign w:val="center"/>
          </w:tcPr>
          <w:p>
            <w:pPr>
              <w:pStyle w:val="TableContents"/>
              <w:bidi w:val="0"/>
              <w:spacing w:before="0" w:after="283"/>
              <w:jc w:val="right"/>
              <w:rPr>
                <w:b/>
              </w:rPr>
            </w:pPr>
            <w:r>
              <w:rPr>
                <w:b/>
              </w:rPr>
              <w:t>15,929</w:t>
            </w:r>
          </w:p>
        </w:tc>
        <w:tc>
          <w:tcPr>
            <w:tcW w:w="211" w:type="dxa"/>
            <w:tcBorders>
              <w:bottom w:val="single" w:sz="8" w:space="0" w:color="000000"/>
            </w:tcBorders>
            <w:tcMar>
              <w:bottom w:w="30" w:type="dxa"/>
            </w:tcMar>
            <w:vAlign w:val="center"/>
          </w:tcPr>
          <w:p>
            <w:pPr>
              <w:pStyle w:val="TableContents"/>
              <w:bidi w:val="0"/>
              <w:spacing w:before="0" w:after="283"/>
              <w:jc w:val="left"/>
              <w:rPr/>
            </w:pPr>
            <w:r>
              <w:rPr/>
              <w:t> </w:t>
            </w:r>
          </w:p>
        </w:tc>
        <w:tc>
          <w:tcPr>
            <w:tcW w:w="152" w:type="dxa"/>
            <w:tcBorders>
              <w:bottom w:val="single" w:sz="8" w:space="0" w:color="000000"/>
            </w:tcBorders>
            <w:vAlign w:val="center"/>
          </w:tcPr>
          <w:p>
            <w:pPr>
              <w:pStyle w:val="TableContents"/>
              <w:bidi w:val="0"/>
              <w:spacing w:before="0" w:after="283"/>
              <w:jc w:val="left"/>
              <w:rPr/>
            </w:pPr>
            <w:r>
              <w:rPr/>
              <w:t> </w:t>
            </w:r>
          </w:p>
        </w:tc>
        <w:tc>
          <w:tcPr>
            <w:tcW w:w="152" w:type="dxa"/>
            <w:tcBorders>
              <w:bottom w:val="single" w:sz="8" w:space="0" w:color="000000"/>
            </w:tcBorders>
            <w:vAlign w:val="center"/>
          </w:tcPr>
          <w:p>
            <w:pPr>
              <w:pStyle w:val="TableContents"/>
              <w:bidi w:val="0"/>
              <w:spacing w:before="0" w:after="283"/>
              <w:jc w:val="left"/>
              <w:rPr/>
            </w:pPr>
            <w:r>
              <w:rPr/>
              <w:t> </w:t>
            </w:r>
          </w:p>
        </w:tc>
        <w:tc>
          <w:tcPr>
            <w:tcW w:w="820" w:type="dxa"/>
            <w:tcBorders>
              <w:bottom w:val="single" w:sz="8" w:space="0" w:color="000000"/>
            </w:tcBorders>
            <w:vAlign w:val="center"/>
          </w:tcPr>
          <w:p>
            <w:pPr>
              <w:pStyle w:val="TableContents"/>
              <w:bidi w:val="0"/>
              <w:spacing w:before="0" w:after="283"/>
              <w:jc w:val="right"/>
              <w:rPr/>
            </w:pPr>
            <w:r>
              <w:rPr/>
              <w:t>(361</w:t>
            </w:r>
          </w:p>
        </w:tc>
        <w:tc>
          <w:tcPr>
            <w:tcW w:w="170" w:type="dxa"/>
            <w:tcBorders>
              <w:bottom w:val="single" w:sz="8" w:space="0" w:color="000000"/>
            </w:tcBorders>
            <w:vAlign w:val="center"/>
          </w:tcPr>
          <w:p>
            <w:pPr>
              <w:pStyle w:val="TableContents"/>
              <w:bidi w:val="0"/>
              <w:spacing w:before="0" w:after="283"/>
              <w:jc w:val="left"/>
              <w:rPr/>
            </w:pPr>
            <w:r>
              <w:rPr/>
              <w:t>)</w:t>
            </w:r>
          </w:p>
        </w:tc>
      </w:tr>
      <w:tr>
        <w:trPr/>
        <w:tc>
          <w:tcPr>
            <w:tcW w:w="533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vAlign w:val="center"/>
          </w:tcPr>
          <w:p>
            <w:pPr>
              <w:pStyle w:val="TableContents"/>
              <w:bidi w:val="0"/>
              <w:spacing w:before="0" w:after="283"/>
              <w:jc w:val="left"/>
              <w:rPr/>
            </w:pPr>
            <w:r>
              <w:rPr/>
              <w:t> </w:t>
            </w:r>
          </w:p>
        </w:tc>
        <w:tc>
          <w:tcPr>
            <w:tcW w:w="1201" w:type="dxa"/>
            <w:tcBorders>
              <w:bottom w:val="single" w:sz="12" w:space="0" w:color="000000"/>
            </w:tcBorders>
            <w:shd w:fill="CCEEFF" w:val="clear"/>
            <w:vAlign w:val="center"/>
          </w:tcPr>
          <w:p>
            <w:pPr>
              <w:pStyle w:val="TableContents"/>
              <w:bidi w:val="0"/>
              <w:spacing w:before="0" w:after="283"/>
              <w:jc w:val="right"/>
              <w:rPr>
                <w:b/>
              </w:rPr>
            </w:pPr>
            <w:r>
              <w:rPr>
                <w:b/>
              </w:rPr>
              <w:t>15,750</w:t>
            </w:r>
          </w:p>
        </w:tc>
        <w:tc>
          <w:tcPr>
            <w:tcW w:w="211"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52" w:type="dxa"/>
            <w:tcBorders>
              <w:bottom w:val="single" w:sz="12" w:space="0" w:color="000000"/>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vAlign w:val="center"/>
          </w:tcPr>
          <w:p>
            <w:pPr>
              <w:pStyle w:val="TableContents"/>
              <w:bidi w:val="0"/>
              <w:spacing w:before="0" w:after="283"/>
              <w:jc w:val="left"/>
              <w:rPr/>
            </w:pPr>
            <w:r>
              <w:rPr/>
              <w:t> </w:t>
            </w:r>
          </w:p>
        </w:tc>
        <w:tc>
          <w:tcPr>
            <w:tcW w:w="820" w:type="dxa"/>
            <w:tcBorders>
              <w:bottom w:val="single" w:sz="12" w:space="0" w:color="000000"/>
            </w:tcBorders>
            <w:shd w:fill="CCEEFF" w:val="clear"/>
            <w:vAlign w:val="center"/>
          </w:tcPr>
          <w:p>
            <w:pPr>
              <w:pStyle w:val="TableContents"/>
              <w:bidi w:val="0"/>
              <w:spacing w:before="0" w:after="283"/>
              <w:jc w:val="right"/>
              <w:rPr/>
            </w:pPr>
            <w:r>
              <w:rPr/>
              <w:t>48</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38 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2" w:name="a_018"/>
      <w:bookmarkStart w:id="43" w:name="a_018"/>
      <w:bookmarkEnd w:id="43"/>
    </w:p>
    <w:tbl>
      <w:tblPr>
        <w:tblW w:w="4218" w:type="dxa"/>
        <w:jc w:val="left"/>
        <w:tblInd w:w="0" w:type="dxa"/>
        <w:tblLayout w:type="fixed"/>
        <w:tblCellMar>
          <w:top w:w="0" w:type="dxa"/>
          <w:left w:w="0" w:type="dxa"/>
          <w:bottom w:w="0" w:type="dxa"/>
          <w:right w:w="0" w:type="dxa"/>
        </w:tblCellMar>
      </w:tblPr>
      <w:tblGrid>
        <w:gridCol w:w="68"/>
        <w:gridCol w:w="1115"/>
        <w:gridCol w:w="303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10:</w:t>
            </w:r>
          </w:p>
        </w:tc>
        <w:tc>
          <w:tcPr>
            <w:tcW w:w="3035" w:type="dxa"/>
            <w:tcBorders/>
            <w:vAlign w:val="center"/>
          </w:tcPr>
          <w:p>
            <w:pPr>
              <w:pStyle w:val="TableContents"/>
              <w:bidi w:val="0"/>
              <w:spacing w:before="0" w:after="283"/>
              <w:jc w:val="both"/>
              <w:rPr>
                <w:b/>
              </w:rPr>
            </w:pPr>
            <w:r>
              <w:rPr>
                <w:b/>
              </w:rPr>
              <w:t>ASSETS HELD FOR SALE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December 31, 2023, assets held for sale consisted of the following:</w:t>
      </w:r>
    </w:p>
    <w:p>
      <w:pPr>
        <w:pStyle w:val="TextBody"/>
        <w:bidi w:val="0"/>
        <w:spacing w:before="0" w:after="0"/>
        <w:jc w:val="both"/>
        <w:rPr>
          <w:caps w:val="false"/>
          <w:smallCaps w:val="false"/>
        </w:rPr>
      </w:pPr>
      <w:r>
        <w:rPr>
          <w:caps w:val="false"/>
          <w:smallCaps w:val="false"/>
        </w:rPr>
        <w:t> </w:t>
      </w:r>
    </w:p>
    <w:tbl>
      <w:tblPr>
        <w:tblW w:w="7968" w:type="dxa"/>
        <w:jc w:val="left"/>
        <w:tblInd w:w="0" w:type="dxa"/>
        <w:tblLayout w:type="fixed"/>
        <w:tblCellMar>
          <w:top w:w="0" w:type="dxa"/>
          <w:left w:w="0" w:type="dxa"/>
          <w:bottom w:w="28" w:type="dxa"/>
          <w:right w:w="0" w:type="dxa"/>
        </w:tblCellMar>
      </w:tblPr>
      <w:tblGrid>
        <w:gridCol w:w="2855"/>
        <w:gridCol w:w="90"/>
        <w:gridCol w:w="194"/>
        <w:gridCol w:w="336"/>
        <w:gridCol w:w="90"/>
        <w:gridCol w:w="90"/>
        <w:gridCol w:w="267"/>
        <w:gridCol w:w="1762"/>
        <w:gridCol w:w="90"/>
        <w:gridCol w:w="90"/>
        <w:gridCol w:w="259"/>
        <w:gridCol w:w="1710"/>
        <w:gridCol w:w="135"/>
      </w:tblGrid>
      <w:tr>
        <w:trPr/>
        <w:tc>
          <w:tcPr>
            <w:tcW w:w="285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0"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As of December 31,</w:t>
            </w:r>
          </w:p>
        </w:tc>
        <w:tc>
          <w:tcPr>
            <w:tcW w:w="1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85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0" w:type="dxa"/>
            <w:gridSpan w:val="2"/>
            <w:tcBorders>
              <w:bottom w:val="single" w:sz="8" w:space="0" w:color="000000"/>
            </w:tcBorders>
            <w:vAlign w:val="center"/>
          </w:tcPr>
          <w:p>
            <w:pPr>
              <w:pStyle w:val="TableContents"/>
              <w:bidi w:val="0"/>
              <w:spacing w:before="0" w:after="283"/>
              <w:jc w:val="right"/>
              <w:rPr>
                <w:b/>
              </w:rPr>
            </w:pPr>
            <w:r>
              <w:rPr>
                <w:b/>
              </w:rPr>
              <w:t>Note</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283"/>
              <w:jc w:val="left"/>
              <w:rPr/>
            </w:pPr>
            <w:r>
              <w:rPr/>
              <w:t>Miners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3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b/>
              </w:rPr>
            </w:pPr>
            <w:r>
              <w:rPr>
                <w:b/>
              </w:rPr>
              <w:t>4,806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710" w:type="dxa"/>
            <w:tcBorders/>
            <w:shd w:fill="CCEEFF" w:val="clear"/>
            <w:tcMar>
              <w:bottom w:w="0" w:type="dxa"/>
            </w:tcMar>
            <w:vAlign w:val="center"/>
          </w:tcPr>
          <w:p>
            <w:pPr>
              <w:pStyle w:val="TableContents"/>
              <w:bidi w:val="0"/>
              <w:spacing w:before="0" w:after="283"/>
              <w:jc w:val="right"/>
              <w:rPr/>
            </w:pPr>
            <w:r>
              <w:rPr/>
              <w:t>521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bottom w:val="single" w:sz="8" w:space="0" w:color="000000"/>
            </w:tcBorders>
            <w:tcMar>
              <w:bottom w:w="30" w:type="dxa"/>
            </w:tcMar>
            <w:vAlign w:val="center"/>
          </w:tcPr>
          <w:p>
            <w:pPr>
              <w:pStyle w:val="TableContents"/>
              <w:bidi w:val="0"/>
              <w:spacing w:before="0" w:after="283"/>
              <w:jc w:val="left"/>
              <w:rPr/>
            </w:pPr>
            <w:r>
              <w:rPr/>
              <w:t>Mining electrical components</w:t>
            </w:r>
          </w:p>
        </w:tc>
        <w:tc>
          <w:tcPr>
            <w:tcW w:w="90" w:type="dxa"/>
            <w:tcBorders>
              <w:bottom w:val="single" w:sz="8" w:space="0" w:color="000000"/>
            </w:tcBorders>
            <w:vAlign w:val="center"/>
          </w:tcPr>
          <w:p>
            <w:pPr>
              <w:pStyle w:val="TableContents"/>
              <w:bidi w:val="0"/>
              <w:spacing w:before="0" w:after="283"/>
              <w:jc w:val="left"/>
              <w:rPr/>
            </w:pPr>
            <w:r>
              <w:rPr/>
              <w:t> </w:t>
            </w:r>
          </w:p>
        </w:tc>
        <w:tc>
          <w:tcPr>
            <w:tcW w:w="194" w:type="dxa"/>
            <w:tcBorders>
              <w:bottom w:val="single" w:sz="8" w:space="0" w:color="000000"/>
            </w:tcBorders>
            <w:vAlign w:val="center"/>
          </w:tcPr>
          <w:p>
            <w:pPr>
              <w:pStyle w:val="TableContents"/>
              <w:bidi w:val="0"/>
              <w:spacing w:before="0" w:after="283"/>
              <w:jc w:val="left"/>
              <w:rPr/>
            </w:pPr>
            <w:r>
              <w:rPr/>
              <w:t> </w:t>
            </w:r>
          </w:p>
        </w:tc>
        <w:tc>
          <w:tcPr>
            <w:tcW w:w="336"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7" w:type="dxa"/>
            <w:tcBorders>
              <w:bottom w:val="single" w:sz="8" w:space="0" w:color="000000"/>
            </w:tcBorders>
            <w:vAlign w:val="center"/>
          </w:tcPr>
          <w:p>
            <w:pPr>
              <w:pStyle w:val="TableContents"/>
              <w:bidi w:val="0"/>
              <w:spacing w:before="0" w:after="283"/>
              <w:jc w:val="left"/>
              <w:rPr/>
            </w:pPr>
            <w:r>
              <w:rPr/>
              <w:t> </w:t>
            </w:r>
          </w:p>
        </w:tc>
        <w:tc>
          <w:tcPr>
            <w:tcW w:w="1762" w:type="dxa"/>
            <w:tcBorders>
              <w:bottom w:val="single" w:sz="8" w:space="0" w:color="000000"/>
            </w:tcBorders>
            <w:vAlign w:val="center"/>
          </w:tcPr>
          <w:p>
            <w:pPr>
              <w:pStyle w:val="TableContents"/>
              <w:bidi w:val="0"/>
              <w:spacing w:before="0" w:after="283"/>
              <w:jc w:val="right"/>
              <w:rPr>
                <w:b/>
              </w:rPr>
            </w:pPr>
            <w:r>
              <w:rPr>
                <w:b/>
              </w:rPr>
              <w:t>1,117</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59" w:type="dxa"/>
            <w:tcBorders>
              <w:bottom w:val="single" w:sz="8" w:space="0" w:color="000000"/>
            </w:tcBorders>
            <w:vAlign w:val="center"/>
          </w:tcPr>
          <w:p>
            <w:pPr>
              <w:pStyle w:val="TableContents"/>
              <w:bidi w:val="0"/>
              <w:spacing w:before="0" w:after="283"/>
              <w:jc w:val="left"/>
              <w:rPr/>
            </w:pPr>
            <w:r>
              <w:rPr/>
              <w:t> </w:t>
            </w:r>
          </w:p>
        </w:tc>
        <w:tc>
          <w:tcPr>
            <w:tcW w:w="1710" w:type="dxa"/>
            <w:tcBorders>
              <w:bottom w:val="single" w:sz="8" w:space="0" w:color="000000"/>
            </w:tcBorders>
            <w:vAlign w:val="center"/>
          </w:tcPr>
          <w:p>
            <w:pPr>
              <w:pStyle w:val="TableContents"/>
              <w:bidi w:val="0"/>
              <w:spacing w:before="0" w:after="283"/>
              <w:jc w:val="right"/>
              <w:rPr/>
            </w:pPr>
            <w:r>
              <w:rPr/>
              <w:t>867</w:t>
            </w:r>
          </w:p>
        </w:tc>
        <w:tc>
          <w:tcPr>
            <w:tcW w:w="1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85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vAlign w:val="center"/>
          </w:tcPr>
          <w:p>
            <w:pPr>
              <w:pStyle w:val="TableContents"/>
              <w:bidi w:val="0"/>
              <w:spacing w:before="0" w:after="283"/>
              <w:jc w:val="righ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vAlign w:val="center"/>
          </w:tcPr>
          <w:p>
            <w:pPr>
              <w:pStyle w:val="TableContents"/>
              <w:bidi w:val="0"/>
              <w:spacing w:before="0" w:after="283"/>
              <w:jc w:val="left"/>
              <w:rPr/>
            </w:pPr>
            <w:r>
              <w:rPr/>
              <w:t> </w:t>
            </w:r>
          </w:p>
        </w:tc>
        <w:tc>
          <w:tcPr>
            <w:tcW w:w="1762" w:type="dxa"/>
            <w:tcBorders>
              <w:bottom w:val="single" w:sz="12" w:space="0" w:color="000000"/>
            </w:tcBorders>
            <w:shd w:fill="CCEEFF" w:val="clear"/>
            <w:vAlign w:val="center"/>
          </w:tcPr>
          <w:p>
            <w:pPr>
              <w:pStyle w:val="TableContents"/>
              <w:bidi w:val="0"/>
              <w:spacing w:before="0" w:after="283"/>
              <w:jc w:val="right"/>
              <w:rPr>
                <w:b/>
              </w:rPr>
            </w:pPr>
            <w:r>
              <w:rPr>
                <w:b/>
              </w:rPr>
              <w:t>5,923</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vAlign w:val="center"/>
          </w:tcPr>
          <w:p>
            <w:pPr>
              <w:pStyle w:val="TableContents"/>
              <w:bidi w:val="0"/>
              <w:spacing w:before="0" w:after="283"/>
              <w:jc w:val="left"/>
              <w:rPr/>
            </w:pPr>
            <w:r>
              <w:rPr/>
              <w:t> </w:t>
            </w:r>
          </w:p>
        </w:tc>
        <w:tc>
          <w:tcPr>
            <w:tcW w:w="1710" w:type="dxa"/>
            <w:tcBorders>
              <w:bottom w:val="single" w:sz="12" w:space="0" w:color="000000"/>
            </w:tcBorders>
            <w:shd w:fill="CCEEFF" w:val="clear"/>
            <w:vAlign w:val="center"/>
          </w:tcPr>
          <w:p>
            <w:pPr>
              <w:pStyle w:val="TableContents"/>
              <w:bidi w:val="0"/>
              <w:spacing w:before="0" w:after="283"/>
              <w:jc w:val="right"/>
              <w:rPr/>
            </w:pPr>
            <w:r>
              <w:rPr/>
              <w:t>1,388</w:t>
            </w:r>
          </w:p>
        </w:tc>
        <w:tc>
          <w:tcPr>
            <w:tcW w:w="13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 were measured at the lower of their carrying amount and fair value less costs to sell at the time of the reclassification. The fair value of the asset was determined using the latest sale approach, which is based on recent sales price concluded by the Company. It is a level 3 measurement under the fair value hierarchy and is a non-recurring measurement. They key assumption used by Management to determine the fair value is the latest amount invoiced.</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760"/>
        <w:gridCol w:w="9142"/>
      </w:tblGrid>
      <w:tr>
        <w:trPr/>
        <w:tc>
          <w:tcPr>
            <w:tcW w:w="30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b/>
                <w:i/>
              </w:rPr>
            </w:pPr>
            <w:r>
              <w:rPr>
                <w:b/>
                <w:i/>
              </w:rPr>
              <w:t>i.</w:t>
            </w:r>
          </w:p>
        </w:tc>
        <w:tc>
          <w:tcPr>
            <w:tcW w:w="9142" w:type="dxa"/>
            <w:tcBorders/>
            <w:vAlign w:val="center"/>
          </w:tcPr>
          <w:p>
            <w:pPr>
              <w:pStyle w:val="TableContents"/>
              <w:bidi w:val="0"/>
              <w:spacing w:before="0" w:after="283"/>
              <w:jc w:val="both"/>
              <w:rPr>
                <w:b/>
                <w:i/>
              </w:rPr>
            </w:pPr>
            <w:r>
              <w:rPr>
                <w:b/>
                <w:i/>
              </w:rPr>
              <w:t>Miners held for sale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movement of Miners held for sale:</w:t>
      </w:r>
    </w:p>
    <w:p>
      <w:pPr>
        <w:pStyle w:val="TextBody"/>
        <w:bidi w:val="0"/>
        <w:spacing w:before="0" w:after="0"/>
        <w:jc w:val="both"/>
        <w:rPr>
          <w:caps w:val="false"/>
          <w:smallCaps w:val="false"/>
        </w:rPr>
      </w:pPr>
      <w:r>
        <w:rPr>
          <w:caps w:val="false"/>
          <w:smallCaps w:val="false"/>
        </w:rPr>
        <w:t> </w:t>
      </w:r>
    </w:p>
    <w:tbl>
      <w:tblPr>
        <w:tblW w:w="10945" w:type="dxa"/>
        <w:jc w:val="left"/>
        <w:tblInd w:w="0" w:type="dxa"/>
        <w:tblLayout w:type="fixed"/>
        <w:tblCellMar>
          <w:top w:w="0" w:type="dxa"/>
          <w:left w:w="0" w:type="dxa"/>
          <w:bottom w:w="28" w:type="dxa"/>
          <w:right w:w="0" w:type="dxa"/>
        </w:tblCellMar>
      </w:tblPr>
      <w:tblGrid>
        <w:gridCol w:w="1280"/>
        <w:gridCol w:w="90"/>
        <w:gridCol w:w="90"/>
        <w:gridCol w:w="785"/>
        <w:gridCol w:w="125"/>
        <w:gridCol w:w="90"/>
        <w:gridCol w:w="90"/>
        <w:gridCol w:w="665"/>
        <w:gridCol w:w="125"/>
        <w:gridCol w:w="90"/>
        <w:gridCol w:w="90"/>
        <w:gridCol w:w="665"/>
        <w:gridCol w:w="125"/>
        <w:gridCol w:w="90"/>
        <w:gridCol w:w="139"/>
        <w:gridCol w:w="511"/>
        <w:gridCol w:w="125"/>
        <w:gridCol w:w="90"/>
        <w:gridCol w:w="90"/>
        <w:gridCol w:w="665"/>
        <w:gridCol w:w="125"/>
        <w:gridCol w:w="90"/>
        <w:gridCol w:w="90"/>
        <w:gridCol w:w="590"/>
        <w:gridCol w:w="125"/>
        <w:gridCol w:w="90"/>
        <w:gridCol w:w="90"/>
        <w:gridCol w:w="590"/>
        <w:gridCol w:w="125"/>
        <w:gridCol w:w="90"/>
        <w:gridCol w:w="90"/>
        <w:gridCol w:w="590"/>
        <w:gridCol w:w="125"/>
        <w:gridCol w:w="90"/>
        <w:gridCol w:w="90"/>
        <w:gridCol w:w="785"/>
        <w:gridCol w:w="125"/>
        <w:gridCol w:w="90"/>
        <w:gridCol w:w="90"/>
        <w:gridCol w:w="710"/>
        <w:gridCol w:w="135"/>
      </w:tblGrid>
      <w:tr>
        <w:trPr/>
        <w:tc>
          <w:tcPr>
            <w:tcW w:w="1280" w:type="dxa"/>
            <w:tcBorders>
              <w:bottom w:val="single" w:sz="8" w:space="0" w:color="000000"/>
            </w:tcBorders>
            <w:vAlign w:val="center"/>
          </w:tcPr>
          <w:p>
            <w:pPr>
              <w:pStyle w:val="TableContents"/>
              <w:bidi w:val="0"/>
              <w:spacing w:before="0" w:after="283"/>
              <w:ind w:left="0" w:right="0" w:hanging="180"/>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45" w:type="dxa"/>
            <w:gridSpan w:val="6"/>
            <w:tcBorders>
              <w:bottom w:val="single" w:sz="8" w:space="0" w:color="000000"/>
            </w:tcBorders>
            <w:vAlign w:val="center"/>
          </w:tcPr>
          <w:p>
            <w:pPr>
              <w:pStyle w:val="TableContents"/>
              <w:bidi w:val="0"/>
              <w:spacing w:before="0" w:after="283"/>
              <w:jc w:val="right"/>
              <w:rPr>
                <w:b/>
              </w:rPr>
            </w:pPr>
            <w:r>
              <w:rPr>
                <w:b/>
              </w:rPr>
              <w:t>MicroBT</w:t>
              <w:br/>
              <w:t xml:space="preserve">WhatsMiner </w:t>
              <w:br/>
              <w:t>M30, M31 &amp; M50</w:t>
              <w:br/>
              <w:t>Miners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620" w:type="dxa"/>
            <w:gridSpan w:val="6"/>
            <w:tcBorders>
              <w:bottom w:val="single" w:sz="8" w:space="0" w:color="000000"/>
            </w:tcBorders>
            <w:vAlign w:val="center"/>
          </w:tcPr>
          <w:p>
            <w:pPr>
              <w:pStyle w:val="TableContents"/>
              <w:bidi w:val="0"/>
              <w:spacing w:before="0" w:after="283"/>
              <w:jc w:val="right"/>
              <w:rPr>
                <w:b/>
              </w:rPr>
            </w:pPr>
            <w:r>
              <w:rPr>
                <w:b/>
              </w:rPr>
              <w:t xml:space="preserve">Innosilicon T2T &amp; T3, </w:t>
              <w:br/>
              <w:t>Canaan Avalon A10</w:t>
              <w:br/>
              <w:t>and Antminer T15 &amp;</w:t>
              <w:br/>
              <w:t>S15 Miners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650" w:type="dxa"/>
            <w:gridSpan w:val="6"/>
            <w:tcBorders>
              <w:bottom w:val="single" w:sz="8" w:space="0" w:color="000000"/>
            </w:tcBorders>
            <w:vAlign w:val="center"/>
          </w:tcPr>
          <w:p>
            <w:pPr>
              <w:pStyle w:val="TableContents"/>
              <w:bidi w:val="0"/>
              <w:spacing w:before="0" w:after="283"/>
              <w:jc w:val="right"/>
              <w:rPr>
                <w:b/>
              </w:rPr>
            </w:pPr>
            <w:r>
              <w:rPr>
                <w:b/>
              </w:rPr>
              <w:t>MicroBT</w:t>
              <w:br/>
              <w:t xml:space="preserve">WhatsMiner </w:t>
              <w:br/>
              <w:t>M20S Miners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575" w:type="dxa"/>
            <w:gridSpan w:val="6"/>
            <w:tcBorders>
              <w:bottom w:val="single" w:sz="8" w:space="0" w:color="000000"/>
            </w:tcBorders>
            <w:vAlign w:val="center"/>
          </w:tcPr>
          <w:p>
            <w:pPr>
              <w:pStyle w:val="TableContents"/>
              <w:bidi w:val="0"/>
              <w:spacing w:before="0" w:after="283"/>
              <w:jc w:val="right"/>
              <w:rPr>
                <w:b/>
              </w:rPr>
            </w:pPr>
            <w:r>
              <w:rPr>
                <w:b/>
              </w:rPr>
              <w:t xml:space="preserve">Bitmain S19j Pro </w:t>
              <w:br/>
              <w:t>Miners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90" w:type="dxa"/>
            <w:gridSpan w:val="6"/>
            <w:tcBorders>
              <w:bottom w:val="single" w:sz="8" w:space="0" w:color="000000"/>
            </w:tcBorders>
            <w:vAlign w:val="center"/>
          </w:tcPr>
          <w:p>
            <w:pPr>
              <w:pStyle w:val="TableContents"/>
              <w:bidi w:val="0"/>
              <w:spacing w:before="0" w:after="283"/>
              <w:jc w:val="center"/>
              <w:rPr>
                <w:b/>
              </w:rPr>
            </w:pPr>
            <w:r>
              <w:rPr>
                <w:b/>
              </w:rPr>
              <w:t>TOTAL</w:t>
            </w:r>
          </w:p>
        </w:tc>
        <w:tc>
          <w:tcPr>
            <w:tcW w:w="135" w:type="dxa"/>
            <w:tcBorders>
              <w:bottom w:val="single" w:sz="8" w:space="0" w:color="000000"/>
            </w:tcBorders>
            <w:vAlign w:val="center"/>
          </w:tcPr>
          <w:p>
            <w:pPr>
              <w:pStyle w:val="TableContents"/>
              <w:bidi w:val="0"/>
              <w:spacing w:before="0" w:after="283"/>
              <w:ind w:left="0" w:right="0" w:hanging="180"/>
              <w:jc w:val="left"/>
              <w:rPr/>
            </w:pPr>
            <w:r>
              <w:rPr/>
              <w:t> </w:t>
            </w:r>
          </w:p>
        </w:tc>
      </w:tr>
      <w:tr>
        <w:trPr/>
        <w:tc>
          <w:tcPr>
            <w:tcW w:w="128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spacing w:before="0" w:after="283"/>
              <w:jc w:val="right"/>
              <w:rPr>
                <w:b/>
              </w:rPr>
            </w:pPr>
            <w:r>
              <w:rPr>
                <w:b/>
              </w:rPr>
              <w:t>Qty</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right"/>
              <w:rPr>
                <w:b/>
              </w:rPr>
            </w:pPr>
            <w:r>
              <w:rPr>
                <w:b/>
              </w:rPr>
              <w:t>Value</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right"/>
              <w:rPr>
                <w:b/>
              </w:rPr>
            </w:pPr>
            <w:r>
              <w:rPr>
                <w:b/>
              </w:rPr>
              <w:t>Qty</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50" w:type="dxa"/>
            <w:gridSpan w:val="2"/>
            <w:tcBorders>
              <w:bottom w:val="single" w:sz="8" w:space="0" w:color="000000"/>
            </w:tcBorders>
            <w:vAlign w:val="center"/>
          </w:tcPr>
          <w:p>
            <w:pPr>
              <w:pStyle w:val="TableContents"/>
              <w:bidi w:val="0"/>
              <w:spacing w:before="0" w:after="283"/>
              <w:jc w:val="right"/>
              <w:rPr>
                <w:b/>
              </w:rPr>
            </w:pPr>
            <w:r>
              <w:rPr>
                <w:b/>
              </w:rPr>
              <w:t>Value</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right"/>
              <w:rPr>
                <w:b/>
              </w:rPr>
            </w:pPr>
            <w:r>
              <w:rPr>
                <w:b/>
              </w:rPr>
              <w:t>Qty</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right"/>
              <w:rPr>
                <w:b/>
              </w:rPr>
            </w:pPr>
            <w:r>
              <w:rPr>
                <w:b/>
              </w:rPr>
              <w:t>Value</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right"/>
              <w:rPr>
                <w:b/>
              </w:rPr>
            </w:pPr>
            <w:r>
              <w:rPr>
                <w:b/>
              </w:rPr>
              <w:t>Qty</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right"/>
              <w:rPr>
                <w:b/>
              </w:rPr>
            </w:pPr>
            <w:r>
              <w:rPr>
                <w:b/>
              </w:rPr>
              <w:t>Value</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spacing w:before="0" w:after="283"/>
              <w:jc w:val="right"/>
              <w:rPr>
                <w:b/>
              </w:rPr>
            </w:pPr>
            <w:r>
              <w:rPr>
                <w:b/>
              </w:rPr>
              <w:t>Qty</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right"/>
              <w:rPr>
                <w:b/>
              </w:rPr>
            </w:pPr>
            <w:r>
              <w:rPr>
                <w:b/>
              </w:rPr>
              <w:t>Value</w:t>
            </w:r>
          </w:p>
        </w:tc>
        <w:tc>
          <w:tcPr>
            <w:tcW w:w="135" w:type="dxa"/>
            <w:tcBorders>
              <w:bottom w:val="single" w:sz="8" w:space="0" w:color="000000"/>
            </w:tcBorders>
            <w:vAlign w:val="center"/>
          </w:tcPr>
          <w:p>
            <w:pPr>
              <w:pStyle w:val="TableContents"/>
              <w:bidi w:val="0"/>
              <w:spacing w:before="0" w:after="283"/>
              <w:ind w:left="0" w:right="0" w:hanging="180"/>
              <w:jc w:val="left"/>
              <w:rPr/>
            </w:pPr>
            <w:r>
              <w:rPr/>
              <w:t> </w:t>
            </w:r>
          </w:p>
        </w:tc>
      </w:tr>
      <w:tr>
        <w:trPr/>
        <w:tc>
          <w:tcPr>
            <w:tcW w:w="1280" w:type="dxa"/>
            <w:tcBorders>
              <w:bottom w:val="single" w:sz="8" w:space="0" w:color="000000"/>
            </w:tcBorders>
            <w:shd w:fill="CCEEFF" w:val="clear"/>
            <w:tcMar>
              <w:bottom w:w="30" w:type="dxa"/>
            </w:tcMar>
            <w:vAlign w:val="center"/>
          </w:tcPr>
          <w:p>
            <w:pPr>
              <w:pStyle w:val="TableContents"/>
              <w:bidi w:val="0"/>
              <w:spacing w:before="0" w:after="283"/>
              <w:jc w:val="left"/>
              <w:rPr/>
            </w:pPr>
            <w:r>
              <w:rPr/>
              <w:t>Balance as of January 1, 2023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1,272</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c>
          <w:tcPr>
            <w:tcW w:w="511" w:type="dxa"/>
            <w:tcBorders>
              <w:bottom w:val="single" w:sz="8" w:space="0" w:color="000000"/>
            </w:tcBorders>
            <w:shd w:fill="CCEEFF" w:val="clear"/>
            <w:vAlign w:val="center"/>
          </w:tcPr>
          <w:p>
            <w:pPr>
              <w:pStyle w:val="TableContents"/>
              <w:bidi w:val="0"/>
              <w:spacing w:before="0" w:after="283"/>
              <w:jc w:val="right"/>
              <w:rPr/>
            </w:pPr>
            <w:r>
              <w:rPr/>
              <w:t>190</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2,512</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1,030</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283"/>
              <w:jc w:val="right"/>
              <w:rPr/>
            </w:pPr>
            <w:r>
              <w:rPr/>
              <w:t>3,784</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1,220</w:t>
            </w:r>
          </w:p>
        </w:tc>
        <w:tc>
          <w:tcPr>
            <w:tcW w:w="13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1280" w:type="dxa"/>
            <w:tcBorders/>
            <w:tcMar>
              <w:bottom w:w="0" w:type="dxa"/>
            </w:tcMar>
            <w:vAlign w:val="center"/>
          </w:tcPr>
          <w:p>
            <w:pPr>
              <w:pStyle w:val="TableContents"/>
              <w:bidi w:val="0"/>
              <w:spacing w:before="0" w:after="283"/>
              <w:jc w:val="left"/>
              <w:rPr/>
            </w:pPr>
            <w:r>
              <w:rPr/>
              <w:t>Additions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1,848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511" w:type="dxa"/>
            <w:tcBorders/>
            <w:tcMar>
              <w:bottom w:w="0" w:type="dxa"/>
            </w:tcMar>
            <w:vAlign w:val="center"/>
          </w:tcPr>
          <w:p>
            <w:pPr>
              <w:pStyle w:val="TableContents"/>
              <w:bidi w:val="0"/>
              <w:spacing w:before="0" w:after="283"/>
              <w:jc w:val="right"/>
              <w:rPr/>
            </w:pPr>
            <w:r>
              <w:rPr/>
              <w:t>198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205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2,148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403</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Dispositions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51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(1,781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(714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(1,781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(714</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80" w:type="dxa"/>
            <w:tcBorders>
              <w:bottom w:val="single" w:sz="8" w:space="0" w:color="000000"/>
            </w:tcBorders>
            <w:tcMar>
              <w:bottom w:w="30" w:type="dxa"/>
            </w:tcMar>
            <w:vAlign w:val="center"/>
          </w:tcPr>
          <w:p>
            <w:pPr>
              <w:pStyle w:val="TableContents"/>
              <w:bidi w:val="0"/>
              <w:spacing w:before="0" w:after="283"/>
              <w:jc w:val="left"/>
              <w:rPr/>
            </w:pPr>
            <w:r>
              <w:rPr/>
              <w:t>Impairment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85"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right"/>
              <w:rPr/>
            </w:pPr>
            <w:r>
              <w:rPr/>
              <w:t>(3,120</w:t>
            </w:r>
          </w:p>
        </w:tc>
        <w:tc>
          <w:tcPr>
            <w:tcW w:w="125" w:type="dxa"/>
            <w:tcBorders>
              <w:bottom w:val="single" w:sz="8" w:space="0" w:color="000000"/>
            </w:tcBorders>
            <w:tcMar>
              <w:bottom w:w="30" w:type="dxa"/>
            </w:tcMar>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39" w:type="dxa"/>
            <w:tcBorders>
              <w:bottom w:val="single" w:sz="8" w:space="0" w:color="000000"/>
            </w:tcBorders>
            <w:vAlign w:val="center"/>
          </w:tcPr>
          <w:p>
            <w:pPr>
              <w:pStyle w:val="TableContents"/>
              <w:bidi w:val="0"/>
              <w:spacing w:before="0" w:after="283"/>
              <w:jc w:val="left"/>
              <w:rPr/>
            </w:pPr>
            <w:r>
              <w:rPr/>
              <w:t> </w:t>
            </w:r>
          </w:p>
        </w:tc>
        <w:tc>
          <w:tcPr>
            <w:tcW w:w="511" w:type="dxa"/>
            <w:tcBorders>
              <w:bottom w:val="single" w:sz="8" w:space="0" w:color="000000"/>
            </w:tcBorders>
            <w:vAlign w:val="center"/>
          </w:tcPr>
          <w:p>
            <w:pPr>
              <w:pStyle w:val="TableContents"/>
              <w:bidi w:val="0"/>
              <w:spacing w:before="0" w:after="283"/>
              <w:jc w:val="right"/>
              <w:rPr/>
            </w:pPr>
            <w:r>
              <w:rPr/>
              <w:t>(388</w:t>
            </w:r>
          </w:p>
        </w:tc>
        <w:tc>
          <w:tcPr>
            <w:tcW w:w="125" w:type="dxa"/>
            <w:tcBorders>
              <w:bottom w:val="single" w:sz="8" w:space="0" w:color="000000"/>
            </w:tcBorders>
            <w:tcMar>
              <w:bottom w:w="30" w:type="dxa"/>
            </w:tcMar>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85" w:type="dxa"/>
            <w:tcBorders>
              <w:bottom w:val="single" w:sz="8" w:space="0" w:color="000000"/>
            </w:tcBorders>
            <w:vAlign w:val="center"/>
          </w:tcPr>
          <w:p>
            <w:pPr>
              <w:pStyle w:val="TableContents"/>
              <w:bidi w:val="0"/>
              <w:spacing w:before="0" w:after="283"/>
              <w:jc w:val="right"/>
              <w:rPr/>
            </w:pPr>
            <w:r>
              <w:rPr/>
              <w:t>(3,120</w:t>
            </w:r>
          </w:p>
        </w:tc>
        <w:tc>
          <w:tcPr>
            <w:tcW w:w="125" w:type="dxa"/>
            <w:tcBorders>
              <w:bottom w:val="single" w:sz="8" w:space="0" w:color="000000"/>
            </w:tcBorders>
            <w:tcMar>
              <w:bottom w:w="30" w:type="dxa"/>
            </w:tcMar>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pPr>
            <w:r>
              <w:rPr/>
              <w:t>(388</w:t>
            </w:r>
          </w:p>
        </w:tc>
        <w:tc>
          <w:tcPr>
            <w:tcW w:w="135" w:type="dxa"/>
            <w:tcBorders>
              <w:bottom w:val="single" w:sz="8" w:space="0" w:color="000000"/>
            </w:tcBorders>
            <w:tcMar>
              <w:bottom w:w="30" w:type="dxa"/>
            </w:tcMar>
            <w:vAlign w:val="center"/>
          </w:tcPr>
          <w:p>
            <w:pPr>
              <w:pStyle w:val="TableContents"/>
              <w:bidi w:val="0"/>
              <w:spacing w:before="0" w:after="283"/>
              <w:ind w:left="0" w:right="0" w:hanging="180"/>
              <w:jc w:val="left"/>
              <w:rPr/>
            </w:pPr>
            <w:r>
              <w:rPr/>
              <w:t>)</w:t>
            </w:r>
          </w:p>
        </w:tc>
      </w:tr>
      <w:tr>
        <w:trPr/>
        <w:tc>
          <w:tcPr>
            <w:tcW w:w="1280"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Balance as of December 31, 2023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c>
          <w:tcPr>
            <w:tcW w:w="511"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b/>
              </w:rPr>
            </w:pPr>
            <w:r>
              <w:rPr>
                <w:b/>
              </w:rPr>
              <w:t>731</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rPr>
            </w:pPr>
            <w:r>
              <w:rPr>
                <w:b/>
              </w:rPr>
              <w:t>316</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rPr>
            </w:pPr>
            <w:r>
              <w:rPr>
                <w:b/>
              </w:rPr>
              <w:t>300</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rPr>
            </w:pPr>
            <w:r>
              <w:rPr>
                <w:b/>
              </w:rPr>
              <w:t>205</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283"/>
              <w:jc w:val="right"/>
              <w:rPr>
                <w:b/>
              </w:rPr>
            </w:pPr>
            <w:r>
              <w:rPr>
                <w:b/>
              </w:rPr>
              <w:t>1,031</w:t>
            </w:r>
          </w:p>
        </w:tc>
        <w:tc>
          <w:tcPr>
            <w:tcW w:w="12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b/>
              </w:rPr>
            </w:pPr>
            <w:r>
              <w:rPr>
                <w:b/>
              </w:rPr>
              <w:t>521</w:t>
            </w:r>
          </w:p>
        </w:tc>
        <w:tc>
          <w:tcPr>
            <w:tcW w:w="13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1280" w:type="dxa"/>
            <w:tcBorders/>
            <w:tcMar>
              <w:bottom w:w="0" w:type="dxa"/>
            </w:tcMar>
            <w:vAlign w:val="center"/>
          </w:tcPr>
          <w:p>
            <w:pPr>
              <w:pStyle w:val="TableContents"/>
              <w:bidi w:val="0"/>
              <w:spacing w:before="0" w:after="283"/>
              <w:jc w:val="left"/>
              <w:rPr>
                <w:b/>
              </w:rPr>
            </w:pPr>
            <w:r>
              <w:rPr>
                <w:b/>
              </w:rPr>
              <w:t>Additions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b/>
              </w:rPr>
            </w:pPr>
            <w:r>
              <w:rPr>
                <w:b/>
              </w:rPr>
              <w:t>40,026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b/>
              </w:rPr>
            </w:pPr>
            <w:r>
              <w:rPr>
                <w:b/>
              </w:rPr>
              <w:t>8,171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51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b/>
              </w:rPr>
            </w:pPr>
            <w:r>
              <w:rPr>
                <w:b/>
              </w:rPr>
              <w:t>8,395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b/>
              </w:rPr>
            </w:pPr>
            <w:r>
              <w:rPr>
                <w:b/>
              </w:rPr>
              <w:t>2,409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b/>
              </w:rPr>
            </w:pPr>
            <w:r>
              <w:rPr>
                <w:b/>
              </w:rPr>
              <w:t>48,421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b/>
              </w:rPr>
            </w:pPr>
            <w:r>
              <w:rPr>
                <w:b/>
              </w:rPr>
              <w:t>10,580</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b/>
              </w:rPr>
            </w:pPr>
            <w:r>
              <w:rPr>
                <w:b/>
              </w:rPr>
              <w:t>Dispositions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(15,099</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b/>
              </w:rPr>
            </w:pPr>
            <w:r>
              <w:rPr>
                <w:b/>
              </w:rPr>
              <w:t>(2,299</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51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b/>
              </w:rPr>
            </w:pPr>
            <w:r>
              <w:rPr>
                <w:b/>
              </w:rPr>
              <w:t>(258</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b/>
              </w:rPr>
            </w:pPr>
            <w:r>
              <w:rPr>
                <w:b/>
              </w:rPr>
              <w:t>(108</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b/>
              </w:rPr>
            </w:pPr>
            <w:r>
              <w:rPr>
                <w:b/>
              </w:rPr>
              <w:t>(699</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b/>
              </w:rPr>
            </w:pPr>
            <w:r>
              <w:rPr>
                <w:b/>
              </w:rPr>
              <w:t>(260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(16,056</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(2,667</w:t>
            </w:r>
          </w:p>
        </w:tc>
        <w:tc>
          <w:tcPr>
            <w:tcW w:w="135" w:type="dxa"/>
            <w:tcBorders/>
            <w:shd w:fill="CCEEFF" w:val="clear"/>
            <w:tcMar>
              <w:bottom w:w="0" w:type="dxa"/>
            </w:tcMar>
            <w:vAlign w:val="center"/>
          </w:tcPr>
          <w:p>
            <w:pPr>
              <w:pStyle w:val="TableContents"/>
              <w:bidi w:val="0"/>
              <w:spacing w:before="0" w:after="283"/>
              <w:ind w:left="0" w:right="0" w:hanging="180"/>
              <w:jc w:val="left"/>
              <w:rPr>
                <w:b/>
              </w:rPr>
            </w:pPr>
            <w:r>
              <w:rPr>
                <w:b/>
              </w:rPr>
              <w:t>)</w:t>
            </w:r>
          </w:p>
        </w:tc>
      </w:tr>
      <w:tr>
        <w:trPr/>
        <w:tc>
          <w:tcPr>
            <w:tcW w:w="1280" w:type="dxa"/>
            <w:tcBorders>
              <w:bottom w:val="single" w:sz="8" w:space="0" w:color="000000"/>
            </w:tcBorders>
            <w:tcMar>
              <w:bottom w:w="30" w:type="dxa"/>
            </w:tcMar>
            <w:vAlign w:val="center"/>
          </w:tcPr>
          <w:p>
            <w:pPr>
              <w:pStyle w:val="TableContents"/>
              <w:bidi w:val="0"/>
              <w:spacing w:before="0" w:after="283"/>
              <w:jc w:val="left"/>
              <w:rPr>
                <w:b/>
              </w:rPr>
            </w:pPr>
            <w:r>
              <w:rPr>
                <w:b/>
              </w:rPr>
              <w:t>Impairment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85"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right"/>
              <w:rPr>
                <w:b/>
              </w:rPr>
            </w:pPr>
            <w:r>
              <w:rPr>
                <w:b/>
              </w:rPr>
              <w:t>(3,120</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9" w:type="dxa"/>
            <w:tcBorders>
              <w:bottom w:val="single" w:sz="8" w:space="0" w:color="000000"/>
            </w:tcBorders>
            <w:vAlign w:val="center"/>
          </w:tcPr>
          <w:p>
            <w:pPr>
              <w:pStyle w:val="TableContents"/>
              <w:bidi w:val="0"/>
              <w:spacing w:before="0" w:after="283"/>
              <w:jc w:val="left"/>
              <w:rPr/>
            </w:pPr>
            <w:r>
              <w:rPr/>
              <w:t> </w:t>
            </w:r>
          </w:p>
        </w:tc>
        <w:tc>
          <w:tcPr>
            <w:tcW w:w="511"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right"/>
              <w:rPr>
                <w:b/>
              </w:rPr>
            </w:pPr>
            <w:r>
              <w:rPr>
                <w:b/>
              </w:rPr>
              <w:t>(473</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b/>
              </w:rPr>
            </w:pPr>
            <w:r>
              <w:rPr>
                <w:b/>
              </w:rPr>
              <w:t>(208</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b/>
              </w:rPr>
            </w:pPr>
            <w:r>
              <w:rPr>
                <w:b/>
              </w:rPr>
              <w:t>(300</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85" w:type="dxa"/>
            <w:tcBorders>
              <w:bottom w:val="single" w:sz="8" w:space="0" w:color="000000"/>
            </w:tcBorders>
            <w:vAlign w:val="center"/>
          </w:tcPr>
          <w:p>
            <w:pPr>
              <w:pStyle w:val="TableContents"/>
              <w:bidi w:val="0"/>
              <w:spacing w:before="0" w:after="283"/>
              <w:jc w:val="right"/>
              <w:rPr>
                <w:b/>
              </w:rPr>
            </w:pPr>
            <w:r>
              <w:rPr>
                <w:b/>
              </w:rPr>
              <w:t>(473</w:t>
            </w:r>
          </w:p>
        </w:tc>
        <w:tc>
          <w:tcPr>
            <w:tcW w:w="125" w:type="dxa"/>
            <w:tcBorders>
              <w:bottom w:val="single" w:sz="8" w:space="0" w:color="000000"/>
            </w:tcBorders>
            <w:tcMar>
              <w:bottom w:w="30" w:type="dxa"/>
            </w:tcMar>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b/>
              </w:rPr>
            </w:pPr>
            <w:r>
              <w:rPr>
                <w:b/>
              </w:rPr>
              <w:t>(3,628</w:t>
            </w:r>
          </w:p>
        </w:tc>
        <w:tc>
          <w:tcPr>
            <w:tcW w:w="135" w:type="dxa"/>
            <w:tcBorders>
              <w:bottom w:val="single" w:sz="8" w:space="0" w:color="000000"/>
            </w:tcBorders>
            <w:tcMar>
              <w:bottom w:w="30" w:type="dxa"/>
            </w:tcMar>
            <w:vAlign w:val="center"/>
          </w:tcPr>
          <w:p>
            <w:pPr>
              <w:pStyle w:val="TableContents"/>
              <w:bidi w:val="0"/>
              <w:spacing w:before="0" w:after="283"/>
              <w:ind w:left="0" w:right="0" w:hanging="180"/>
              <w:jc w:val="left"/>
              <w:rPr>
                <w:b/>
              </w:rPr>
            </w:pPr>
            <w:r>
              <w:rPr>
                <w:b/>
              </w:rPr>
              <w:t>)</w:t>
            </w:r>
          </w:p>
        </w:tc>
      </w:tr>
      <w:tr>
        <w:trPr/>
        <w:tc>
          <w:tcPr>
            <w:tcW w:w="1280"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Balance as of December 31, 2024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24,927</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283"/>
              <w:jc w:val="right"/>
              <w:rPr>
                <w:b/>
              </w:rPr>
            </w:pPr>
            <w:r>
              <w:rPr>
                <w:b/>
              </w:rPr>
              <w:t>2,752</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vAlign w:val="center"/>
          </w:tcPr>
          <w:p>
            <w:pPr>
              <w:pStyle w:val="TableContents"/>
              <w:bidi w:val="0"/>
              <w:spacing w:before="0" w:after="283"/>
              <w:jc w:val="left"/>
              <w:rPr/>
            </w:pPr>
            <w:r>
              <w:rPr/>
              <w:t> </w:t>
            </w:r>
          </w:p>
        </w:tc>
        <w:tc>
          <w:tcPr>
            <w:tcW w:w="511"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665"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b/>
              </w:rPr>
            </w:pPr>
            <w:r>
              <w:rPr>
                <w:b/>
              </w:rPr>
              <w:t>7,996</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90" w:type="dxa"/>
            <w:tcBorders>
              <w:bottom w:val="single" w:sz="12" w:space="0" w:color="000000"/>
            </w:tcBorders>
            <w:shd w:fill="CCEEFF" w:val="clear"/>
            <w:vAlign w:val="center"/>
          </w:tcPr>
          <w:p>
            <w:pPr>
              <w:pStyle w:val="TableContents"/>
              <w:bidi w:val="0"/>
              <w:spacing w:before="0" w:after="283"/>
              <w:jc w:val="right"/>
              <w:rPr>
                <w:b/>
              </w:rPr>
            </w:pPr>
            <w:r>
              <w:rPr>
                <w:b/>
              </w:rPr>
              <w:t>2,054</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32,923</w:t>
            </w:r>
          </w:p>
        </w:tc>
        <w:tc>
          <w:tcPr>
            <w:tcW w:w="12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4,806</w:t>
            </w:r>
          </w:p>
        </w:tc>
        <w:tc>
          <w:tcPr>
            <w:tcW w:w="13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798"/>
        <w:gridCol w:w="9155"/>
      </w:tblGrid>
      <w:tr>
        <w:trPr/>
        <w:tc>
          <w:tcPr>
            <w:tcW w:w="25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pPr>
            <w:r>
              <w:rPr/>
              <w:t>a.</w:t>
            </w:r>
          </w:p>
        </w:tc>
        <w:tc>
          <w:tcPr>
            <w:tcW w:w="9155" w:type="dxa"/>
            <w:tcBorders/>
            <w:vAlign w:val="center"/>
          </w:tcPr>
          <w:p>
            <w:pPr>
              <w:pStyle w:val="TableContents"/>
              <w:bidi w:val="0"/>
              <w:spacing w:before="0" w:after="283"/>
              <w:jc w:val="both"/>
              <w:rPr>
                <w:i/>
              </w:rPr>
            </w:pPr>
            <w:r>
              <w:rPr>
                <w:i/>
              </w:rPr>
              <w:t>S19j Pro Bitmain Miners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and third quarter of 2024, the Company ceased using 2,609 and 5,786 Bitmain S19j Pro Miners, respectively, and plans to dispose of them within the next 12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699 Bitmain S19j Pro Miners with a carrying amount of $260 and disposed of them for net proceeds of $205 resulting in a loss of $55.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reassessed the fair value less costs to sell of the Bitmain S19j Pro Miners and recognized an impairment loss of $300.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2023, the Company ceased using 300 Bitmain S19j Pro Miners and planned to dispose of them within the next 12 months.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39 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68"/>
        <w:gridCol w:w="1115"/>
        <w:gridCol w:w="423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10:</w:t>
            </w:r>
          </w:p>
        </w:tc>
        <w:tc>
          <w:tcPr>
            <w:tcW w:w="4235" w:type="dxa"/>
            <w:tcBorders/>
            <w:vAlign w:val="center"/>
          </w:tcPr>
          <w:p>
            <w:pPr>
              <w:pStyle w:val="TableContents"/>
              <w:bidi w:val="0"/>
              <w:spacing w:before="0" w:after="283"/>
              <w:jc w:val="both"/>
              <w:rPr/>
            </w:pPr>
            <w:r>
              <w:rPr>
                <w:b/>
              </w:rPr>
              <w:t xml:space="preserve">ASSETS HELD FOR SALE </w:t>
            </w:r>
            <w:r>
              <w:rPr/>
              <w:t>(Continued)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9"/>
        <w:gridCol w:w="498"/>
        <w:gridCol w:w="9508"/>
      </w:tblGrid>
      <w:tr>
        <w:trPr/>
        <w:tc>
          <w:tcPr>
            <w:tcW w:w="19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b/>
                <w:i/>
              </w:rPr>
            </w:pPr>
            <w:r>
              <w:rPr>
                <w:b/>
                <w:i/>
              </w:rPr>
              <w:t>i.</w:t>
            </w:r>
          </w:p>
        </w:tc>
        <w:tc>
          <w:tcPr>
            <w:tcW w:w="9508" w:type="dxa"/>
            <w:tcBorders/>
            <w:vAlign w:val="center"/>
          </w:tcPr>
          <w:p>
            <w:pPr>
              <w:pStyle w:val="TableContents"/>
              <w:bidi w:val="0"/>
              <w:spacing w:before="0" w:after="283"/>
              <w:jc w:val="both"/>
              <w:rPr/>
            </w:pPr>
            <w:r>
              <w:rPr>
                <w:b/>
                <w:i/>
              </w:rPr>
              <w:t xml:space="preserve">Miners held for sale </w:t>
            </w:r>
            <w:r>
              <w:rPr/>
              <w:t>(Continued)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456"/>
        <w:gridCol w:w="9615"/>
      </w:tblGrid>
      <w:tr>
        <w:trPr/>
        <w:tc>
          <w:tcPr>
            <w:tcW w:w="13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pPr>
            <w:r>
              <w:rPr/>
              <w:t>b.</w:t>
            </w:r>
          </w:p>
        </w:tc>
        <w:tc>
          <w:tcPr>
            <w:tcW w:w="9615" w:type="dxa"/>
            <w:tcBorders/>
            <w:vAlign w:val="center"/>
          </w:tcPr>
          <w:p>
            <w:pPr>
              <w:pStyle w:val="TableContents"/>
              <w:bidi w:val="0"/>
              <w:spacing w:before="0" w:after="283"/>
              <w:jc w:val="both"/>
              <w:rPr>
                <w:i/>
              </w:rPr>
            </w:pPr>
            <w:r>
              <w:rPr>
                <w:i/>
              </w:rPr>
              <w:t>MicroBT WhatsMiner M30, M31 and M50 Miners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the company ceased using 2,775 MicroBT WhatsMiner M30 Miners and 4,921 MicroBT WhatsMiner M31 Miners and plans to dispose of them within the next 12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2024, the Company ceased using 22,956 MicroBT WhatsMiner M30 Miners, 7,118 MicroBT WhatsMiner M31 Miners and 532 MicroBT WhatsMiner M50 Miners and plans to dispose of them within the next 12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2024, the company ceased using 277 MicroBT WhatsMiner M30 Miners and plans to dispose of them within the next 12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2024, the company ceased using 1,447 MicroBT WhatsMiner M30 Miners and plans to dispose of them within the next 12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an aggregate 15,099 MicroBT WhatsMiner M30 and M31 Miners with a carrying amount of $2,299 and disposed of them for net proceeds of $2,308 resulting in gain of $9.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reassessed the fair value less costs to sell of the MicroBT WhatsMiner M30, M31 and M50 Miners and recognized an impairment loss of $3,120.</w:t>
      </w:r>
    </w:p>
    <w:p>
      <w:pPr>
        <w:pStyle w:val="TextBody"/>
        <w:bidi w:val="0"/>
        <w:spacing w:before="0" w:after="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68"/>
        <w:gridCol w:w="215"/>
        <w:gridCol w:w="3500"/>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3500" w:type="dxa"/>
            <w:tcBorders/>
            <w:vAlign w:val="center"/>
          </w:tcPr>
          <w:p>
            <w:pPr>
              <w:pStyle w:val="TableContents"/>
              <w:bidi w:val="0"/>
              <w:spacing w:before="0" w:after="283"/>
              <w:jc w:val="both"/>
              <w:rPr>
                <w:i/>
              </w:rPr>
            </w:pPr>
            <w:r>
              <w:rPr>
                <w:i/>
              </w:rPr>
              <w:t>MicroBT WhatsMiner M20S Miners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258 MicroBT WhatsMiner M20S Miners with a carrying amount of $108 and disposed of them for net proceeds of $34 resulting in a loss of $74.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reassessed the fair value less costs to sell of the remaining MicroBT WhatsMiner M20S Miners and recognized an impairment loss of $208 to fully write off these Miners.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sold 1,781 MicroBT WhatsMiner M20S Miners with carrying amount of $714 and disposed of them for net proceeds of $407 resulting in a loss of $307. Management determined that the remaining MicroBT WhatsMiner M20S Miners continue to meet the criteria to be classified as held for sale as of December 31, 2023</w:t>
      </w:r>
    </w:p>
    <w:p>
      <w:pPr>
        <w:pStyle w:val="TextBody"/>
        <w:bidi w:val="0"/>
        <w:spacing w:before="0" w:after="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68"/>
        <w:gridCol w:w="230"/>
        <w:gridCol w:w="909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9095" w:type="dxa"/>
            <w:tcBorders/>
            <w:vAlign w:val="center"/>
          </w:tcPr>
          <w:p>
            <w:pPr>
              <w:pStyle w:val="TableContents"/>
              <w:bidi w:val="0"/>
              <w:spacing w:before="0" w:after="283"/>
              <w:jc w:val="both"/>
              <w:rPr>
                <w:i/>
              </w:rPr>
            </w:pPr>
            <w:r>
              <w:rPr>
                <w:i/>
              </w:rPr>
              <w:t>Innosilicon T2T, Innosilicon T3, Canaan Avalon A10, Antminer T15 and Antminer S15 Miners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2023, the Company ceased using its Innosilicon T3 Miners with plans to dispose of them within the next 12 months. Due to the performance of these Miners, they were fully written off along with the remaining Innosilicon T2T Miners and an impairment loss of $388 was recognized.</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40 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 w:name="a_019"/>
      <w:bookmarkStart w:id="45" w:name="a_019"/>
      <w:bookmarkEnd w:id="45"/>
    </w:p>
    <w:tbl>
      <w:tblPr>
        <w:tblW w:w="2928" w:type="dxa"/>
        <w:jc w:val="left"/>
        <w:tblInd w:w="0" w:type="dxa"/>
        <w:tblLayout w:type="fixed"/>
        <w:tblCellMar>
          <w:top w:w="0" w:type="dxa"/>
          <w:left w:w="0" w:type="dxa"/>
          <w:bottom w:w="0" w:type="dxa"/>
          <w:right w:w="0" w:type="dxa"/>
        </w:tblCellMar>
      </w:tblPr>
      <w:tblGrid>
        <w:gridCol w:w="68"/>
        <w:gridCol w:w="1115"/>
        <w:gridCol w:w="174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11:</w:t>
            </w:r>
          </w:p>
        </w:tc>
        <w:tc>
          <w:tcPr>
            <w:tcW w:w="1745" w:type="dxa"/>
            <w:tcBorders/>
            <w:vAlign w:val="center"/>
          </w:tcPr>
          <w:p>
            <w:pPr>
              <w:pStyle w:val="TableContents"/>
              <w:bidi w:val="0"/>
              <w:spacing w:before="0" w:after="283"/>
              <w:jc w:val="both"/>
              <w:rPr>
                <w:b/>
              </w:rPr>
            </w:pPr>
            <w:r>
              <w:rPr>
                <w:b/>
              </w:rPr>
              <w:t>IMPAIRMENT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impairment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recorded $3,628 of impairment on Miners held for sale as a result of the reassessment of the fair value less costs to sell. Refer to Note 10 for more details.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impairment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impairment recorded for the year ended December 31, 2023:</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72"/>
        <w:gridCol w:w="90"/>
        <w:gridCol w:w="260"/>
        <w:gridCol w:w="1716"/>
        <w:gridCol w:w="90"/>
        <w:gridCol w:w="90"/>
        <w:gridCol w:w="338"/>
        <w:gridCol w:w="1550"/>
        <w:gridCol w:w="90"/>
        <w:gridCol w:w="90"/>
        <w:gridCol w:w="263"/>
        <w:gridCol w:w="1738"/>
        <w:gridCol w:w="90"/>
        <w:gridCol w:w="90"/>
        <w:gridCol w:w="90"/>
        <w:gridCol w:w="710"/>
        <w:gridCol w:w="138"/>
      </w:tblGrid>
      <w:tr>
        <w:trPr/>
        <w:tc>
          <w:tcPr>
            <w:tcW w:w="10205" w:type="dxa"/>
            <w:gridSpan w:val="17"/>
            <w:tcBorders>
              <w:bottom w:val="single" w:sz="8" w:space="0" w:color="000000"/>
            </w:tcBorders>
            <w:vAlign w:val="center"/>
          </w:tcPr>
          <w:p>
            <w:pPr>
              <w:pStyle w:val="TableContents"/>
              <w:bidi w:val="0"/>
              <w:spacing w:before="0" w:after="283"/>
              <w:jc w:val="right"/>
              <w:rPr>
                <w:b/>
              </w:rPr>
            </w:pPr>
            <w:r>
              <w:rPr>
                <w:b/>
              </w:rPr>
              <w:t>Year ended December 31,</w:t>
            </w:r>
          </w:p>
        </w:tc>
      </w:tr>
      <w:tr>
        <w:trPr/>
        <w:tc>
          <w:tcPr>
            <w:tcW w:w="2772"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76"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88"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01"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right"/>
              <w:rPr>
                <w:b/>
              </w:rPr>
            </w:pPr>
            <w:r>
              <w:rPr>
                <w:b/>
              </w:rPr>
              <w:t>2023</w:t>
            </w:r>
          </w:p>
        </w:tc>
        <w:tc>
          <w:tcPr>
            <w:tcW w:w="138"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772"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76" w:type="dxa"/>
            <w:gridSpan w:val="2"/>
            <w:tcBorders>
              <w:bottom w:val="single" w:sz="8" w:space="0" w:color="000000"/>
            </w:tcBorders>
            <w:vAlign w:val="center"/>
          </w:tcPr>
          <w:p>
            <w:pPr>
              <w:pStyle w:val="TableContents"/>
              <w:bidi w:val="0"/>
              <w:spacing w:before="0" w:after="283"/>
              <w:jc w:val="right"/>
              <w:rPr>
                <w:b/>
              </w:rPr>
            </w:pPr>
            <w:r>
              <w:rPr>
                <w:b/>
              </w:rPr>
              <w:t>Short-term prepaid</w:t>
              <w:br/>
              <w:t>deposits</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88" w:type="dxa"/>
            <w:gridSpan w:val="2"/>
            <w:tcBorders>
              <w:bottom w:val="single" w:sz="8" w:space="0" w:color="000000"/>
            </w:tcBorders>
            <w:vAlign w:val="center"/>
          </w:tcPr>
          <w:p>
            <w:pPr>
              <w:pStyle w:val="TableContents"/>
              <w:bidi w:val="0"/>
              <w:spacing w:before="0" w:after="283"/>
              <w:jc w:val="right"/>
              <w:rPr>
                <w:b/>
              </w:rPr>
            </w:pPr>
            <w:r>
              <w:rPr>
                <w:b/>
              </w:rPr>
              <w:t>Assets held for sale</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01" w:type="dxa"/>
            <w:gridSpan w:val="2"/>
            <w:tcBorders>
              <w:bottom w:val="single" w:sz="8" w:space="0" w:color="000000"/>
            </w:tcBorders>
            <w:vAlign w:val="center"/>
          </w:tcPr>
          <w:p>
            <w:pPr>
              <w:pStyle w:val="TableContents"/>
              <w:bidi w:val="0"/>
              <w:spacing w:before="0" w:after="283"/>
              <w:jc w:val="right"/>
              <w:rPr>
                <w:b/>
              </w:rPr>
            </w:pPr>
            <w:r>
              <w:rPr>
                <w:b/>
              </w:rPr>
              <w:t>Property, plant and</w:t>
              <w:br/>
              <w:t>equipment</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right"/>
              <w:rPr>
                <w:b/>
              </w:rPr>
            </w:pPr>
            <w:r>
              <w:rPr>
                <w:b/>
              </w:rPr>
              <w:t>Total</w:t>
            </w:r>
          </w:p>
        </w:tc>
        <w:tc>
          <w:tcPr>
            <w:tcW w:w="138"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Immersion cooling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right"/>
              <w:rPr>
                <w:b/>
              </w:rPr>
            </w:pPr>
            <w:r>
              <w:rPr>
                <w:b/>
              </w:rPr>
              <w:t>1,882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1,882</w:t>
            </w:r>
          </w:p>
        </w:tc>
        <w:tc>
          <w:tcPr>
            <w:tcW w:w="138" w:type="dxa"/>
            <w:tcBorders/>
            <w:shd w:fill="CCEEFF" w:val="clear"/>
            <w:tcMar>
              <w:bottom w:w="0" w:type="dxa"/>
            </w:tcMar>
            <w:vAlign w:val="center"/>
          </w:tcPr>
          <w:p>
            <w:pPr>
              <w:pStyle w:val="TableContents"/>
              <w:bidi w:val="0"/>
              <w:spacing w:before="0" w:after="283"/>
              <w:ind w:left="0" w:right="0" w:hanging="6"/>
              <w:jc w:val="left"/>
              <w:rPr/>
            </w:pPr>
            <w:r>
              <w:rPr/>
              <w:t> </w:t>
            </w:r>
          </w:p>
        </w:tc>
      </w:tr>
      <w:tr>
        <w:trPr/>
        <w:tc>
          <w:tcPr>
            <w:tcW w:w="2772" w:type="dxa"/>
            <w:tcBorders/>
            <w:tcMar>
              <w:bottom w:w="0" w:type="dxa"/>
            </w:tcMar>
            <w:vAlign w:val="center"/>
          </w:tcPr>
          <w:p>
            <w:pPr>
              <w:pStyle w:val="TableContents"/>
              <w:bidi w:val="0"/>
              <w:spacing w:before="0" w:after="283"/>
              <w:jc w:val="left"/>
              <w:rPr/>
            </w:pPr>
            <w:r>
              <w:rPr/>
              <w:t>Short-term deposits</w:t>
            </w:r>
          </w:p>
        </w:tc>
        <w:tc>
          <w:tcPr>
            <w:tcW w:w="90" w:type="dxa"/>
            <w:tcBorders/>
            <w:tcMar>
              <w:bottom w:w="0" w:type="dxa"/>
            </w:tcMar>
            <w:vAlign w:val="center"/>
          </w:tcPr>
          <w:p>
            <w:pPr>
              <w:pStyle w:val="TableContents"/>
              <w:bidi w:val="0"/>
              <w:spacing w:before="0" w:after="283"/>
              <w:jc w:val="left"/>
              <w:rPr/>
            </w:pPr>
            <w:r>
              <w:rPr/>
              <w:t> </w:t>
            </w:r>
          </w:p>
        </w:tc>
        <w:tc>
          <w:tcPr>
            <w:tcW w:w="260" w:type="dxa"/>
            <w:tcBorders/>
            <w:tcMar>
              <w:bottom w:w="0" w:type="dxa"/>
            </w:tcMar>
            <w:vAlign w:val="center"/>
          </w:tcPr>
          <w:p>
            <w:pPr>
              <w:pStyle w:val="TableContents"/>
              <w:bidi w:val="0"/>
              <w:spacing w:before="0" w:after="283"/>
              <w:jc w:val="left"/>
              <w:rPr/>
            </w:pPr>
            <w:r>
              <w:rPr/>
              <w:t> </w:t>
            </w:r>
          </w:p>
        </w:tc>
        <w:tc>
          <w:tcPr>
            <w:tcW w:w="1716" w:type="dxa"/>
            <w:tcBorders/>
            <w:tcMar>
              <w:bottom w:w="0" w:type="dxa"/>
            </w:tcMar>
            <w:vAlign w:val="center"/>
          </w:tcPr>
          <w:p>
            <w:pPr>
              <w:pStyle w:val="TableContents"/>
              <w:bidi w:val="0"/>
              <w:spacing w:before="0" w:after="283"/>
              <w:jc w:val="right"/>
              <w:rPr>
                <w:b/>
              </w:rPr>
            </w:pPr>
            <w:r>
              <w:rPr>
                <w:b/>
              </w:rPr>
              <w:t>6,982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8"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3" w:type="dxa"/>
            <w:tcBorders/>
            <w:tcMar>
              <w:bottom w:w="0" w:type="dxa"/>
            </w:tcMar>
            <w:vAlign w:val="center"/>
          </w:tcPr>
          <w:p>
            <w:pPr>
              <w:pStyle w:val="TableContents"/>
              <w:bidi w:val="0"/>
              <w:spacing w:before="0" w:after="283"/>
              <w:jc w:val="left"/>
              <w:rPr/>
            </w:pPr>
            <w:r>
              <w:rPr/>
              <w:t> </w:t>
            </w:r>
          </w:p>
        </w:tc>
        <w:tc>
          <w:tcPr>
            <w:tcW w:w="1738"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b/>
              </w:rPr>
            </w:pPr>
            <w:r>
              <w:rPr>
                <w:b/>
              </w:rPr>
              <w:t>6,982</w:t>
            </w:r>
          </w:p>
        </w:tc>
        <w:tc>
          <w:tcPr>
            <w:tcW w:w="138" w:type="dxa"/>
            <w:tcBorders/>
            <w:tcMar>
              <w:bottom w:w="0" w:type="dxa"/>
            </w:tcMar>
            <w:vAlign w:val="center"/>
          </w:tcPr>
          <w:p>
            <w:pPr>
              <w:pStyle w:val="TableContents"/>
              <w:bidi w:val="0"/>
              <w:spacing w:before="0" w:after="283"/>
              <w:ind w:left="0" w:right="0" w:hanging="6"/>
              <w:jc w:val="left"/>
              <w:rPr/>
            </w:pPr>
            <w:r>
              <w:rPr/>
              <w:t> </w:t>
            </w:r>
          </w:p>
        </w:tc>
      </w:tr>
      <w:tr>
        <w:trPr/>
        <w:tc>
          <w:tcPr>
            <w:tcW w:w="2772" w:type="dxa"/>
            <w:tcBorders/>
            <w:shd w:fill="CCEEFF" w:val="clear"/>
            <w:tcMar>
              <w:bottom w:w="0" w:type="dxa"/>
            </w:tcMar>
            <w:vAlign w:val="center"/>
          </w:tcPr>
          <w:p>
            <w:pPr>
              <w:pStyle w:val="TableContents"/>
              <w:bidi w:val="0"/>
              <w:spacing w:before="0" w:after="283"/>
              <w:jc w:val="left"/>
              <w:rPr/>
            </w:pPr>
            <w:r>
              <w:rPr/>
              <w:t>Miners held for sale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1716"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right"/>
              <w:rPr>
                <w:b/>
              </w:rPr>
            </w:pPr>
            <w:r>
              <w:rPr>
                <w:b/>
              </w:rPr>
              <w:t>388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388</w:t>
            </w:r>
          </w:p>
        </w:tc>
        <w:tc>
          <w:tcPr>
            <w:tcW w:w="138" w:type="dxa"/>
            <w:tcBorders/>
            <w:shd w:fill="CCEEFF" w:val="clear"/>
            <w:tcMar>
              <w:bottom w:w="0" w:type="dxa"/>
            </w:tcMar>
            <w:vAlign w:val="center"/>
          </w:tcPr>
          <w:p>
            <w:pPr>
              <w:pStyle w:val="TableContents"/>
              <w:bidi w:val="0"/>
              <w:spacing w:before="0" w:after="283"/>
              <w:ind w:left="0" w:right="0" w:hanging="6"/>
              <w:jc w:val="left"/>
              <w:rPr/>
            </w:pPr>
            <w:r>
              <w:rPr/>
              <w:t> </w:t>
            </w:r>
          </w:p>
        </w:tc>
      </w:tr>
      <w:tr>
        <w:trPr/>
        <w:tc>
          <w:tcPr>
            <w:tcW w:w="2772" w:type="dxa"/>
            <w:tcBorders>
              <w:bottom w:val="single" w:sz="8" w:space="0" w:color="000000"/>
            </w:tcBorders>
            <w:tcMar>
              <w:bottom w:w="30" w:type="dxa"/>
            </w:tcMar>
            <w:vAlign w:val="center"/>
          </w:tcPr>
          <w:p>
            <w:pPr>
              <w:pStyle w:val="TableContents"/>
              <w:bidi w:val="0"/>
              <w:spacing w:before="0" w:after="283"/>
              <w:jc w:val="left"/>
              <w:rPr/>
            </w:pPr>
            <w:r>
              <w:rPr/>
              <w:t>Suni mineral asset</w:t>
            </w:r>
          </w:p>
        </w:tc>
        <w:tc>
          <w:tcPr>
            <w:tcW w:w="90" w:type="dxa"/>
            <w:tcBorders>
              <w:bottom w:val="single" w:sz="8" w:space="0" w:color="000000"/>
            </w:tcBorders>
            <w:vAlign w:val="center"/>
          </w:tcPr>
          <w:p>
            <w:pPr>
              <w:pStyle w:val="TableContents"/>
              <w:bidi w:val="0"/>
              <w:spacing w:before="0" w:after="283"/>
              <w:jc w:val="left"/>
              <w:rPr/>
            </w:pPr>
            <w:r>
              <w:rPr/>
              <w:t> </w:t>
            </w:r>
          </w:p>
        </w:tc>
        <w:tc>
          <w:tcPr>
            <w:tcW w:w="260" w:type="dxa"/>
            <w:tcBorders>
              <w:bottom w:val="single" w:sz="8" w:space="0" w:color="000000"/>
            </w:tcBorders>
            <w:vAlign w:val="center"/>
          </w:tcPr>
          <w:p>
            <w:pPr>
              <w:pStyle w:val="TableContents"/>
              <w:bidi w:val="0"/>
              <w:spacing w:before="0" w:after="283"/>
              <w:jc w:val="left"/>
              <w:rPr/>
            </w:pPr>
            <w:r>
              <w:rPr/>
              <w:t> </w:t>
            </w:r>
          </w:p>
        </w:tc>
        <w:tc>
          <w:tcPr>
            <w:tcW w:w="1716"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38" w:type="dxa"/>
            <w:tcBorders>
              <w:bottom w:val="single" w:sz="8" w:space="0" w:color="000000"/>
            </w:tcBorders>
            <w:vAlign w:val="center"/>
          </w:tcPr>
          <w:p>
            <w:pPr>
              <w:pStyle w:val="TableContents"/>
              <w:bidi w:val="0"/>
              <w:spacing w:before="0" w:after="283"/>
              <w:jc w:val="left"/>
              <w:rPr/>
            </w:pPr>
            <w:r>
              <w:rPr/>
              <w:t> </w:t>
            </w:r>
          </w:p>
        </w:tc>
        <w:tc>
          <w:tcPr>
            <w:tcW w:w="1550"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3" w:type="dxa"/>
            <w:tcBorders>
              <w:bottom w:val="single" w:sz="8" w:space="0" w:color="000000"/>
            </w:tcBorders>
            <w:vAlign w:val="center"/>
          </w:tcPr>
          <w:p>
            <w:pPr>
              <w:pStyle w:val="TableContents"/>
              <w:bidi w:val="0"/>
              <w:spacing w:before="0" w:after="283"/>
              <w:jc w:val="left"/>
              <w:rPr/>
            </w:pPr>
            <w:r>
              <w:rPr/>
              <w:t> </w:t>
            </w:r>
          </w:p>
        </w:tc>
        <w:tc>
          <w:tcPr>
            <w:tcW w:w="1738" w:type="dxa"/>
            <w:tcBorders>
              <w:bottom w:val="single" w:sz="8" w:space="0" w:color="000000"/>
            </w:tcBorders>
            <w:vAlign w:val="center"/>
          </w:tcPr>
          <w:p>
            <w:pPr>
              <w:pStyle w:val="TableContents"/>
              <w:bidi w:val="0"/>
              <w:spacing w:before="0" w:after="283"/>
              <w:jc w:val="right"/>
              <w:rPr>
                <w:b/>
              </w:rPr>
            </w:pPr>
            <w:r>
              <w:rPr>
                <w:b/>
              </w:rPr>
              <w:t>3,000</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b/>
              </w:rPr>
            </w:pPr>
            <w:r>
              <w:rPr>
                <w:b/>
              </w:rPr>
              <w:t>3,000</w:t>
            </w:r>
          </w:p>
        </w:tc>
        <w:tc>
          <w:tcPr>
            <w:tcW w:w="138"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2772"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vAlign w:val="center"/>
          </w:tcPr>
          <w:p>
            <w:pPr>
              <w:pStyle w:val="TableContents"/>
              <w:bidi w:val="0"/>
              <w:spacing w:before="0" w:after="283"/>
              <w:jc w:val="left"/>
              <w:rPr/>
            </w:pPr>
            <w:r>
              <w:rPr/>
              <w:t> </w:t>
            </w:r>
          </w:p>
        </w:tc>
        <w:tc>
          <w:tcPr>
            <w:tcW w:w="1716" w:type="dxa"/>
            <w:tcBorders>
              <w:bottom w:val="single" w:sz="12" w:space="0" w:color="000000"/>
            </w:tcBorders>
            <w:shd w:fill="CCEEFF" w:val="clear"/>
            <w:vAlign w:val="center"/>
          </w:tcPr>
          <w:p>
            <w:pPr>
              <w:pStyle w:val="TableContents"/>
              <w:bidi w:val="0"/>
              <w:spacing w:before="0" w:after="283"/>
              <w:jc w:val="right"/>
              <w:rPr>
                <w:b/>
              </w:rPr>
            </w:pPr>
            <w:r>
              <w:rPr>
                <w:b/>
              </w:rPr>
              <w:t>6,982</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338" w:type="dxa"/>
            <w:tcBorders>
              <w:bottom w:val="single" w:sz="12" w:space="0" w:color="000000"/>
            </w:tcBorders>
            <w:shd w:fill="CCEEFF" w:val="clear"/>
            <w:vAlign w:val="center"/>
          </w:tcPr>
          <w:p>
            <w:pPr>
              <w:pStyle w:val="TableContents"/>
              <w:bidi w:val="0"/>
              <w:spacing w:before="0" w:after="283"/>
              <w:jc w:val="left"/>
              <w:rPr/>
            </w:pPr>
            <w:r>
              <w:rPr/>
              <w:t> </w:t>
            </w:r>
          </w:p>
        </w:tc>
        <w:tc>
          <w:tcPr>
            <w:tcW w:w="1550" w:type="dxa"/>
            <w:tcBorders>
              <w:bottom w:val="single" w:sz="12" w:space="0" w:color="000000"/>
            </w:tcBorders>
            <w:shd w:fill="CCEEFF" w:val="clear"/>
            <w:vAlign w:val="center"/>
          </w:tcPr>
          <w:p>
            <w:pPr>
              <w:pStyle w:val="TableContents"/>
              <w:bidi w:val="0"/>
              <w:spacing w:before="0" w:after="283"/>
              <w:jc w:val="right"/>
              <w:rPr>
                <w:b/>
              </w:rPr>
            </w:pPr>
            <w:r>
              <w:rPr>
                <w:b/>
              </w:rPr>
              <w:t>388</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vAlign w:val="center"/>
          </w:tcPr>
          <w:p>
            <w:pPr>
              <w:pStyle w:val="TableContents"/>
              <w:bidi w:val="0"/>
              <w:spacing w:before="0" w:after="283"/>
              <w:jc w:val="left"/>
              <w:rPr/>
            </w:pPr>
            <w:r>
              <w:rPr/>
              <w:t> </w:t>
            </w:r>
          </w:p>
        </w:tc>
        <w:tc>
          <w:tcPr>
            <w:tcW w:w="1738" w:type="dxa"/>
            <w:tcBorders>
              <w:bottom w:val="single" w:sz="12" w:space="0" w:color="000000"/>
            </w:tcBorders>
            <w:shd w:fill="CCEEFF" w:val="clear"/>
            <w:vAlign w:val="center"/>
          </w:tcPr>
          <w:p>
            <w:pPr>
              <w:pStyle w:val="TableContents"/>
              <w:bidi w:val="0"/>
              <w:spacing w:before="0" w:after="283"/>
              <w:jc w:val="right"/>
              <w:rPr>
                <w:b/>
              </w:rPr>
            </w:pPr>
            <w:r>
              <w:rPr>
                <w:b/>
              </w:rPr>
              <w:t>4,882</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10" w:type="dxa"/>
            <w:tcBorders>
              <w:bottom w:val="single" w:sz="12" w:space="0" w:color="000000"/>
            </w:tcBorders>
            <w:shd w:fill="CCEEFF" w:val="clear"/>
            <w:vAlign w:val="center"/>
          </w:tcPr>
          <w:p>
            <w:pPr>
              <w:pStyle w:val="TableContents"/>
              <w:bidi w:val="0"/>
              <w:spacing w:before="0" w:after="283"/>
              <w:jc w:val="right"/>
              <w:rPr>
                <w:b/>
              </w:rPr>
            </w:pPr>
            <w:r>
              <w:rPr>
                <w:b/>
              </w:rPr>
              <w:t>12,252</w:t>
            </w:r>
          </w:p>
        </w:tc>
        <w:tc>
          <w:tcPr>
            <w:tcW w:w="138"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on short-term prepaid deposits during the second quarter of 2023</w:t>
      </w:r>
    </w:p>
    <w:tbl>
      <w:tblPr>
        <w:tblW w:w="5000" w:type="pct"/>
        <w:jc w:val="left"/>
        <w:tblInd w:w="0" w:type="dxa"/>
        <w:tblLayout w:type="fixed"/>
        <w:tblCellMar>
          <w:top w:w="0" w:type="dxa"/>
          <w:left w:w="0" w:type="dxa"/>
          <w:bottom w:w="0" w:type="dxa"/>
          <w:right w:w="0" w:type="dxa"/>
        </w:tblCellMar>
      </w:tblPr>
      <w:tblGrid>
        <w:gridCol w:w="461"/>
        <w:gridCol w:w="1154"/>
        <w:gridCol w:w="8590"/>
      </w:tblGrid>
      <w:tr>
        <w:trPr/>
        <w:tc>
          <w:tcPr>
            <w:tcW w:w="46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i/>
              </w:rPr>
            </w:pPr>
            <w:r>
              <w:rPr>
                <w:i/>
              </w:rPr>
              <w:t>i.</w:t>
            </w:r>
          </w:p>
        </w:tc>
        <w:tc>
          <w:tcPr>
            <w:tcW w:w="8590" w:type="dxa"/>
            <w:tcBorders/>
            <w:vAlign w:val="center"/>
          </w:tcPr>
          <w:p>
            <w:pPr>
              <w:pStyle w:val="TableContents"/>
              <w:bidi w:val="0"/>
              <w:spacing w:before="0" w:after="283"/>
              <w:jc w:val="both"/>
              <w:rPr>
                <w:i/>
              </w:rPr>
            </w:pPr>
            <w:r>
              <w:rPr>
                <w:i/>
              </w:rPr>
              <w:t>Background</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Company entered into agreements with external import brokers to be able to proceed with the importation of its miners into Argentina. Under the agreements, the Company was required to make advance deposits to the external import brokers, which were classified as short-term prepaid deposits on the consolidated statements of financial position. During the second quarter of 2023, the Company decided to terminate the importation agreements with the external import brokers as of June 30, 2023.</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0"/>
        <w:gridCol w:w="1221"/>
        <w:gridCol w:w="8624"/>
      </w:tblGrid>
      <w:tr>
        <w:trPr/>
        <w:tc>
          <w:tcPr>
            <w:tcW w:w="36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i/>
              </w:rPr>
            </w:pPr>
            <w:r>
              <w:rPr>
                <w:i/>
              </w:rPr>
              <w:t>ii.</w:t>
            </w:r>
          </w:p>
        </w:tc>
        <w:tc>
          <w:tcPr>
            <w:tcW w:w="8624" w:type="dxa"/>
            <w:tcBorders/>
            <w:vAlign w:val="center"/>
          </w:tcPr>
          <w:p>
            <w:pPr>
              <w:pStyle w:val="TableContents"/>
              <w:bidi w:val="0"/>
              <w:spacing w:before="0" w:after="283"/>
              <w:jc w:val="both"/>
              <w:rPr>
                <w:i/>
              </w:rPr>
            </w:pPr>
            <w:r>
              <w:rPr>
                <w:i/>
              </w:rPr>
              <w:t>Impairment loss</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the cost of terminating the importation agreements with the brokers in order to execute its new importation strategy, resulting in the Company forgoing a deposits balance of $6,982. Accordingly, during the second quarter of 2023, the Company impaired $6,982 of short-term prepaid deposits. This impairment is presented in the consolidated statements of profit or loss and comprehensive profit or loss under Impairment on short-term prepaid deposits, equipment and construction prepayments, property, plant and equipment and right-of-use assets.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41 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68"/>
        <w:gridCol w:w="1115"/>
        <w:gridCol w:w="294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11:</w:t>
            </w:r>
          </w:p>
        </w:tc>
        <w:tc>
          <w:tcPr>
            <w:tcW w:w="2945" w:type="dxa"/>
            <w:tcBorders/>
            <w:vAlign w:val="center"/>
          </w:tcPr>
          <w:p>
            <w:pPr>
              <w:pStyle w:val="TableContents"/>
              <w:bidi w:val="0"/>
              <w:spacing w:before="0" w:after="283"/>
              <w:jc w:val="both"/>
              <w:rPr/>
            </w:pPr>
            <w:r>
              <w:rPr>
                <w:b/>
              </w:rPr>
              <w:t>IMPAIRMENT</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2023 impairment loss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on mineral assets during the second quarter of 2023</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1"/>
        <w:gridCol w:w="1154"/>
        <w:gridCol w:w="8590"/>
      </w:tblGrid>
      <w:tr>
        <w:trPr/>
        <w:tc>
          <w:tcPr>
            <w:tcW w:w="46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i/>
              </w:rPr>
            </w:pPr>
            <w:r>
              <w:rPr>
                <w:i/>
              </w:rPr>
              <w:t>i.</w:t>
            </w:r>
          </w:p>
        </w:tc>
        <w:tc>
          <w:tcPr>
            <w:tcW w:w="8590" w:type="dxa"/>
            <w:tcBorders/>
            <w:vAlign w:val="center"/>
          </w:tcPr>
          <w:p>
            <w:pPr>
              <w:pStyle w:val="TableContents"/>
              <w:bidi w:val="0"/>
              <w:spacing w:before="0" w:after="283"/>
              <w:jc w:val="both"/>
              <w:rPr>
                <w:i/>
              </w:rPr>
            </w:pPr>
            <w:r>
              <w:rPr>
                <w:i/>
              </w:rPr>
              <w:t>Background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Suni mineral asset was acquired in connection with the reverse acquisition of Bitfarms Ltd (Israel) on April 12, 2018, and its value at the time was estimated at $9,000 based on an independent appraiser’s valuation. Suni is an iron ore deposit located in Canada that was held by the acquiree. Since its acquisition, following the presence of impairment indicators, the Suni mineral asset was written down to a net book value of $3,000 as of December 31, 2022.</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0"/>
        <w:gridCol w:w="1221"/>
        <w:gridCol w:w="8624"/>
      </w:tblGrid>
      <w:tr>
        <w:trPr/>
        <w:tc>
          <w:tcPr>
            <w:tcW w:w="36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i/>
              </w:rPr>
            </w:pPr>
            <w:r>
              <w:rPr>
                <w:i/>
              </w:rPr>
              <w:t>ii.</w:t>
            </w:r>
          </w:p>
        </w:tc>
        <w:tc>
          <w:tcPr>
            <w:tcW w:w="8624" w:type="dxa"/>
            <w:tcBorders/>
            <w:vAlign w:val="center"/>
          </w:tcPr>
          <w:p>
            <w:pPr>
              <w:pStyle w:val="TableContents"/>
              <w:bidi w:val="0"/>
              <w:spacing w:before="0" w:after="283"/>
              <w:jc w:val="both"/>
              <w:rPr>
                <w:i/>
              </w:rPr>
            </w:pPr>
            <w:r>
              <w:rPr>
                <w:i/>
              </w:rPr>
              <w:t>Impairment loss</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2023, in connection with the planned disposal of the Suni mineral asset, Management tested the CGU for impairment, resulting in a further impairment charge of $3,000 and reducing the carrying amount to nil. This impairment charge is presented in the consolidated statements of profit or loss and comprehensive profit or loss under Impairment on short-term prepaid deposits, equipment and construction prepayments, property, plant and equipment and right-of-use assets. On July 27, 2023, the Company sold the Suni mineral asset for a nominal amount to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on electrical components during the fourth quarter of 2023</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1"/>
        <w:gridCol w:w="1154"/>
        <w:gridCol w:w="8590"/>
      </w:tblGrid>
      <w:tr>
        <w:trPr/>
        <w:tc>
          <w:tcPr>
            <w:tcW w:w="46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i/>
              </w:rPr>
            </w:pPr>
            <w:r>
              <w:rPr>
                <w:i/>
              </w:rPr>
              <w:t>i.</w:t>
            </w:r>
          </w:p>
        </w:tc>
        <w:tc>
          <w:tcPr>
            <w:tcW w:w="8590" w:type="dxa"/>
            <w:tcBorders/>
            <w:vAlign w:val="center"/>
          </w:tcPr>
          <w:p>
            <w:pPr>
              <w:pStyle w:val="TableContents"/>
              <w:bidi w:val="0"/>
              <w:spacing w:before="0" w:after="283"/>
              <w:jc w:val="both"/>
              <w:rPr>
                <w:i/>
              </w:rPr>
            </w:pPr>
            <w:r>
              <w:rPr>
                <w:i/>
              </w:rPr>
              <w:t>Background</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2023, the Company de-energized its 2 MW immersion cooling pilot project in Washington State as the equipment did not perform to the Company’s expectations of performance and costs. With the de-energization of the immersion cooling pilot project, the 2 MW of hydro-electricity remains available to the Company to use in the future.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0"/>
        <w:gridCol w:w="1221"/>
        <w:gridCol w:w="8624"/>
      </w:tblGrid>
      <w:tr>
        <w:trPr/>
        <w:tc>
          <w:tcPr>
            <w:tcW w:w="36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i/>
              </w:rPr>
            </w:pPr>
            <w:r>
              <w:rPr>
                <w:i/>
              </w:rPr>
              <w:t>ii.</w:t>
            </w:r>
          </w:p>
        </w:tc>
        <w:tc>
          <w:tcPr>
            <w:tcW w:w="8624" w:type="dxa"/>
            <w:tcBorders/>
            <w:vAlign w:val="center"/>
          </w:tcPr>
          <w:p>
            <w:pPr>
              <w:pStyle w:val="TableContents"/>
              <w:bidi w:val="0"/>
              <w:spacing w:before="0" w:after="283"/>
              <w:jc w:val="both"/>
              <w:rPr>
                <w:i/>
              </w:rPr>
            </w:pPr>
            <w:r>
              <w:rPr>
                <w:i/>
              </w:rPr>
              <w:t>Impairment loss</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2023, in connection with the planned disposal of the de-energized immersion cooling electrical components, Management tested those assets for impairment, resulting in an impairment charge of $1,882 before being reclassified to assets held for sale. This impairment charge is presented in the consolidated statements of profit or loss and comprehensive profit or loss under Impairment on short-term prepaid deposits, equipment and construction prepayments, property, plant and equipment and right-of-use assets.</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42 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46" w:name="a_020"/>
      <w:bookmarkStart w:id="47" w:name="a_020"/>
      <w:bookmarkEnd w:id="47"/>
    </w:p>
    <w:tbl>
      <w:tblPr>
        <w:tblW w:w="5748" w:type="dxa"/>
        <w:jc w:val="left"/>
        <w:tblInd w:w="0" w:type="dxa"/>
        <w:tblLayout w:type="fixed"/>
        <w:tblCellMar>
          <w:top w:w="0" w:type="dxa"/>
          <w:left w:w="0" w:type="dxa"/>
          <w:bottom w:w="0" w:type="dxa"/>
          <w:right w:w="0" w:type="dxa"/>
        </w:tblCellMar>
      </w:tblPr>
      <w:tblGrid>
        <w:gridCol w:w="68"/>
        <w:gridCol w:w="1115"/>
        <w:gridCol w:w="456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12:</w:t>
            </w:r>
          </w:p>
        </w:tc>
        <w:tc>
          <w:tcPr>
            <w:tcW w:w="4565" w:type="dxa"/>
            <w:tcBorders/>
            <w:vAlign w:val="center"/>
          </w:tcPr>
          <w:p>
            <w:pPr>
              <w:pStyle w:val="TableContents"/>
              <w:bidi w:val="0"/>
              <w:spacing w:before="0" w:after="283"/>
              <w:jc w:val="both"/>
              <w:rPr>
                <w:b/>
              </w:rPr>
            </w:pPr>
            <w:r>
              <w:rPr>
                <w:b/>
              </w:rPr>
              <w:t>PROPERTY, PLANT AND EQUIPMENT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December 31, 2023, PPE consisted of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87"/>
        <w:gridCol w:w="90"/>
        <w:gridCol w:w="90"/>
        <w:gridCol w:w="535"/>
        <w:gridCol w:w="90"/>
        <w:gridCol w:w="90"/>
        <w:gridCol w:w="90"/>
        <w:gridCol w:w="905"/>
        <w:gridCol w:w="125"/>
        <w:gridCol w:w="90"/>
        <w:gridCol w:w="203"/>
        <w:gridCol w:w="657"/>
        <w:gridCol w:w="90"/>
        <w:gridCol w:w="90"/>
        <w:gridCol w:w="93"/>
        <w:gridCol w:w="741"/>
        <w:gridCol w:w="125"/>
        <w:gridCol w:w="90"/>
        <w:gridCol w:w="142"/>
        <w:gridCol w:w="1123"/>
        <w:gridCol w:w="125"/>
        <w:gridCol w:w="90"/>
        <w:gridCol w:w="117"/>
        <w:gridCol w:w="773"/>
        <w:gridCol w:w="125"/>
        <w:gridCol w:w="90"/>
        <w:gridCol w:w="90"/>
        <w:gridCol w:w="905"/>
        <w:gridCol w:w="144"/>
      </w:tblGrid>
      <w:tr>
        <w:trPr/>
        <w:tc>
          <w:tcPr>
            <w:tcW w:w="2287" w:type="dxa"/>
            <w:tcBorders>
              <w:bottom w:val="single" w:sz="8" w:space="0" w:color="000000"/>
            </w:tcBorders>
            <w:vAlign w:val="center"/>
          </w:tcPr>
          <w:p>
            <w:pPr>
              <w:pStyle w:val="TableContents"/>
              <w:bidi w:val="0"/>
              <w:spacing w:before="0" w:after="283"/>
              <w:ind w:left="0" w:right="0" w:hanging="180"/>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625" w:type="dxa"/>
            <w:gridSpan w:val="2"/>
            <w:tcBorders>
              <w:bottom w:val="single" w:sz="8" w:space="0" w:color="000000"/>
            </w:tcBorders>
            <w:vAlign w:val="center"/>
          </w:tcPr>
          <w:p>
            <w:pPr>
              <w:pStyle w:val="TableContents"/>
              <w:bidi w:val="0"/>
              <w:spacing w:before="0" w:after="283"/>
              <w:jc w:val="right"/>
              <w:rPr>
                <w:b/>
              </w:rPr>
            </w:pPr>
            <w:r>
              <w:rPr>
                <w:b/>
              </w:rPr>
              <w:t>Notes</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95" w:type="dxa"/>
            <w:gridSpan w:val="2"/>
            <w:tcBorders>
              <w:bottom w:val="single" w:sz="8" w:space="0" w:color="000000"/>
            </w:tcBorders>
            <w:vAlign w:val="center"/>
          </w:tcPr>
          <w:p>
            <w:pPr>
              <w:pStyle w:val="TableContents"/>
              <w:bidi w:val="0"/>
              <w:spacing w:before="0" w:after="283"/>
              <w:jc w:val="right"/>
              <w:rPr>
                <w:b/>
              </w:rPr>
            </w:pPr>
            <w:r>
              <w:rPr>
                <w:b/>
              </w:rPr>
              <w:t>BVVE</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60" w:type="dxa"/>
            <w:gridSpan w:val="2"/>
            <w:tcBorders>
              <w:bottom w:val="single" w:sz="8" w:space="0" w:color="000000"/>
            </w:tcBorders>
            <w:vAlign w:val="center"/>
          </w:tcPr>
          <w:p>
            <w:pPr>
              <w:pStyle w:val="TableContents"/>
              <w:bidi w:val="0"/>
              <w:spacing w:before="0" w:after="283"/>
              <w:jc w:val="right"/>
              <w:rPr>
                <w:b/>
              </w:rPr>
            </w:pPr>
            <w:r>
              <w:rPr>
                <w:b/>
              </w:rPr>
              <w:t>Mineral</w:t>
              <w:br/>
              <w:t>assets</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34"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 and</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265"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Leasehold</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improvements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90" w:type="dxa"/>
            <w:gridSpan w:val="2"/>
            <w:tcBorders>
              <w:bottom w:val="single" w:sz="8" w:space="0" w:color="000000"/>
            </w:tcBorders>
            <w:vAlign w:val="center"/>
          </w:tcPr>
          <w:p>
            <w:pPr>
              <w:pStyle w:val="TableContents"/>
              <w:bidi w:val="0"/>
              <w:spacing w:before="0" w:after="283"/>
              <w:jc w:val="right"/>
              <w:rPr>
                <w:b/>
              </w:rPr>
            </w:pPr>
            <w:r>
              <w:rPr>
                <w:b/>
              </w:rPr>
              <w:t>Vehicles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95" w:type="dxa"/>
            <w:gridSpan w:val="2"/>
            <w:tcBorders>
              <w:bottom w:val="single" w:sz="8" w:space="0" w:color="000000"/>
            </w:tcBorders>
            <w:vAlign w:val="center"/>
          </w:tcPr>
          <w:p>
            <w:pPr>
              <w:pStyle w:val="TableContents"/>
              <w:bidi w:val="0"/>
              <w:spacing w:before="0" w:after="283"/>
              <w:jc w:val="right"/>
              <w:rPr>
                <w:b/>
              </w:rPr>
            </w:pPr>
            <w:r>
              <w:rPr>
                <w:b/>
              </w:rPr>
              <w:t>Total</w:t>
            </w:r>
          </w:p>
        </w:tc>
        <w:tc>
          <w:tcPr>
            <w:tcW w:w="144" w:type="dxa"/>
            <w:tcBorders>
              <w:bottom w:val="single" w:sz="8" w:space="0" w:color="000000"/>
            </w:tcBorders>
            <w:vAlign w:val="center"/>
          </w:tcPr>
          <w:p>
            <w:pPr>
              <w:pStyle w:val="TableContents"/>
              <w:bidi w:val="0"/>
              <w:spacing w:before="0" w:after="283"/>
              <w:ind w:left="0" w:right="0" w:hanging="180"/>
              <w:jc w:val="right"/>
              <w:rPr/>
            </w:pPr>
            <w:r>
              <w:rPr/>
              <w:t> </w:t>
            </w:r>
          </w:p>
        </w:tc>
      </w:tr>
      <w:tr>
        <w:trPr/>
        <w:tc>
          <w:tcPr>
            <w:tcW w:w="2287" w:type="dxa"/>
            <w:tcBorders>
              <w:bottom w:val="single" w:sz="8" w:space="0" w:color="000000"/>
            </w:tcBorders>
            <w:vAlign w:val="center"/>
          </w:tcPr>
          <w:p>
            <w:pPr>
              <w:pStyle w:val="TableContents"/>
              <w:bidi w:val="0"/>
              <w:spacing w:before="0" w:after="283"/>
              <w:jc w:val="left"/>
              <w:rPr>
                <w:b/>
              </w:rPr>
            </w:pPr>
            <w:r>
              <w:rPr>
                <w:b/>
              </w:rPr>
              <w:t>Cost</w:t>
            </w:r>
          </w:p>
        </w:tc>
        <w:tc>
          <w:tcPr>
            <w:tcW w:w="90" w:type="dxa"/>
            <w:tcBorders>
              <w:bottom w:val="single" w:sz="8" w:space="0" w:color="000000"/>
            </w:tcBorders>
            <w:vAlign w:val="center"/>
          </w:tcPr>
          <w:p>
            <w:pPr>
              <w:pStyle w:val="TableContents"/>
              <w:bidi w:val="0"/>
              <w:spacing w:before="0" w:after="283"/>
              <w:jc w:val="left"/>
              <w:rPr/>
            </w:pPr>
            <w:r>
              <w:rPr/>
              <w:t> </w:t>
            </w:r>
          </w:p>
        </w:tc>
        <w:tc>
          <w:tcPr>
            <w:tcW w:w="625"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4" w:type="dxa"/>
            <w:gridSpan w:val="2"/>
            <w:tcBorders>
              <w:bottom w:val="single" w:sz="8" w:space="0" w:color="000000"/>
            </w:tcBorders>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65" w:type="dxa"/>
            <w:gridSpan w:val="2"/>
            <w:tcBorders>
              <w:bottom w:val="single" w:sz="8" w:space="0" w:color="000000"/>
            </w:tcBorders>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90" w:type="dxa"/>
            <w:gridSpan w:val="2"/>
            <w:tcBorders>
              <w:bottom w:val="single" w:sz="8" w:space="0" w:color="000000"/>
            </w:tcBorders>
            <w:vAlign w:val="center"/>
          </w:tcPr>
          <w:p>
            <w:pPr>
              <w:pStyle w:val="TableContents"/>
              <w:bidi w:val="0"/>
              <w:spacing w:before="0" w:after="283"/>
              <w:jc w:val="lef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left"/>
              <w:rPr/>
            </w:pPr>
            <w:r>
              <w:rPr/>
              <w:t> </w:t>
            </w:r>
          </w:p>
        </w:tc>
        <w:tc>
          <w:tcPr>
            <w:tcW w:w="144" w:type="dxa"/>
            <w:tcBorders>
              <w:bottom w:val="single" w:sz="8" w:space="0" w:color="000000"/>
            </w:tcBorders>
            <w:vAlign w:val="center"/>
          </w:tcPr>
          <w:p>
            <w:pPr>
              <w:pStyle w:val="TableContents"/>
              <w:bidi w:val="0"/>
              <w:spacing w:before="0" w:after="283"/>
              <w:ind w:left="0" w:right="0" w:hanging="180"/>
              <w:jc w:val="left"/>
              <w:rPr/>
            </w:pPr>
            <w:r>
              <w:rPr/>
              <w:t> </w:t>
            </w:r>
          </w:p>
        </w:tc>
      </w:tr>
      <w:tr>
        <w:trPr/>
        <w:tc>
          <w:tcPr>
            <w:tcW w:w="2287" w:type="dxa"/>
            <w:tcBorders>
              <w:bottom w:val="single" w:sz="8" w:space="0" w:color="000000"/>
            </w:tcBorders>
            <w:shd w:fill="CCEEFF" w:val="clear"/>
            <w:vAlign w:val="center"/>
          </w:tcPr>
          <w:p>
            <w:pPr>
              <w:pStyle w:val="TableContents"/>
              <w:bidi w:val="0"/>
              <w:spacing w:before="0" w:after="283"/>
              <w:jc w:val="left"/>
              <w:rPr/>
            </w:pPr>
            <w:r>
              <w:rPr/>
              <w:t>Balance as of January 1, 2024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b/>
              </w:rPr>
            </w:pPr>
            <w:r>
              <w:rPr>
                <w:b/>
              </w:rPr>
              <w:t>354,803</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vAlign w:val="center"/>
          </w:tcPr>
          <w:p>
            <w:pPr>
              <w:pStyle w:val="TableContents"/>
              <w:bidi w:val="0"/>
              <w:spacing w:before="0" w:after="283"/>
              <w:jc w:val="left"/>
              <w:rPr/>
            </w:pPr>
            <w:r>
              <w:rPr/>
              <w:t> </w:t>
            </w:r>
          </w:p>
        </w:tc>
        <w:tc>
          <w:tcPr>
            <w:tcW w:w="657"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vAlign w:val="center"/>
          </w:tcPr>
          <w:p>
            <w:pPr>
              <w:pStyle w:val="TableContents"/>
              <w:bidi w:val="0"/>
              <w:spacing w:before="0" w:after="283"/>
              <w:jc w:val="left"/>
              <w:rPr/>
            </w:pPr>
            <w:r>
              <w:rPr/>
              <w:t> </w:t>
            </w:r>
          </w:p>
        </w:tc>
        <w:tc>
          <w:tcPr>
            <w:tcW w:w="741" w:type="dxa"/>
            <w:tcBorders>
              <w:bottom w:val="single" w:sz="8" w:space="0" w:color="000000"/>
            </w:tcBorders>
            <w:shd w:fill="CCEEFF" w:val="clear"/>
            <w:vAlign w:val="center"/>
          </w:tcPr>
          <w:p>
            <w:pPr>
              <w:pStyle w:val="TableContents"/>
              <w:bidi w:val="0"/>
              <w:spacing w:before="0" w:after="283"/>
              <w:jc w:val="right"/>
              <w:rPr>
                <w:b/>
              </w:rPr>
            </w:pPr>
            <w:r>
              <w:rPr>
                <w:b/>
              </w:rPr>
              <w:t>5,740</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b/>
              </w:rPr>
            </w:pPr>
            <w:r>
              <w:rPr>
                <w:b/>
              </w:rPr>
              <w:t>50,728</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b/>
              </w:rPr>
            </w:pPr>
            <w:r>
              <w:rPr>
                <w:b/>
              </w:rPr>
              <w:t>1,262</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b/>
              </w:rPr>
            </w:pPr>
            <w:r>
              <w:rPr>
                <w:b/>
              </w:rPr>
              <w:t>412,533</w:t>
            </w:r>
          </w:p>
        </w:tc>
        <w:tc>
          <w:tcPr>
            <w:tcW w:w="144"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2287" w:type="dxa"/>
            <w:tcBorders/>
            <w:tcMar>
              <w:bottom w:w="0" w:type="dxa"/>
            </w:tcMar>
            <w:vAlign w:val="center"/>
          </w:tcPr>
          <w:p>
            <w:pPr>
              <w:pStyle w:val="TableContents"/>
              <w:bidi w:val="0"/>
              <w:spacing w:before="0" w:after="283"/>
              <w:jc w:val="left"/>
              <w:rPr/>
            </w:pPr>
            <w:r>
              <w:rPr/>
              <w:t>Additions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294,311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657"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41" w:type="dxa"/>
            <w:tcBorders/>
            <w:tcMar>
              <w:bottom w:w="0" w:type="dxa"/>
            </w:tcMar>
            <w:vAlign w:val="center"/>
          </w:tcPr>
          <w:p>
            <w:pPr>
              <w:pStyle w:val="TableContents"/>
              <w:bidi w:val="0"/>
              <w:spacing w:before="0" w:after="283"/>
              <w:jc w:val="right"/>
              <w:rPr>
                <w:b/>
              </w:rPr>
            </w:pPr>
            <w:r>
              <w:rPr>
                <w:b/>
              </w:rPr>
              <w:t>29,114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before="0" w:after="283"/>
              <w:jc w:val="right"/>
              <w:rPr>
                <w:b/>
              </w:rPr>
            </w:pPr>
            <w:r>
              <w:rPr>
                <w:b/>
              </w:rPr>
              <w:t>10,228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773" w:type="dxa"/>
            <w:tcBorders/>
            <w:tcMar>
              <w:bottom w:w="0" w:type="dxa"/>
            </w:tcMar>
            <w:vAlign w:val="center"/>
          </w:tcPr>
          <w:p>
            <w:pPr>
              <w:pStyle w:val="TableContents"/>
              <w:bidi w:val="0"/>
              <w:spacing w:before="0" w:after="283"/>
              <w:jc w:val="right"/>
              <w:rPr>
                <w:b/>
              </w:rPr>
            </w:pPr>
            <w:r>
              <w:rPr>
                <w:b/>
              </w:rPr>
              <w:t>529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334,182</w:t>
            </w:r>
          </w:p>
        </w:tc>
        <w:tc>
          <w:tcPr>
            <w:tcW w:w="144" w:type="dxa"/>
            <w:tcBorders/>
            <w:tcMar>
              <w:bottom w:w="0" w:type="dxa"/>
            </w:tcMar>
            <w:vAlign w:val="center"/>
          </w:tcPr>
          <w:p>
            <w:pPr>
              <w:pStyle w:val="TableContents"/>
              <w:bidi w:val="0"/>
              <w:spacing w:before="0" w:after="283"/>
              <w:ind w:left="0" w:right="0" w:hanging="180"/>
              <w:jc w:val="left"/>
              <w:rPr/>
            </w:pPr>
            <w:r>
              <w:rPr/>
              <w:t> </w:t>
            </w:r>
          </w:p>
        </w:tc>
      </w:tr>
      <w:tr>
        <w:trPr/>
        <w:tc>
          <w:tcPr>
            <w:tcW w:w="2287" w:type="dxa"/>
            <w:tcBorders/>
            <w:shd w:fill="CCEEFF" w:val="clear"/>
            <w:tcMar>
              <w:bottom w:w="0" w:type="dxa"/>
            </w:tcMar>
            <w:vAlign w:val="center"/>
          </w:tcPr>
          <w:p>
            <w:pPr>
              <w:pStyle w:val="TableContents"/>
              <w:bidi w:val="0"/>
              <w:spacing w:before="0" w:after="283"/>
              <w:jc w:val="left"/>
              <w:rPr/>
            </w:pPr>
            <w:r>
              <w:rPr/>
              <w:t>Dispositions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(433</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65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4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b/>
              </w:rPr>
            </w:pPr>
            <w:r>
              <w:rPr>
                <w:b/>
              </w:rPr>
              <w:t>(560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b/>
              </w:rPr>
            </w:pPr>
            <w:r>
              <w:rPr>
                <w:b/>
              </w:rPr>
              <w:t>(25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(1,018</w:t>
            </w:r>
          </w:p>
        </w:tc>
        <w:tc>
          <w:tcPr>
            <w:tcW w:w="144" w:type="dxa"/>
            <w:tcBorders/>
            <w:shd w:fill="CCEEFF" w:val="clear"/>
            <w:tcMar>
              <w:bottom w:w="0" w:type="dxa"/>
            </w:tcMar>
            <w:vAlign w:val="center"/>
          </w:tcPr>
          <w:p>
            <w:pPr>
              <w:pStyle w:val="TableContents"/>
              <w:bidi w:val="0"/>
              <w:spacing w:before="0" w:after="283"/>
              <w:ind w:left="0" w:right="0" w:hanging="180"/>
              <w:jc w:val="left"/>
              <w:rPr>
                <w:b/>
              </w:rPr>
            </w:pPr>
            <w:r>
              <w:rPr>
                <w:b/>
              </w:rPr>
              <w:t>)</w:t>
            </w:r>
          </w:p>
        </w:tc>
      </w:tr>
      <w:tr>
        <w:trPr/>
        <w:tc>
          <w:tcPr>
            <w:tcW w:w="2287" w:type="dxa"/>
            <w:tcBorders/>
            <w:tcMar>
              <w:bottom w:w="0" w:type="dxa"/>
            </w:tcMar>
            <w:vAlign w:val="center"/>
          </w:tcPr>
          <w:p>
            <w:pPr>
              <w:pStyle w:val="TableContents"/>
              <w:bidi w:val="0"/>
              <w:spacing w:before="0" w:after="283"/>
              <w:jc w:val="left"/>
              <w:rPr/>
            </w:pPr>
            <w:r>
              <w:rPr/>
              <w:t>Transfer to assets held for sale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5" w:type="dxa"/>
            <w:tcBorders/>
            <w:tcMar>
              <w:bottom w:w="0" w:type="dxa"/>
            </w:tcMar>
            <w:vAlign w:val="center"/>
          </w:tcPr>
          <w:p>
            <w:pPr>
              <w:pStyle w:val="TableContents"/>
              <w:bidi w:val="0"/>
              <w:spacing w:before="0" w:after="283"/>
              <w:jc w:val="right"/>
              <w:rPr>
                <w:b/>
              </w:rPr>
            </w:pPr>
            <w:r>
              <w:rPr>
                <w:b/>
              </w:rPr>
              <w:t>10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(208,471</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657"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4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77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(208,471</w:t>
            </w:r>
          </w:p>
        </w:tc>
        <w:tc>
          <w:tcPr>
            <w:tcW w:w="144" w:type="dxa"/>
            <w:tcBorders/>
            <w:tcMar>
              <w:bottom w:w="0" w:type="dxa"/>
            </w:tcMar>
            <w:vAlign w:val="center"/>
          </w:tcPr>
          <w:p>
            <w:pPr>
              <w:pStyle w:val="TableContents"/>
              <w:bidi w:val="0"/>
              <w:spacing w:before="0" w:after="283"/>
              <w:ind w:left="0" w:right="0" w:hanging="180"/>
              <w:jc w:val="left"/>
              <w:rPr>
                <w:b/>
              </w:rPr>
            </w:pPr>
            <w:r>
              <w:rPr>
                <w:b/>
              </w:rPr>
              <w:t>)</w:t>
            </w:r>
          </w:p>
        </w:tc>
      </w:tr>
      <w:tr>
        <w:trPr/>
        <w:tc>
          <w:tcPr>
            <w:tcW w:w="2287" w:type="dxa"/>
            <w:tcBorders/>
            <w:shd w:fill="CCEEFF" w:val="clear"/>
            <w:tcMar>
              <w:bottom w:w="0" w:type="dxa"/>
            </w:tcMar>
            <w:vAlign w:val="center"/>
          </w:tcPr>
          <w:p>
            <w:pPr>
              <w:pStyle w:val="TableContents"/>
              <w:bidi w:val="0"/>
              <w:spacing w:before="0" w:after="283"/>
              <w:jc w:val="left"/>
              <w:rPr/>
            </w:pPr>
            <w:r>
              <w:rPr/>
              <w:t>Effect of change in discount rate in asset retirement obligations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5" w:type="dxa"/>
            <w:tcBorders/>
            <w:shd w:fill="CCEEFF" w:val="clear"/>
            <w:tcMar>
              <w:bottom w:w="0" w:type="dxa"/>
            </w:tcMar>
            <w:vAlign w:val="center"/>
          </w:tcPr>
          <w:p>
            <w:pPr>
              <w:pStyle w:val="TableContents"/>
              <w:bidi w:val="0"/>
              <w:spacing w:before="0" w:after="283"/>
              <w:jc w:val="right"/>
              <w:rPr>
                <w:b/>
              </w:rPr>
            </w:pPr>
            <w:r>
              <w:rPr>
                <w:b/>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65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4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b/>
              </w:rPr>
            </w:pPr>
            <w:r>
              <w:rPr>
                <w:b/>
              </w:rPr>
              <w:t>88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88</w:t>
            </w:r>
          </w:p>
        </w:tc>
        <w:tc>
          <w:tcPr>
            <w:tcW w:w="144"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287" w:type="dxa"/>
            <w:tcBorders>
              <w:bottom w:val="single" w:sz="8" w:space="0" w:color="000000"/>
            </w:tcBorders>
            <w:vAlign w:val="center"/>
          </w:tcPr>
          <w:p>
            <w:pPr>
              <w:pStyle w:val="TableContents"/>
              <w:bidi w:val="0"/>
              <w:spacing w:before="0" w:after="283"/>
              <w:jc w:val="left"/>
              <w:rPr/>
            </w:pPr>
            <w:r>
              <w:rPr/>
              <w:t>Sales tax recovery</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5" w:type="dxa"/>
            <w:tcBorders>
              <w:bottom w:val="single" w:sz="8" w:space="0" w:color="000000"/>
            </w:tcBorders>
            <w:vAlign w:val="center"/>
          </w:tcPr>
          <w:p>
            <w:pPr>
              <w:pStyle w:val="TableContents"/>
              <w:bidi w:val="0"/>
              <w:spacing w:before="0" w:after="283"/>
              <w:jc w:val="right"/>
              <w:rPr>
                <w:b/>
              </w:rPr>
            </w:pPr>
            <w:r>
              <w:rPr>
                <w:b/>
              </w:rPr>
              <w:t>29</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b/>
              </w:rPr>
            </w:pPr>
            <w:r>
              <w:rPr>
                <w:b/>
              </w:rPr>
              <w:t>(14,763</w:t>
            </w:r>
          </w:p>
        </w:tc>
        <w:tc>
          <w:tcPr>
            <w:tcW w:w="125" w:type="dxa"/>
            <w:tcBorders>
              <w:bottom w:val="single" w:sz="8" w:space="0" w:color="000000"/>
            </w:tcBorders>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203" w:type="dxa"/>
            <w:tcBorders>
              <w:bottom w:val="single" w:sz="8" w:space="0" w:color="000000"/>
            </w:tcBorders>
            <w:vAlign w:val="center"/>
          </w:tcPr>
          <w:p>
            <w:pPr>
              <w:pStyle w:val="TableContents"/>
              <w:bidi w:val="0"/>
              <w:spacing w:before="0" w:after="283"/>
              <w:jc w:val="left"/>
              <w:rPr/>
            </w:pPr>
            <w:r>
              <w:rPr/>
              <w:t> </w:t>
            </w:r>
          </w:p>
        </w:tc>
        <w:tc>
          <w:tcPr>
            <w:tcW w:w="657"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3" w:type="dxa"/>
            <w:tcBorders>
              <w:bottom w:val="single" w:sz="8" w:space="0" w:color="000000"/>
            </w:tcBorders>
            <w:vAlign w:val="center"/>
          </w:tcPr>
          <w:p>
            <w:pPr>
              <w:pStyle w:val="TableContents"/>
              <w:bidi w:val="0"/>
              <w:spacing w:before="0" w:after="283"/>
              <w:jc w:val="left"/>
              <w:rPr/>
            </w:pPr>
            <w:r>
              <w:rPr/>
              <w:t> </w:t>
            </w:r>
          </w:p>
        </w:tc>
        <w:tc>
          <w:tcPr>
            <w:tcW w:w="741" w:type="dxa"/>
            <w:tcBorders>
              <w:bottom w:val="single" w:sz="8" w:space="0" w:color="000000"/>
            </w:tcBorders>
            <w:vAlign w:val="center"/>
          </w:tcPr>
          <w:p>
            <w:pPr>
              <w:pStyle w:val="TableContents"/>
              <w:bidi w:val="0"/>
              <w:spacing w:before="0" w:after="283"/>
              <w:jc w:val="right"/>
              <w:rPr>
                <w:b/>
              </w:rPr>
            </w:pPr>
            <w:r>
              <w:rPr>
                <w:b/>
              </w:rPr>
              <w:t>(428</w:t>
            </w:r>
          </w:p>
        </w:tc>
        <w:tc>
          <w:tcPr>
            <w:tcW w:w="125" w:type="dxa"/>
            <w:tcBorders>
              <w:bottom w:val="single" w:sz="8" w:space="0" w:color="000000"/>
            </w:tcBorders>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42" w:type="dxa"/>
            <w:tcBorders>
              <w:bottom w:val="single" w:sz="8" w:space="0" w:color="000000"/>
            </w:tcBorders>
            <w:vAlign w:val="center"/>
          </w:tcPr>
          <w:p>
            <w:pPr>
              <w:pStyle w:val="TableContents"/>
              <w:bidi w:val="0"/>
              <w:spacing w:before="0" w:after="283"/>
              <w:jc w:val="left"/>
              <w:rPr/>
            </w:pPr>
            <w:r>
              <w:rPr/>
              <w:t> </w:t>
            </w:r>
          </w:p>
        </w:tc>
        <w:tc>
          <w:tcPr>
            <w:tcW w:w="1123" w:type="dxa"/>
            <w:tcBorders>
              <w:bottom w:val="single" w:sz="8" w:space="0" w:color="000000"/>
            </w:tcBorders>
            <w:vAlign w:val="center"/>
          </w:tcPr>
          <w:p>
            <w:pPr>
              <w:pStyle w:val="TableContents"/>
              <w:bidi w:val="0"/>
              <w:spacing w:before="0" w:after="283"/>
              <w:jc w:val="right"/>
              <w:rPr>
                <w:b/>
              </w:rPr>
            </w:pPr>
            <w:r>
              <w:rPr>
                <w:b/>
              </w:rPr>
              <w:t>(657</w:t>
            </w:r>
          </w:p>
        </w:tc>
        <w:tc>
          <w:tcPr>
            <w:tcW w:w="125" w:type="dxa"/>
            <w:tcBorders>
              <w:bottom w:val="single" w:sz="8" w:space="0" w:color="000000"/>
            </w:tcBorders>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17" w:type="dxa"/>
            <w:tcBorders>
              <w:bottom w:val="single" w:sz="8" w:space="0" w:color="000000"/>
            </w:tcBorders>
            <w:vAlign w:val="center"/>
          </w:tcPr>
          <w:p>
            <w:pPr>
              <w:pStyle w:val="TableContents"/>
              <w:bidi w:val="0"/>
              <w:spacing w:before="0" w:after="283"/>
              <w:jc w:val="left"/>
              <w:rPr/>
            </w:pPr>
            <w:r>
              <w:rPr/>
              <w:t> </w:t>
            </w:r>
          </w:p>
        </w:tc>
        <w:tc>
          <w:tcPr>
            <w:tcW w:w="773" w:type="dxa"/>
            <w:tcBorders>
              <w:bottom w:val="single" w:sz="8" w:space="0" w:color="000000"/>
            </w:tcBorders>
            <w:vAlign w:val="center"/>
          </w:tcPr>
          <w:p>
            <w:pPr>
              <w:pStyle w:val="TableContents"/>
              <w:bidi w:val="0"/>
              <w:spacing w:before="0" w:after="283"/>
              <w:jc w:val="right"/>
              <w:rPr>
                <w:b/>
              </w:rPr>
            </w:pPr>
            <w:r>
              <w:rPr>
                <w:b/>
              </w:rPr>
              <w:t>(18</w:t>
            </w:r>
          </w:p>
        </w:tc>
        <w:tc>
          <w:tcPr>
            <w:tcW w:w="125" w:type="dxa"/>
            <w:tcBorders>
              <w:bottom w:val="single" w:sz="8" w:space="0" w:color="000000"/>
            </w:tcBorders>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b/>
              </w:rPr>
            </w:pPr>
            <w:r>
              <w:rPr>
                <w:b/>
              </w:rPr>
              <w:t>(15,866</w:t>
            </w:r>
          </w:p>
        </w:tc>
        <w:tc>
          <w:tcPr>
            <w:tcW w:w="144" w:type="dxa"/>
            <w:tcBorders>
              <w:bottom w:val="single" w:sz="8" w:space="0" w:color="000000"/>
            </w:tcBorders>
            <w:vAlign w:val="center"/>
          </w:tcPr>
          <w:p>
            <w:pPr>
              <w:pStyle w:val="TableContents"/>
              <w:bidi w:val="0"/>
              <w:spacing w:before="0" w:after="283"/>
              <w:ind w:left="0" w:right="0" w:hanging="180"/>
              <w:jc w:val="left"/>
              <w:rPr>
                <w:b/>
              </w:rPr>
            </w:pPr>
            <w:r>
              <w:rPr>
                <w:b/>
              </w:rPr>
              <w:t>)</w:t>
            </w:r>
          </w:p>
        </w:tc>
      </w:tr>
      <w:tr>
        <w:trPr/>
        <w:tc>
          <w:tcPr>
            <w:tcW w:w="2287" w:type="dxa"/>
            <w:tcBorders>
              <w:bottom w:val="single" w:sz="8" w:space="0" w:color="000000"/>
            </w:tcBorders>
            <w:shd w:fill="CCEEFF" w:val="clear"/>
            <w:vAlign w:val="center"/>
          </w:tcPr>
          <w:p>
            <w:pPr>
              <w:pStyle w:val="TableContents"/>
              <w:bidi w:val="0"/>
              <w:spacing w:before="0" w:after="283"/>
              <w:jc w:val="left"/>
              <w:rPr>
                <w:b/>
              </w:rPr>
            </w:pPr>
            <w:r>
              <w:rPr>
                <w:b/>
              </w:rPr>
              <w:t>Balance as of December 31, 2024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b/>
              </w:rPr>
            </w:pPr>
            <w:r>
              <w:rPr>
                <w:b/>
              </w:rPr>
              <w:t>425,447</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vAlign w:val="center"/>
          </w:tcPr>
          <w:p>
            <w:pPr>
              <w:pStyle w:val="TableContents"/>
              <w:bidi w:val="0"/>
              <w:spacing w:before="0" w:after="283"/>
              <w:jc w:val="left"/>
              <w:rPr/>
            </w:pPr>
            <w:r>
              <w:rPr/>
              <w:t> </w:t>
            </w:r>
          </w:p>
        </w:tc>
        <w:tc>
          <w:tcPr>
            <w:tcW w:w="657"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vAlign w:val="center"/>
          </w:tcPr>
          <w:p>
            <w:pPr>
              <w:pStyle w:val="TableContents"/>
              <w:bidi w:val="0"/>
              <w:spacing w:before="0" w:after="283"/>
              <w:jc w:val="left"/>
              <w:rPr/>
            </w:pPr>
            <w:r>
              <w:rPr/>
              <w:t> </w:t>
            </w:r>
          </w:p>
        </w:tc>
        <w:tc>
          <w:tcPr>
            <w:tcW w:w="741" w:type="dxa"/>
            <w:tcBorders>
              <w:bottom w:val="single" w:sz="8" w:space="0" w:color="000000"/>
            </w:tcBorders>
            <w:shd w:fill="CCEEFF" w:val="clear"/>
            <w:vAlign w:val="center"/>
          </w:tcPr>
          <w:p>
            <w:pPr>
              <w:pStyle w:val="TableContents"/>
              <w:bidi w:val="0"/>
              <w:spacing w:before="0" w:after="283"/>
              <w:jc w:val="right"/>
              <w:rPr>
                <w:b/>
              </w:rPr>
            </w:pPr>
            <w:r>
              <w:rPr>
                <w:b/>
              </w:rPr>
              <w:t>34,426</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b/>
              </w:rPr>
            </w:pPr>
            <w:r>
              <w:rPr>
                <w:b/>
              </w:rPr>
              <w:t>59,827</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b/>
              </w:rPr>
            </w:pPr>
            <w:r>
              <w:rPr>
                <w:b/>
              </w:rPr>
              <w:t>1,748</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b/>
              </w:rPr>
            </w:pPr>
            <w:r>
              <w:rPr>
                <w:b/>
              </w:rPr>
              <w:t>521,448</w:t>
            </w:r>
          </w:p>
        </w:tc>
        <w:tc>
          <w:tcPr>
            <w:tcW w:w="144"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228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65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41"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77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 </w:t>
            </w:r>
          </w:p>
        </w:tc>
        <w:tc>
          <w:tcPr>
            <w:tcW w:w="144" w:type="dxa"/>
            <w:tcBorders/>
            <w:tcMar>
              <w:bottom w:w="0" w:type="dxa"/>
            </w:tcMar>
            <w:vAlign w:val="center"/>
          </w:tcPr>
          <w:p>
            <w:pPr>
              <w:pStyle w:val="TableContents"/>
              <w:bidi w:val="0"/>
              <w:spacing w:before="0" w:after="283"/>
              <w:ind w:left="0" w:right="0" w:hanging="180"/>
              <w:jc w:val="left"/>
              <w:rPr/>
            </w:pPr>
            <w:r>
              <w:rPr/>
              <w:t> </w:t>
            </w:r>
          </w:p>
        </w:tc>
      </w:tr>
      <w:tr>
        <w:trPr/>
        <w:tc>
          <w:tcPr>
            <w:tcW w:w="2287" w:type="dxa"/>
            <w:tcBorders>
              <w:bottom w:val="single" w:sz="8" w:space="0" w:color="000000"/>
            </w:tcBorders>
            <w:shd w:fill="CCEEFF" w:val="clear"/>
            <w:vAlign w:val="center"/>
          </w:tcPr>
          <w:p>
            <w:pPr>
              <w:pStyle w:val="TableContents"/>
              <w:bidi w:val="0"/>
              <w:spacing w:before="0" w:after="283"/>
              <w:jc w:val="left"/>
              <w:rPr>
                <w:b/>
              </w:rPr>
            </w:pPr>
            <w:r>
              <w:rPr>
                <w:b/>
              </w:rPr>
              <w:t>Accumulated Depreciation</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vAlign w:val="center"/>
          </w:tcPr>
          <w:p>
            <w:pPr>
              <w:pStyle w:val="TableContents"/>
              <w:bidi w:val="0"/>
              <w:spacing w:before="0" w:after="283"/>
              <w:jc w:val="left"/>
              <w:rPr/>
            </w:pPr>
            <w:r>
              <w:rPr/>
              <w:t> </w:t>
            </w:r>
          </w:p>
        </w:tc>
        <w:tc>
          <w:tcPr>
            <w:tcW w:w="657"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vAlign w:val="center"/>
          </w:tcPr>
          <w:p>
            <w:pPr>
              <w:pStyle w:val="TableContents"/>
              <w:bidi w:val="0"/>
              <w:spacing w:before="0" w:after="283"/>
              <w:jc w:val="left"/>
              <w:rPr/>
            </w:pPr>
            <w:r>
              <w:rPr/>
              <w:t> </w:t>
            </w:r>
          </w:p>
        </w:tc>
        <w:tc>
          <w:tcPr>
            <w:tcW w:w="741"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pPr>
            <w:r>
              <w:rPr/>
              <w:t> </w:t>
            </w:r>
          </w:p>
        </w:tc>
        <w:tc>
          <w:tcPr>
            <w:tcW w:w="144"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2287" w:type="dxa"/>
            <w:tcBorders>
              <w:bottom w:val="single" w:sz="8" w:space="0" w:color="000000"/>
            </w:tcBorders>
            <w:vAlign w:val="center"/>
          </w:tcPr>
          <w:p>
            <w:pPr>
              <w:pStyle w:val="TableContents"/>
              <w:bidi w:val="0"/>
              <w:spacing w:before="0" w:after="283"/>
              <w:jc w:val="left"/>
              <w:rPr/>
            </w:pPr>
            <w:r>
              <w:rPr/>
              <w:t>Balance as of January 1, 2024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b/>
              </w:rPr>
            </w:pPr>
            <w:r>
              <w:rPr>
                <w:b/>
              </w:rPr>
              <w:t>199,794</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3" w:type="dxa"/>
            <w:tcBorders>
              <w:bottom w:val="single" w:sz="8" w:space="0" w:color="000000"/>
            </w:tcBorders>
            <w:vAlign w:val="center"/>
          </w:tcPr>
          <w:p>
            <w:pPr>
              <w:pStyle w:val="TableContents"/>
              <w:bidi w:val="0"/>
              <w:spacing w:before="0" w:after="283"/>
              <w:jc w:val="left"/>
              <w:rPr/>
            </w:pPr>
            <w:r>
              <w:rPr/>
              <w:t> </w:t>
            </w:r>
          </w:p>
        </w:tc>
        <w:tc>
          <w:tcPr>
            <w:tcW w:w="657"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3" w:type="dxa"/>
            <w:tcBorders>
              <w:bottom w:val="single" w:sz="8" w:space="0" w:color="000000"/>
            </w:tcBorders>
            <w:vAlign w:val="center"/>
          </w:tcPr>
          <w:p>
            <w:pPr>
              <w:pStyle w:val="TableContents"/>
              <w:bidi w:val="0"/>
              <w:spacing w:before="0" w:after="283"/>
              <w:jc w:val="left"/>
              <w:rPr/>
            </w:pPr>
            <w:r>
              <w:rPr/>
              <w:t> </w:t>
            </w:r>
          </w:p>
        </w:tc>
        <w:tc>
          <w:tcPr>
            <w:tcW w:w="741" w:type="dxa"/>
            <w:tcBorders>
              <w:bottom w:val="single" w:sz="8" w:space="0" w:color="000000"/>
            </w:tcBorders>
            <w:vAlign w:val="center"/>
          </w:tcPr>
          <w:p>
            <w:pPr>
              <w:pStyle w:val="TableContents"/>
              <w:bidi w:val="0"/>
              <w:spacing w:before="0" w:after="283"/>
              <w:jc w:val="right"/>
              <w:rPr>
                <w:b/>
              </w:rPr>
            </w:pPr>
            <w:r>
              <w:rPr>
                <w:b/>
              </w:rPr>
              <w:t>424</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2" w:type="dxa"/>
            <w:tcBorders>
              <w:bottom w:val="single" w:sz="8" w:space="0" w:color="000000"/>
            </w:tcBorders>
            <w:vAlign w:val="center"/>
          </w:tcPr>
          <w:p>
            <w:pPr>
              <w:pStyle w:val="TableContents"/>
              <w:bidi w:val="0"/>
              <w:spacing w:before="0" w:after="283"/>
              <w:jc w:val="left"/>
              <w:rPr/>
            </w:pPr>
            <w:r>
              <w:rPr/>
              <w:t> </w:t>
            </w:r>
          </w:p>
        </w:tc>
        <w:tc>
          <w:tcPr>
            <w:tcW w:w="1123" w:type="dxa"/>
            <w:tcBorders>
              <w:bottom w:val="single" w:sz="8" w:space="0" w:color="000000"/>
            </w:tcBorders>
            <w:vAlign w:val="center"/>
          </w:tcPr>
          <w:p>
            <w:pPr>
              <w:pStyle w:val="TableContents"/>
              <w:bidi w:val="0"/>
              <w:spacing w:before="0" w:after="283"/>
              <w:jc w:val="right"/>
              <w:rPr>
                <w:b/>
              </w:rPr>
            </w:pPr>
            <w:r>
              <w:rPr>
                <w:b/>
              </w:rPr>
              <w:t>25,656</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17" w:type="dxa"/>
            <w:tcBorders>
              <w:bottom w:val="single" w:sz="8" w:space="0" w:color="000000"/>
            </w:tcBorders>
            <w:vAlign w:val="center"/>
          </w:tcPr>
          <w:p>
            <w:pPr>
              <w:pStyle w:val="TableContents"/>
              <w:bidi w:val="0"/>
              <w:spacing w:before="0" w:after="283"/>
              <w:jc w:val="left"/>
              <w:rPr/>
            </w:pPr>
            <w:r>
              <w:rPr/>
              <w:t> </w:t>
            </w:r>
          </w:p>
        </w:tc>
        <w:tc>
          <w:tcPr>
            <w:tcW w:w="773" w:type="dxa"/>
            <w:tcBorders>
              <w:bottom w:val="single" w:sz="8" w:space="0" w:color="000000"/>
            </w:tcBorders>
            <w:vAlign w:val="center"/>
          </w:tcPr>
          <w:p>
            <w:pPr>
              <w:pStyle w:val="TableContents"/>
              <w:bidi w:val="0"/>
              <w:spacing w:before="0" w:after="283"/>
              <w:jc w:val="right"/>
              <w:rPr>
                <w:b/>
              </w:rPr>
            </w:pPr>
            <w:r>
              <w:rPr>
                <w:b/>
              </w:rPr>
              <w:t>647</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b/>
              </w:rPr>
            </w:pPr>
            <w:r>
              <w:rPr>
                <w:b/>
              </w:rPr>
              <w:t>226,521</w:t>
            </w:r>
          </w:p>
        </w:tc>
        <w:tc>
          <w:tcPr>
            <w:tcW w:w="144" w:type="dxa"/>
            <w:tcBorders>
              <w:bottom w:val="single" w:sz="8" w:space="0" w:color="000000"/>
            </w:tcBorders>
            <w:vAlign w:val="center"/>
          </w:tcPr>
          <w:p>
            <w:pPr>
              <w:pStyle w:val="TableContents"/>
              <w:bidi w:val="0"/>
              <w:spacing w:before="0" w:after="283"/>
              <w:ind w:left="0" w:right="0" w:hanging="180"/>
              <w:jc w:val="left"/>
              <w:rPr/>
            </w:pPr>
            <w:r>
              <w:rPr/>
              <w:t> </w:t>
            </w:r>
          </w:p>
        </w:tc>
      </w:tr>
      <w:tr>
        <w:trPr/>
        <w:tc>
          <w:tcPr>
            <w:tcW w:w="2287" w:type="dxa"/>
            <w:tcBorders/>
            <w:shd w:fill="CCEEFF" w:val="clear"/>
            <w:tcMar>
              <w:bottom w:w="0" w:type="dxa"/>
            </w:tcMar>
            <w:vAlign w:val="center"/>
          </w:tcPr>
          <w:p>
            <w:pPr>
              <w:pStyle w:val="TableContents"/>
              <w:bidi w:val="0"/>
              <w:spacing w:before="0" w:after="283"/>
              <w:jc w:val="left"/>
              <w:rPr/>
            </w:pPr>
            <w:r>
              <w:rPr/>
              <w:t>Depreciation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29, 31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141,219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65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41" w:type="dxa"/>
            <w:tcBorders/>
            <w:shd w:fill="CCEEFF" w:val="clear"/>
            <w:tcMar>
              <w:bottom w:w="0" w:type="dxa"/>
            </w:tcMar>
            <w:vAlign w:val="center"/>
          </w:tcPr>
          <w:p>
            <w:pPr>
              <w:pStyle w:val="TableContents"/>
              <w:bidi w:val="0"/>
              <w:spacing w:before="0" w:after="283"/>
              <w:jc w:val="right"/>
              <w:rPr>
                <w:b/>
              </w:rPr>
            </w:pPr>
            <w:r>
              <w:rPr>
                <w:b/>
              </w:rPr>
              <w:t>423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b/>
              </w:rPr>
            </w:pPr>
            <w:r>
              <w:rPr>
                <w:b/>
              </w:rPr>
              <w:t>4,166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b/>
              </w:rPr>
            </w:pPr>
            <w:r>
              <w:rPr>
                <w:b/>
              </w:rPr>
              <w:t>222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146,030</w:t>
            </w:r>
          </w:p>
        </w:tc>
        <w:tc>
          <w:tcPr>
            <w:tcW w:w="144"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287" w:type="dxa"/>
            <w:tcBorders/>
            <w:tcMar>
              <w:bottom w:w="0" w:type="dxa"/>
            </w:tcMar>
            <w:vAlign w:val="center"/>
          </w:tcPr>
          <w:p>
            <w:pPr>
              <w:pStyle w:val="TableContents"/>
              <w:bidi w:val="0"/>
              <w:spacing w:before="0" w:after="283"/>
              <w:jc w:val="left"/>
              <w:rPr/>
            </w:pPr>
            <w:r>
              <w:rPr/>
              <w:t>Sales tax recovery - depreciation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5" w:type="dxa"/>
            <w:tcBorders/>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29, 31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(8,624</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657"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41" w:type="dxa"/>
            <w:tcBorders/>
            <w:tcMar>
              <w:bottom w:w="0" w:type="dxa"/>
            </w:tcMar>
            <w:vAlign w:val="center"/>
          </w:tcPr>
          <w:p>
            <w:pPr>
              <w:pStyle w:val="TableContents"/>
              <w:bidi w:val="0"/>
              <w:spacing w:before="0" w:after="283"/>
              <w:jc w:val="right"/>
              <w:rPr>
                <w:b/>
              </w:rPr>
            </w:pPr>
            <w:r>
              <w:rPr>
                <w:b/>
              </w:rPr>
              <w:t>(28</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before="0" w:after="283"/>
              <w:jc w:val="right"/>
              <w:rPr>
                <w:b/>
              </w:rPr>
            </w:pPr>
            <w:r>
              <w:rPr>
                <w:b/>
              </w:rPr>
              <w:t>(104</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773" w:type="dxa"/>
            <w:tcBorders/>
            <w:tcMar>
              <w:bottom w:w="0" w:type="dxa"/>
            </w:tcMar>
            <w:vAlign w:val="center"/>
          </w:tcPr>
          <w:p>
            <w:pPr>
              <w:pStyle w:val="TableContents"/>
              <w:bidi w:val="0"/>
              <w:spacing w:before="0" w:after="283"/>
              <w:jc w:val="right"/>
              <w:rPr>
                <w:b/>
              </w:rPr>
            </w:pPr>
            <w:r>
              <w:rPr>
                <w:b/>
              </w:rPr>
              <w:t>(4</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(8,760</w:t>
            </w:r>
          </w:p>
        </w:tc>
        <w:tc>
          <w:tcPr>
            <w:tcW w:w="144" w:type="dxa"/>
            <w:tcBorders/>
            <w:tcMar>
              <w:bottom w:w="0" w:type="dxa"/>
            </w:tcMar>
            <w:vAlign w:val="center"/>
          </w:tcPr>
          <w:p>
            <w:pPr>
              <w:pStyle w:val="TableContents"/>
              <w:bidi w:val="0"/>
              <w:spacing w:before="0" w:after="283"/>
              <w:ind w:left="0" w:right="0" w:hanging="180"/>
              <w:jc w:val="left"/>
              <w:rPr>
                <w:b/>
              </w:rPr>
            </w:pPr>
            <w:r>
              <w:rPr>
                <w:b/>
              </w:rPr>
              <w:t>)</w:t>
            </w:r>
          </w:p>
        </w:tc>
      </w:tr>
      <w:tr>
        <w:trPr/>
        <w:tc>
          <w:tcPr>
            <w:tcW w:w="2287" w:type="dxa"/>
            <w:tcBorders/>
            <w:shd w:fill="CCEEFF" w:val="clear"/>
            <w:tcMar>
              <w:bottom w:w="0" w:type="dxa"/>
            </w:tcMar>
            <w:vAlign w:val="center"/>
          </w:tcPr>
          <w:p>
            <w:pPr>
              <w:pStyle w:val="TableContents"/>
              <w:bidi w:val="0"/>
              <w:spacing w:before="0" w:after="283"/>
              <w:jc w:val="left"/>
              <w:rPr/>
            </w:pPr>
            <w:r>
              <w:rPr/>
              <w:t>Dispositions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(62</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65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4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b/>
              </w:rPr>
            </w:pPr>
            <w:r>
              <w:rPr>
                <w:b/>
              </w:rPr>
              <w:t>(423</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b/>
              </w:rPr>
            </w:pPr>
            <w:r>
              <w:rPr>
                <w:b/>
              </w:rPr>
              <w:t>(16</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b/>
              </w:rPr>
            </w:pPr>
            <w:r>
              <w:rPr>
                <w:b/>
              </w:rPr>
              <w:t>(501</w:t>
            </w:r>
          </w:p>
        </w:tc>
        <w:tc>
          <w:tcPr>
            <w:tcW w:w="144" w:type="dxa"/>
            <w:tcBorders/>
            <w:shd w:fill="CCEEFF" w:val="clear"/>
            <w:tcMar>
              <w:bottom w:w="0" w:type="dxa"/>
            </w:tcMar>
            <w:vAlign w:val="center"/>
          </w:tcPr>
          <w:p>
            <w:pPr>
              <w:pStyle w:val="TableContents"/>
              <w:bidi w:val="0"/>
              <w:spacing w:before="0" w:after="283"/>
              <w:ind w:left="0" w:right="0" w:hanging="180"/>
              <w:jc w:val="left"/>
              <w:rPr>
                <w:b/>
              </w:rPr>
            </w:pPr>
            <w:r>
              <w:rPr>
                <w:b/>
              </w:rPr>
              <w:t>)</w:t>
            </w:r>
          </w:p>
        </w:tc>
      </w:tr>
      <w:tr>
        <w:trPr/>
        <w:tc>
          <w:tcPr>
            <w:tcW w:w="2287" w:type="dxa"/>
            <w:tcBorders/>
            <w:tcMar>
              <w:bottom w:w="0" w:type="dxa"/>
            </w:tcMar>
            <w:vAlign w:val="center"/>
          </w:tcPr>
          <w:p>
            <w:pPr>
              <w:pStyle w:val="TableContents"/>
              <w:bidi w:val="0"/>
              <w:spacing w:before="0" w:after="283"/>
              <w:jc w:val="left"/>
              <w:rPr/>
            </w:pPr>
            <w:r>
              <w:rPr/>
              <w:t>Transfer to assets held for sale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5" w:type="dxa"/>
            <w:tcBorders/>
            <w:tcMar>
              <w:bottom w:w="0" w:type="dxa"/>
            </w:tcMar>
            <w:vAlign w:val="center"/>
          </w:tcPr>
          <w:p>
            <w:pPr>
              <w:pStyle w:val="TableContents"/>
              <w:bidi w:val="0"/>
              <w:spacing w:before="0" w:after="283"/>
              <w:jc w:val="right"/>
              <w:rPr>
                <w:b/>
              </w:rPr>
            </w:pPr>
            <w:r>
              <w:rPr>
                <w:b/>
              </w:rPr>
              <w:t>10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(197,199</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657"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4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77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b/>
              </w:rPr>
            </w:pPr>
            <w:r>
              <w:rPr>
                <w:b/>
              </w:rPr>
              <w:t>(197,199</w:t>
            </w:r>
          </w:p>
        </w:tc>
        <w:tc>
          <w:tcPr>
            <w:tcW w:w="144" w:type="dxa"/>
            <w:tcBorders/>
            <w:tcMar>
              <w:bottom w:w="0" w:type="dxa"/>
            </w:tcMar>
            <w:vAlign w:val="center"/>
          </w:tcPr>
          <w:p>
            <w:pPr>
              <w:pStyle w:val="TableContents"/>
              <w:bidi w:val="0"/>
              <w:spacing w:before="0" w:after="283"/>
              <w:ind w:left="0" w:right="0" w:hanging="180"/>
              <w:jc w:val="left"/>
              <w:rPr>
                <w:b/>
              </w:rPr>
            </w:pPr>
            <w:r>
              <w:rPr>
                <w:b/>
              </w:rPr>
              <w:t>)</w:t>
            </w:r>
          </w:p>
        </w:tc>
      </w:tr>
      <w:tr>
        <w:trPr/>
        <w:tc>
          <w:tcPr>
            <w:tcW w:w="2287" w:type="dxa"/>
            <w:tcBorders>
              <w:bottom w:val="single" w:sz="8" w:space="0" w:color="000000"/>
            </w:tcBorders>
            <w:shd w:fill="CCEEFF" w:val="clear"/>
            <w:vAlign w:val="center"/>
          </w:tcPr>
          <w:p>
            <w:pPr>
              <w:pStyle w:val="TableContents"/>
              <w:bidi w:val="0"/>
              <w:spacing w:before="0" w:after="283"/>
              <w:jc w:val="left"/>
              <w:rPr/>
            </w:pPr>
            <w:r>
              <w:rPr/>
              <w:t>Impairment on deposits transferred to PPE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b/>
              </w:rPr>
            </w:pPr>
            <w:r>
              <w:rPr>
                <w:b/>
              </w:rPr>
              <w:t>6,750</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vAlign w:val="center"/>
          </w:tcPr>
          <w:p>
            <w:pPr>
              <w:pStyle w:val="TableContents"/>
              <w:bidi w:val="0"/>
              <w:spacing w:before="0" w:after="283"/>
              <w:jc w:val="left"/>
              <w:rPr/>
            </w:pPr>
            <w:r>
              <w:rPr/>
              <w:t> </w:t>
            </w:r>
          </w:p>
        </w:tc>
        <w:tc>
          <w:tcPr>
            <w:tcW w:w="657"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vAlign w:val="center"/>
          </w:tcPr>
          <w:p>
            <w:pPr>
              <w:pStyle w:val="TableContents"/>
              <w:bidi w:val="0"/>
              <w:spacing w:before="0" w:after="283"/>
              <w:jc w:val="left"/>
              <w:rPr/>
            </w:pPr>
            <w:r>
              <w:rPr/>
              <w:t> </w:t>
            </w:r>
          </w:p>
        </w:tc>
        <w:tc>
          <w:tcPr>
            <w:tcW w:w="741"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b/>
              </w:rPr>
            </w:pPr>
            <w:r>
              <w:rPr>
                <w:b/>
              </w:rPr>
              <w:t>82</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b/>
              </w:rPr>
            </w:pPr>
            <w:r>
              <w:rPr>
                <w:b/>
              </w:rPr>
              <w:t>6,832</w:t>
            </w:r>
          </w:p>
        </w:tc>
        <w:tc>
          <w:tcPr>
            <w:tcW w:w="144"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2287" w:type="dxa"/>
            <w:tcBorders>
              <w:bottom w:val="single" w:sz="8" w:space="0" w:color="000000"/>
            </w:tcBorders>
            <w:vAlign w:val="center"/>
          </w:tcPr>
          <w:p>
            <w:pPr>
              <w:pStyle w:val="TableContents"/>
              <w:bidi w:val="0"/>
              <w:spacing w:before="0" w:after="283"/>
              <w:jc w:val="left"/>
              <w:rPr>
                <w:b/>
              </w:rPr>
            </w:pPr>
            <w:r>
              <w:rPr>
                <w:b/>
              </w:rPr>
              <w:t>Balance as of December 31, 2024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b/>
              </w:rPr>
            </w:pPr>
            <w:r>
              <w:rPr>
                <w:b/>
              </w:rPr>
              <w:t>141,878</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3" w:type="dxa"/>
            <w:tcBorders>
              <w:bottom w:val="single" w:sz="8" w:space="0" w:color="000000"/>
            </w:tcBorders>
            <w:vAlign w:val="center"/>
          </w:tcPr>
          <w:p>
            <w:pPr>
              <w:pStyle w:val="TableContents"/>
              <w:bidi w:val="0"/>
              <w:spacing w:before="0" w:after="283"/>
              <w:jc w:val="left"/>
              <w:rPr/>
            </w:pPr>
            <w:r>
              <w:rPr/>
              <w:t> </w:t>
            </w:r>
          </w:p>
        </w:tc>
        <w:tc>
          <w:tcPr>
            <w:tcW w:w="657"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3" w:type="dxa"/>
            <w:tcBorders>
              <w:bottom w:val="single" w:sz="8" w:space="0" w:color="000000"/>
            </w:tcBorders>
            <w:vAlign w:val="center"/>
          </w:tcPr>
          <w:p>
            <w:pPr>
              <w:pStyle w:val="TableContents"/>
              <w:bidi w:val="0"/>
              <w:spacing w:before="0" w:after="283"/>
              <w:jc w:val="left"/>
              <w:rPr/>
            </w:pPr>
            <w:r>
              <w:rPr/>
              <w:t> </w:t>
            </w:r>
          </w:p>
        </w:tc>
        <w:tc>
          <w:tcPr>
            <w:tcW w:w="741" w:type="dxa"/>
            <w:tcBorders>
              <w:bottom w:val="single" w:sz="8" w:space="0" w:color="000000"/>
            </w:tcBorders>
            <w:vAlign w:val="center"/>
          </w:tcPr>
          <w:p>
            <w:pPr>
              <w:pStyle w:val="TableContents"/>
              <w:bidi w:val="0"/>
              <w:spacing w:before="0" w:after="283"/>
              <w:jc w:val="right"/>
              <w:rPr>
                <w:b/>
              </w:rPr>
            </w:pPr>
            <w:r>
              <w:rPr>
                <w:b/>
              </w:rPr>
              <w:t>819</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2" w:type="dxa"/>
            <w:tcBorders>
              <w:bottom w:val="single" w:sz="8" w:space="0" w:color="000000"/>
            </w:tcBorders>
            <w:vAlign w:val="center"/>
          </w:tcPr>
          <w:p>
            <w:pPr>
              <w:pStyle w:val="TableContents"/>
              <w:bidi w:val="0"/>
              <w:spacing w:before="0" w:after="283"/>
              <w:jc w:val="left"/>
              <w:rPr/>
            </w:pPr>
            <w:r>
              <w:rPr/>
              <w:t> </w:t>
            </w:r>
          </w:p>
        </w:tc>
        <w:tc>
          <w:tcPr>
            <w:tcW w:w="1123" w:type="dxa"/>
            <w:tcBorders>
              <w:bottom w:val="single" w:sz="8" w:space="0" w:color="000000"/>
            </w:tcBorders>
            <w:vAlign w:val="center"/>
          </w:tcPr>
          <w:p>
            <w:pPr>
              <w:pStyle w:val="TableContents"/>
              <w:bidi w:val="0"/>
              <w:spacing w:before="0" w:after="283"/>
              <w:jc w:val="right"/>
              <w:rPr>
                <w:b/>
              </w:rPr>
            </w:pPr>
            <w:r>
              <w:rPr>
                <w:b/>
              </w:rPr>
              <w:t>29,377</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17" w:type="dxa"/>
            <w:tcBorders>
              <w:bottom w:val="single" w:sz="8" w:space="0" w:color="000000"/>
            </w:tcBorders>
            <w:vAlign w:val="center"/>
          </w:tcPr>
          <w:p>
            <w:pPr>
              <w:pStyle w:val="TableContents"/>
              <w:bidi w:val="0"/>
              <w:spacing w:before="0" w:after="283"/>
              <w:jc w:val="left"/>
              <w:rPr/>
            </w:pPr>
            <w:r>
              <w:rPr/>
              <w:t> </w:t>
            </w:r>
          </w:p>
        </w:tc>
        <w:tc>
          <w:tcPr>
            <w:tcW w:w="773" w:type="dxa"/>
            <w:tcBorders>
              <w:bottom w:val="single" w:sz="8" w:space="0" w:color="000000"/>
            </w:tcBorders>
            <w:vAlign w:val="center"/>
          </w:tcPr>
          <w:p>
            <w:pPr>
              <w:pStyle w:val="TableContents"/>
              <w:bidi w:val="0"/>
              <w:spacing w:before="0" w:after="283"/>
              <w:jc w:val="right"/>
              <w:rPr>
                <w:b/>
              </w:rPr>
            </w:pPr>
            <w:r>
              <w:rPr>
                <w:b/>
              </w:rPr>
              <w:t>849</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right"/>
              <w:rPr>
                <w:b/>
              </w:rPr>
            </w:pPr>
            <w:r>
              <w:rPr>
                <w:b/>
              </w:rPr>
              <w:t>172,923</w:t>
            </w:r>
          </w:p>
        </w:tc>
        <w:tc>
          <w:tcPr>
            <w:tcW w:w="144" w:type="dxa"/>
            <w:tcBorders>
              <w:bottom w:val="single" w:sz="8" w:space="0" w:color="000000"/>
            </w:tcBorders>
            <w:vAlign w:val="center"/>
          </w:tcPr>
          <w:p>
            <w:pPr>
              <w:pStyle w:val="TableContents"/>
              <w:bidi w:val="0"/>
              <w:spacing w:before="0" w:after="283"/>
              <w:ind w:left="0" w:right="0" w:hanging="180"/>
              <w:jc w:val="left"/>
              <w:rPr/>
            </w:pPr>
            <w:r>
              <w:rPr/>
              <w:t> </w:t>
            </w:r>
          </w:p>
        </w:tc>
      </w:tr>
      <w:tr>
        <w:trPr/>
        <w:tc>
          <w:tcPr>
            <w:tcW w:w="2287"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vAlign w:val="center"/>
          </w:tcPr>
          <w:p>
            <w:pPr>
              <w:pStyle w:val="TableContents"/>
              <w:bidi w:val="0"/>
              <w:spacing w:before="0" w:after="283"/>
              <w:jc w:val="left"/>
              <w:rPr/>
            </w:pPr>
            <w:r>
              <w:rPr/>
              <w:t> </w:t>
            </w:r>
          </w:p>
        </w:tc>
        <w:tc>
          <w:tcPr>
            <w:tcW w:w="657"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vAlign w:val="center"/>
          </w:tcPr>
          <w:p>
            <w:pPr>
              <w:pStyle w:val="TableContents"/>
              <w:bidi w:val="0"/>
              <w:spacing w:before="0" w:after="283"/>
              <w:jc w:val="left"/>
              <w:rPr/>
            </w:pPr>
            <w:r>
              <w:rPr/>
              <w:t> </w:t>
            </w:r>
          </w:p>
        </w:tc>
        <w:tc>
          <w:tcPr>
            <w:tcW w:w="741"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5" w:type="dxa"/>
            <w:tcBorders>
              <w:bottom w:val="single" w:sz="8" w:space="0" w:color="000000"/>
            </w:tcBorders>
            <w:shd w:fill="CCEEFF" w:val="clear"/>
            <w:vAlign w:val="center"/>
          </w:tcPr>
          <w:p>
            <w:pPr>
              <w:pStyle w:val="TableContents"/>
              <w:bidi w:val="0"/>
              <w:spacing w:before="0" w:after="283"/>
              <w:jc w:val="right"/>
              <w:rPr/>
            </w:pPr>
            <w:r>
              <w:rPr/>
              <w:t> </w:t>
            </w:r>
          </w:p>
        </w:tc>
        <w:tc>
          <w:tcPr>
            <w:tcW w:w="144"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2287" w:type="dxa"/>
            <w:tcBorders>
              <w:bottom w:val="single" w:sz="12" w:space="0" w:color="000000"/>
            </w:tcBorders>
            <w:vAlign w:val="center"/>
          </w:tcPr>
          <w:p>
            <w:pPr>
              <w:pStyle w:val="TableContents"/>
              <w:bidi w:val="0"/>
              <w:spacing w:before="0" w:after="283"/>
              <w:jc w:val="left"/>
              <w:rPr>
                <w:b/>
              </w:rPr>
            </w:pPr>
            <w:r>
              <w:rPr>
                <w:b/>
              </w:rPr>
              <w:t>Net book value as of December 31, 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35"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b/>
              </w:rPr>
            </w:pPr>
            <w:r>
              <w:rPr>
                <w:b/>
              </w:rPr>
              <w:t>283,569</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03" w:type="dxa"/>
            <w:tcBorders>
              <w:bottom w:val="single" w:sz="12" w:space="0" w:color="000000"/>
            </w:tcBorders>
            <w:vAlign w:val="center"/>
          </w:tcPr>
          <w:p>
            <w:pPr>
              <w:pStyle w:val="TableContents"/>
              <w:bidi w:val="0"/>
              <w:spacing w:before="0" w:after="283"/>
              <w:jc w:val="left"/>
              <w:rPr/>
            </w:pPr>
            <w:r>
              <w:rPr/>
              <w:t> </w:t>
            </w:r>
          </w:p>
        </w:tc>
        <w:tc>
          <w:tcPr>
            <w:tcW w:w="657" w:type="dxa"/>
            <w:tcBorders>
              <w:bottom w:val="single" w:sz="12" w:space="0" w:color="000000"/>
            </w:tcBorders>
            <w:vAlign w:val="center"/>
          </w:tcPr>
          <w:p>
            <w:pPr>
              <w:pStyle w:val="TableContents"/>
              <w:bidi w:val="0"/>
              <w:spacing w:before="0" w:after="0"/>
              <w:jc w:val="right"/>
              <w:rPr/>
            </w:pPr>
            <w:r>
              <w:rPr/>
              <w:t>—</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3" w:type="dxa"/>
            <w:tcBorders>
              <w:bottom w:val="single" w:sz="12" w:space="0" w:color="000000"/>
            </w:tcBorders>
            <w:vAlign w:val="center"/>
          </w:tcPr>
          <w:p>
            <w:pPr>
              <w:pStyle w:val="TableContents"/>
              <w:bidi w:val="0"/>
              <w:spacing w:before="0" w:after="283"/>
              <w:jc w:val="left"/>
              <w:rPr/>
            </w:pPr>
            <w:r>
              <w:rPr/>
              <w:t> </w:t>
            </w:r>
          </w:p>
        </w:tc>
        <w:tc>
          <w:tcPr>
            <w:tcW w:w="741" w:type="dxa"/>
            <w:tcBorders>
              <w:bottom w:val="single" w:sz="12" w:space="0" w:color="000000"/>
            </w:tcBorders>
            <w:vAlign w:val="center"/>
          </w:tcPr>
          <w:p>
            <w:pPr>
              <w:pStyle w:val="TableContents"/>
              <w:bidi w:val="0"/>
              <w:spacing w:before="0" w:after="283"/>
              <w:jc w:val="right"/>
              <w:rPr>
                <w:b/>
              </w:rPr>
            </w:pPr>
            <w:r>
              <w:rPr>
                <w:b/>
              </w:rPr>
              <w:t>33,607</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2" w:type="dxa"/>
            <w:tcBorders>
              <w:bottom w:val="single" w:sz="12" w:space="0" w:color="000000"/>
            </w:tcBorders>
            <w:vAlign w:val="center"/>
          </w:tcPr>
          <w:p>
            <w:pPr>
              <w:pStyle w:val="TableContents"/>
              <w:bidi w:val="0"/>
              <w:spacing w:before="0" w:after="283"/>
              <w:jc w:val="left"/>
              <w:rPr/>
            </w:pPr>
            <w:r>
              <w:rPr/>
              <w:t> </w:t>
            </w:r>
          </w:p>
        </w:tc>
        <w:tc>
          <w:tcPr>
            <w:tcW w:w="1123" w:type="dxa"/>
            <w:tcBorders>
              <w:bottom w:val="single" w:sz="12" w:space="0" w:color="000000"/>
            </w:tcBorders>
            <w:vAlign w:val="center"/>
          </w:tcPr>
          <w:p>
            <w:pPr>
              <w:pStyle w:val="TableContents"/>
              <w:bidi w:val="0"/>
              <w:spacing w:before="0" w:after="283"/>
              <w:jc w:val="right"/>
              <w:rPr>
                <w:b/>
              </w:rPr>
            </w:pPr>
            <w:r>
              <w:rPr>
                <w:b/>
              </w:rPr>
              <w:t>30,450</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7" w:type="dxa"/>
            <w:tcBorders>
              <w:bottom w:val="single" w:sz="12" w:space="0" w:color="000000"/>
            </w:tcBorders>
            <w:vAlign w:val="center"/>
          </w:tcPr>
          <w:p>
            <w:pPr>
              <w:pStyle w:val="TableContents"/>
              <w:bidi w:val="0"/>
              <w:spacing w:before="0" w:after="283"/>
              <w:jc w:val="left"/>
              <w:rPr/>
            </w:pPr>
            <w:r>
              <w:rPr/>
              <w:t> </w:t>
            </w:r>
          </w:p>
        </w:tc>
        <w:tc>
          <w:tcPr>
            <w:tcW w:w="773" w:type="dxa"/>
            <w:tcBorders>
              <w:bottom w:val="single" w:sz="12" w:space="0" w:color="000000"/>
            </w:tcBorders>
            <w:vAlign w:val="center"/>
          </w:tcPr>
          <w:p>
            <w:pPr>
              <w:pStyle w:val="TableContents"/>
              <w:bidi w:val="0"/>
              <w:spacing w:before="0" w:after="283"/>
              <w:jc w:val="right"/>
              <w:rPr>
                <w:b/>
              </w:rPr>
            </w:pPr>
            <w:r>
              <w:rPr>
                <w:b/>
              </w:rPr>
              <w:t>899</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b/>
              </w:rPr>
            </w:pPr>
            <w:r>
              <w:rPr>
                <w:b/>
              </w:rPr>
              <w:t>348,525</w:t>
            </w:r>
          </w:p>
        </w:tc>
        <w:tc>
          <w:tcPr>
            <w:tcW w:w="144" w:type="dxa"/>
            <w:tcBorders>
              <w:bottom w:val="single" w:sz="12" w:space="0" w:color="000000"/>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33"/>
        <w:gridCol w:w="90"/>
        <w:gridCol w:w="90"/>
        <w:gridCol w:w="536"/>
        <w:gridCol w:w="90"/>
        <w:gridCol w:w="90"/>
        <w:gridCol w:w="90"/>
        <w:gridCol w:w="830"/>
        <w:gridCol w:w="125"/>
        <w:gridCol w:w="90"/>
        <w:gridCol w:w="102"/>
        <w:gridCol w:w="758"/>
        <w:gridCol w:w="125"/>
        <w:gridCol w:w="90"/>
        <w:gridCol w:w="109"/>
        <w:gridCol w:w="726"/>
        <w:gridCol w:w="90"/>
        <w:gridCol w:w="90"/>
        <w:gridCol w:w="142"/>
        <w:gridCol w:w="1123"/>
        <w:gridCol w:w="125"/>
        <w:gridCol w:w="90"/>
        <w:gridCol w:w="117"/>
        <w:gridCol w:w="773"/>
        <w:gridCol w:w="125"/>
        <w:gridCol w:w="90"/>
        <w:gridCol w:w="90"/>
        <w:gridCol w:w="830"/>
        <w:gridCol w:w="146"/>
      </w:tblGrid>
      <w:tr>
        <w:trPr/>
        <w:tc>
          <w:tcPr>
            <w:tcW w:w="2433" w:type="dxa"/>
            <w:tcBorders>
              <w:bottom w:val="single" w:sz="8" w:space="0" w:color="000000"/>
            </w:tcBorders>
            <w:vAlign w:val="center"/>
          </w:tcPr>
          <w:p>
            <w:pPr>
              <w:pStyle w:val="TableContents"/>
              <w:bidi w:val="0"/>
              <w:spacing w:before="0" w:after="283"/>
              <w:ind w:left="0" w:right="0" w:hanging="180"/>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626" w:type="dxa"/>
            <w:gridSpan w:val="2"/>
            <w:tcBorders>
              <w:bottom w:val="single" w:sz="8" w:space="0" w:color="000000"/>
            </w:tcBorders>
            <w:vAlign w:val="center"/>
          </w:tcPr>
          <w:p>
            <w:pPr>
              <w:pStyle w:val="TableContents"/>
              <w:bidi w:val="0"/>
              <w:spacing w:before="0" w:after="283"/>
              <w:jc w:val="right"/>
              <w:rPr>
                <w:b/>
              </w:rPr>
            </w:pPr>
            <w:r>
              <w:rPr>
                <w:b/>
              </w:rPr>
              <w:t>Notes</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20" w:type="dxa"/>
            <w:gridSpan w:val="2"/>
            <w:tcBorders>
              <w:bottom w:val="single" w:sz="8" w:space="0" w:color="000000"/>
            </w:tcBorders>
            <w:vAlign w:val="center"/>
          </w:tcPr>
          <w:p>
            <w:pPr>
              <w:pStyle w:val="TableContents"/>
              <w:bidi w:val="0"/>
              <w:spacing w:before="0" w:after="283"/>
              <w:jc w:val="right"/>
              <w:rPr>
                <w:b/>
              </w:rPr>
            </w:pPr>
            <w:r>
              <w:rPr>
                <w:b/>
              </w:rPr>
              <w:t>BVVE</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60" w:type="dxa"/>
            <w:gridSpan w:val="2"/>
            <w:tcBorders>
              <w:bottom w:val="single" w:sz="8" w:space="0" w:color="000000"/>
            </w:tcBorders>
            <w:vAlign w:val="center"/>
          </w:tcPr>
          <w:p>
            <w:pPr>
              <w:pStyle w:val="TableContents"/>
              <w:bidi w:val="0"/>
              <w:spacing w:before="0" w:after="283"/>
              <w:jc w:val="right"/>
              <w:rPr>
                <w:b/>
              </w:rPr>
            </w:pPr>
            <w:r>
              <w:rPr>
                <w:b/>
              </w:rPr>
              <w:t>Mineral</w:t>
              <w:br/>
              <w:t>assets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35"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 and</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buildings</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265"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Leasehold</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improvements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90" w:type="dxa"/>
            <w:gridSpan w:val="2"/>
            <w:tcBorders>
              <w:bottom w:val="single" w:sz="8" w:space="0" w:color="000000"/>
            </w:tcBorders>
            <w:vAlign w:val="center"/>
          </w:tcPr>
          <w:p>
            <w:pPr>
              <w:pStyle w:val="TableContents"/>
              <w:bidi w:val="0"/>
              <w:spacing w:before="0" w:after="283"/>
              <w:jc w:val="right"/>
              <w:rPr>
                <w:b/>
              </w:rPr>
            </w:pPr>
            <w:r>
              <w:rPr>
                <w:b/>
              </w:rPr>
              <w:t>Vehicles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20" w:type="dxa"/>
            <w:gridSpan w:val="2"/>
            <w:tcBorders>
              <w:bottom w:val="single" w:sz="8" w:space="0" w:color="000000"/>
            </w:tcBorders>
            <w:vAlign w:val="center"/>
          </w:tcPr>
          <w:p>
            <w:pPr>
              <w:pStyle w:val="TableContents"/>
              <w:bidi w:val="0"/>
              <w:spacing w:before="0" w:after="283"/>
              <w:jc w:val="right"/>
              <w:rPr>
                <w:b/>
              </w:rPr>
            </w:pPr>
            <w:r>
              <w:rPr>
                <w:b/>
              </w:rPr>
              <w:t>Total</w:t>
            </w:r>
          </w:p>
        </w:tc>
        <w:tc>
          <w:tcPr>
            <w:tcW w:w="146" w:type="dxa"/>
            <w:tcBorders>
              <w:bottom w:val="single" w:sz="8" w:space="0" w:color="000000"/>
            </w:tcBorders>
            <w:vAlign w:val="center"/>
          </w:tcPr>
          <w:p>
            <w:pPr>
              <w:pStyle w:val="TableContents"/>
              <w:bidi w:val="0"/>
              <w:spacing w:before="0" w:after="283"/>
              <w:ind w:left="0" w:right="0" w:hanging="180"/>
              <w:jc w:val="right"/>
              <w:rPr/>
            </w:pPr>
            <w:r>
              <w:rPr/>
              <w:t> </w:t>
            </w:r>
          </w:p>
        </w:tc>
      </w:tr>
      <w:tr>
        <w:trPr/>
        <w:tc>
          <w:tcPr>
            <w:tcW w:w="2433" w:type="dxa"/>
            <w:tcBorders>
              <w:bottom w:val="single" w:sz="8" w:space="0" w:color="000000"/>
            </w:tcBorders>
            <w:vAlign w:val="center"/>
          </w:tcPr>
          <w:p>
            <w:pPr>
              <w:pStyle w:val="TableContents"/>
              <w:bidi w:val="0"/>
              <w:spacing w:before="0" w:after="283"/>
              <w:jc w:val="left"/>
              <w:rPr>
                <w:b/>
              </w:rPr>
            </w:pPr>
            <w:r>
              <w:rPr>
                <w:b/>
              </w:rPr>
              <w:t>Cost</w:t>
            </w:r>
          </w:p>
        </w:tc>
        <w:tc>
          <w:tcPr>
            <w:tcW w:w="90" w:type="dxa"/>
            <w:tcBorders>
              <w:bottom w:val="single" w:sz="8" w:space="0" w:color="000000"/>
            </w:tcBorders>
            <w:vAlign w:val="center"/>
          </w:tcPr>
          <w:p>
            <w:pPr>
              <w:pStyle w:val="TableContents"/>
              <w:bidi w:val="0"/>
              <w:spacing w:before="0" w:after="283"/>
              <w:jc w:val="left"/>
              <w:rPr/>
            </w:pPr>
            <w:r>
              <w:rPr/>
              <w:t> </w:t>
            </w:r>
          </w:p>
        </w:tc>
        <w:tc>
          <w:tcPr>
            <w:tcW w:w="626" w:type="dxa"/>
            <w:gridSpan w:val="2"/>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righ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righ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5" w:type="dxa"/>
            <w:gridSpan w:val="2"/>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65" w:type="dxa"/>
            <w:gridSpan w:val="2"/>
            <w:tcBorders>
              <w:bottom w:val="single" w:sz="8" w:space="0" w:color="000000"/>
            </w:tcBorders>
            <w:vAlign w:val="center"/>
          </w:tcPr>
          <w:p>
            <w:pPr>
              <w:pStyle w:val="TableContents"/>
              <w:bidi w:val="0"/>
              <w:spacing w:before="0" w:after="283"/>
              <w:jc w:val="righ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90" w:type="dxa"/>
            <w:gridSpan w:val="2"/>
            <w:tcBorders>
              <w:bottom w:val="single" w:sz="8" w:space="0" w:color="000000"/>
            </w:tcBorders>
            <w:vAlign w:val="center"/>
          </w:tcPr>
          <w:p>
            <w:pPr>
              <w:pStyle w:val="TableContents"/>
              <w:bidi w:val="0"/>
              <w:spacing w:before="0" w:after="283"/>
              <w:jc w:val="right"/>
              <w:rPr/>
            </w:pPr>
            <w:r>
              <w:rPr/>
              <w:t> </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right"/>
              <w:rPr/>
            </w:pPr>
            <w:r>
              <w:rPr/>
              <w:t> </w:t>
            </w:r>
          </w:p>
        </w:tc>
        <w:tc>
          <w:tcPr>
            <w:tcW w:w="146" w:type="dxa"/>
            <w:tcBorders>
              <w:bottom w:val="single" w:sz="8" w:space="0" w:color="000000"/>
            </w:tcBorders>
            <w:vAlign w:val="center"/>
          </w:tcPr>
          <w:p>
            <w:pPr>
              <w:pStyle w:val="TableContents"/>
              <w:bidi w:val="0"/>
              <w:spacing w:before="0" w:after="283"/>
              <w:ind w:left="0" w:right="0" w:hanging="180"/>
              <w:jc w:val="left"/>
              <w:rPr/>
            </w:pPr>
            <w:r>
              <w:rPr/>
              <w:t> </w:t>
            </w:r>
          </w:p>
        </w:tc>
      </w:tr>
      <w:tr>
        <w:trPr/>
        <w:tc>
          <w:tcPr>
            <w:tcW w:w="2433" w:type="dxa"/>
            <w:tcBorders>
              <w:bottom w:val="single" w:sz="8" w:space="0" w:color="000000"/>
            </w:tcBorders>
            <w:shd w:fill="CCEEFF" w:val="clear"/>
            <w:vAlign w:val="center"/>
          </w:tcPr>
          <w:p>
            <w:pPr>
              <w:pStyle w:val="TableContents"/>
              <w:bidi w:val="0"/>
              <w:spacing w:before="0" w:after="283"/>
              <w:jc w:val="left"/>
              <w:rPr/>
            </w:pPr>
            <w:r>
              <w:rPr/>
              <w:t>Balance as of January 1, 2023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6"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308,205</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758" w:type="dxa"/>
            <w:tcBorders>
              <w:bottom w:val="single" w:sz="8" w:space="0" w:color="000000"/>
            </w:tcBorders>
            <w:shd w:fill="CCEEFF" w:val="clear"/>
            <w:vAlign w:val="center"/>
          </w:tcPr>
          <w:p>
            <w:pPr>
              <w:pStyle w:val="TableContents"/>
              <w:bidi w:val="0"/>
              <w:spacing w:before="0" w:after="283"/>
              <w:jc w:val="right"/>
              <w:rPr/>
            </w:pPr>
            <w:r>
              <w:rPr/>
              <w:t>9,000</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726" w:type="dxa"/>
            <w:tcBorders>
              <w:bottom w:val="single" w:sz="8" w:space="0" w:color="000000"/>
            </w:tcBorders>
            <w:shd w:fill="CCEEFF" w:val="clear"/>
            <w:vAlign w:val="center"/>
          </w:tcPr>
          <w:p>
            <w:pPr>
              <w:pStyle w:val="TableContents"/>
              <w:bidi w:val="0"/>
              <w:spacing w:before="0" w:after="283"/>
              <w:jc w:val="right"/>
              <w:rPr/>
            </w:pPr>
            <w:r>
              <w:rPr/>
              <w:t>4,392</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45,278</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1,082</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367,957</w:t>
            </w:r>
          </w:p>
        </w:tc>
        <w:tc>
          <w:tcPr>
            <w:tcW w:w="146"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2433" w:type="dxa"/>
            <w:tcBorders/>
            <w:tcMar>
              <w:bottom w:w="0" w:type="dxa"/>
            </w:tcMar>
            <w:vAlign w:val="center"/>
          </w:tcPr>
          <w:p>
            <w:pPr>
              <w:pStyle w:val="TableContents"/>
              <w:bidi w:val="0"/>
              <w:spacing w:before="0" w:after="283"/>
              <w:jc w:val="left"/>
              <w:rPr/>
            </w:pPr>
            <w:r>
              <w:rPr/>
              <w:t>Additions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63,598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726" w:type="dxa"/>
            <w:tcBorders/>
            <w:tcMar>
              <w:bottom w:w="0" w:type="dxa"/>
            </w:tcMar>
            <w:vAlign w:val="center"/>
          </w:tcPr>
          <w:p>
            <w:pPr>
              <w:pStyle w:val="TableContents"/>
              <w:bidi w:val="0"/>
              <w:spacing w:before="0" w:after="283"/>
              <w:jc w:val="right"/>
              <w:rPr/>
            </w:pPr>
            <w:r>
              <w:rPr/>
              <w:t>1,348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before="0" w:after="283"/>
              <w:jc w:val="right"/>
              <w:rPr/>
            </w:pPr>
            <w:r>
              <w:rPr/>
              <w:t>5,924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773" w:type="dxa"/>
            <w:tcBorders/>
            <w:tcMar>
              <w:bottom w:w="0" w:type="dxa"/>
            </w:tcMar>
            <w:vAlign w:val="center"/>
          </w:tcPr>
          <w:p>
            <w:pPr>
              <w:pStyle w:val="TableContents"/>
              <w:bidi w:val="0"/>
              <w:spacing w:before="0" w:after="283"/>
              <w:jc w:val="right"/>
              <w:rPr/>
            </w:pPr>
            <w:r>
              <w:rPr/>
              <w:t>272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71,142</w:t>
            </w:r>
          </w:p>
        </w:tc>
        <w:tc>
          <w:tcPr>
            <w:tcW w:w="146" w:type="dxa"/>
            <w:tcBorders/>
            <w:tcMar>
              <w:bottom w:w="0" w:type="dxa"/>
            </w:tcMar>
            <w:vAlign w:val="center"/>
          </w:tcPr>
          <w:p>
            <w:pPr>
              <w:pStyle w:val="TableContents"/>
              <w:bidi w:val="0"/>
              <w:spacing w:before="0" w:after="283"/>
              <w:ind w:left="0" w:right="0" w:hanging="180"/>
              <w:jc w:val="left"/>
              <w:rPr/>
            </w:pPr>
            <w:r>
              <w:rPr/>
              <w:t> </w:t>
            </w:r>
          </w:p>
        </w:tc>
      </w:tr>
      <w:tr>
        <w:trPr/>
        <w:tc>
          <w:tcPr>
            <w:tcW w:w="2433" w:type="dxa"/>
            <w:tcBorders/>
            <w:shd w:fill="CCEEFF" w:val="clear"/>
            <w:tcMar>
              <w:bottom w:w="0" w:type="dxa"/>
            </w:tcMar>
            <w:vAlign w:val="center"/>
          </w:tcPr>
          <w:p>
            <w:pPr>
              <w:pStyle w:val="TableContents"/>
              <w:bidi w:val="0"/>
              <w:spacing w:before="0" w:after="283"/>
              <w:jc w:val="left"/>
              <w:rPr/>
            </w:pPr>
            <w:r>
              <w:rPr/>
              <w:t>Additions related to asset acquisitions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right"/>
              <w:rPr/>
            </w:pPr>
            <w:r>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30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43</w:t>
            </w:r>
          </w:p>
        </w:tc>
        <w:tc>
          <w:tcPr>
            <w:tcW w:w="14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33" w:type="dxa"/>
            <w:tcBorders/>
            <w:tcMar>
              <w:bottom w:w="0" w:type="dxa"/>
            </w:tcMar>
            <w:vAlign w:val="center"/>
          </w:tcPr>
          <w:p>
            <w:pPr>
              <w:pStyle w:val="TableContents"/>
              <w:bidi w:val="0"/>
              <w:spacing w:before="0" w:after="283"/>
              <w:jc w:val="left"/>
              <w:rPr/>
            </w:pPr>
            <w:r>
              <w:rPr/>
              <w:t>Dispositions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(7,325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right"/>
              <w:rPr/>
            </w:pPr>
            <w:r>
              <w:rPr/>
              <w:t>(9,000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726"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before="0" w:after="283"/>
              <w:jc w:val="right"/>
              <w:rPr/>
            </w:pPr>
            <w:r>
              <w:rPr/>
              <w:t>(5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773" w:type="dxa"/>
            <w:tcBorders/>
            <w:tcMar>
              <w:bottom w:w="0" w:type="dxa"/>
            </w:tcMar>
            <w:vAlign w:val="center"/>
          </w:tcPr>
          <w:p>
            <w:pPr>
              <w:pStyle w:val="TableContents"/>
              <w:bidi w:val="0"/>
              <w:spacing w:before="0" w:after="283"/>
              <w:jc w:val="right"/>
              <w:rPr/>
            </w:pPr>
            <w:r>
              <w:rPr/>
              <w:t>(92</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(16,422</w:t>
            </w:r>
          </w:p>
        </w:tc>
        <w:tc>
          <w:tcPr>
            <w:tcW w:w="146" w:type="dxa"/>
            <w:tcBorders/>
            <w:tcMar>
              <w:bottom w:w="0" w:type="dxa"/>
            </w:tcMar>
            <w:vAlign w:val="center"/>
          </w:tcPr>
          <w:p>
            <w:pPr>
              <w:pStyle w:val="TableContents"/>
              <w:bidi w:val="0"/>
              <w:spacing w:before="0" w:after="283"/>
              <w:ind w:left="0" w:right="0" w:hanging="180"/>
              <w:jc w:val="left"/>
              <w:rPr/>
            </w:pPr>
            <w:r>
              <w:rPr/>
              <w:t>)</w:t>
            </w:r>
          </w:p>
        </w:tc>
      </w:tr>
      <w:tr>
        <w:trPr/>
        <w:tc>
          <w:tcPr>
            <w:tcW w:w="2433" w:type="dxa"/>
            <w:tcBorders/>
            <w:shd w:fill="CCEEFF" w:val="clear"/>
            <w:tcMar>
              <w:bottom w:w="0" w:type="dxa"/>
            </w:tcMar>
            <w:vAlign w:val="center"/>
          </w:tcPr>
          <w:p>
            <w:pPr>
              <w:pStyle w:val="TableContents"/>
              <w:bidi w:val="0"/>
              <w:spacing w:before="0" w:after="283"/>
              <w:jc w:val="left"/>
              <w:rPr/>
            </w:pPr>
            <w:r>
              <w:rPr/>
              <w:t>Transfer to assets held for sale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right"/>
              <w:rPr/>
            </w:pPr>
            <w:r>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(9,688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(9,688</w:t>
            </w:r>
          </w:p>
        </w:tc>
        <w:tc>
          <w:tcPr>
            <w:tcW w:w="146"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433" w:type="dxa"/>
            <w:tcBorders>
              <w:bottom w:val="single" w:sz="8" w:space="0" w:color="000000"/>
            </w:tcBorders>
            <w:vAlign w:val="center"/>
          </w:tcPr>
          <w:p>
            <w:pPr>
              <w:pStyle w:val="TableContents"/>
              <w:bidi w:val="0"/>
              <w:spacing w:before="0" w:after="283"/>
              <w:jc w:val="left"/>
              <w:rPr/>
            </w:pPr>
            <w:r>
              <w:rPr/>
              <w:t>Effect of change in discount rate in asset retirement obligations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6" w:type="dxa"/>
            <w:tcBorders>
              <w:bottom w:val="single" w:sz="8" w:space="0" w:color="000000"/>
            </w:tcBorders>
            <w:vAlign w:val="center"/>
          </w:tcPr>
          <w:p>
            <w:pPr>
              <w:pStyle w:val="TableContents"/>
              <w:bidi w:val="0"/>
              <w:spacing w:before="0" w:after="283"/>
              <w:jc w:val="right"/>
              <w:rPr/>
            </w:pPr>
            <w:r>
              <w:rPr/>
              <w:t>21</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758"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9" w:type="dxa"/>
            <w:tcBorders>
              <w:bottom w:val="single" w:sz="8" w:space="0" w:color="000000"/>
            </w:tcBorders>
            <w:vAlign w:val="center"/>
          </w:tcPr>
          <w:p>
            <w:pPr>
              <w:pStyle w:val="TableContents"/>
              <w:bidi w:val="0"/>
              <w:spacing w:before="0" w:after="283"/>
              <w:jc w:val="left"/>
              <w:rPr/>
            </w:pPr>
            <w:r>
              <w:rPr/>
              <w:t> </w:t>
            </w:r>
          </w:p>
        </w:tc>
        <w:tc>
          <w:tcPr>
            <w:tcW w:w="726"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2" w:type="dxa"/>
            <w:tcBorders>
              <w:bottom w:val="single" w:sz="8" w:space="0" w:color="000000"/>
            </w:tcBorders>
            <w:vAlign w:val="center"/>
          </w:tcPr>
          <w:p>
            <w:pPr>
              <w:pStyle w:val="TableContents"/>
              <w:bidi w:val="0"/>
              <w:spacing w:before="0" w:after="283"/>
              <w:jc w:val="left"/>
              <w:rPr/>
            </w:pPr>
            <w:r>
              <w:rPr/>
              <w:t> </w:t>
            </w:r>
          </w:p>
        </w:tc>
        <w:tc>
          <w:tcPr>
            <w:tcW w:w="1123" w:type="dxa"/>
            <w:tcBorders>
              <w:bottom w:val="single" w:sz="8" w:space="0" w:color="000000"/>
            </w:tcBorders>
            <w:vAlign w:val="center"/>
          </w:tcPr>
          <w:p>
            <w:pPr>
              <w:pStyle w:val="TableContents"/>
              <w:bidi w:val="0"/>
              <w:spacing w:before="0" w:after="283"/>
              <w:jc w:val="right"/>
              <w:rPr/>
            </w:pPr>
            <w:r>
              <w:rPr/>
              <w:t>(499</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17" w:type="dxa"/>
            <w:tcBorders>
              <w:bottom w:val="single" w:sz="8" w:space="0" w:color="000000"/>
            </w:tcBorders>
            <w:vAlign w:val="center"/>
          </w:tcPr>
          <w:p>
            <w:pPr>
              <w:pStyle w:val="TableContents"/>
              <w:bidi w:val="0"/>
              <w:spacing w:before="0" w:after="283"/>
              <w:jc w:val="left"/>
              <w:rPr/>
            </w:pPr>
            <w:r>
              <w:rPr/>
              <w:t> </w:t>
            </w:r>
          </w:p>
        </w:tc>
        <w:tc>
          <w:tcPr>
            <w:tcW w:w="773"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(499</w:t>
            </w:r>
          </w:p>
        </w:tc>
        <w:tc>
          <w:tcPr>
            <w:tcW w:w="146" w:type="dxa"/>
            <w:tcBorders>
              <w:bottom w:val="single" w:sz="8" w:space="0" w:color="000000"/>
            </w:tcBorders>
            <w:vAlign w:val="center"/>
          </w:tcPr>
          <w:p>
            <w:pPr>
              <w:pStyle w:val="TableContents"/>
              <w:bidi w:val="0"/>
              <w:spacing w:before="0" w:after="283"/>
              <w:ind w:left="0" w:right="0" w:hanging="180"/>
              <w:jc w:val="left"/>
              <w:rPr/>
            </w:pPr>
            <w:r>
              <w:rPr/>
              <w:t>)</w:t>
            </w:r>
          </w:p>
        </w:tc>
      </w:tr>
      <w:tr>
        <w:trPr/>
        <w:tc>
          <w:tcPr>
            <w:tcW w:w="2433" w:type="dxa"/>
            <w:tcBorders>
              <w:bottom w:val="single" w:sz="8" w:space="0" w:color="000000"/>
            </w:tcBorders>
            <w:shd w:fill="CCEEFF" w:val="clear"/>
            <w:vAlign w:val="center"/>
          </w:tcPr>
          <w:p>
            <w:pPr>
              <w:pStyle w:val="TableContents"/>
              <w:bidi w:val="0"/>
              <w:spacing w:before="0" w:after="283"/>
              <w:jc w:val="left"/>
              <w:rPr/>
            </w:pPr>
            <w:r>
              <w:rPr/>
              <w:t>Balance as of December 31, 2023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6"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354,803</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758"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726" w:type="dxa"/>
            <w:tcBorders>
              <w:bottom w:val="single" w:sz="8" w:space="0" w:color="000000"/>
            </w:tcBorders>
            <w:shd w:fill="CCEEFF" w:val="clear"/>
            <w:vAlign w:val="center"/>
          </w:tcPr>
          <w:p>
            <w:pPr>
              <w:pStyle w:val="TableContents"/>
              <w:bidi w:val="0"/>
              <w:spacing w:before="0" w:after="283"/>
              <w:jc w:val="right"/>
              <w:rPr/>
            </w:pPr>
            <w:r>
              <w:rPr/>
              <w:t>5,740</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50,728</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1,262</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412,533</w:t>
            </w:r>
          </w:p>
        </w:tc>
        <w:tc>
          <w:tcPr>
            <w:tcW w:w="146"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24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72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773"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46" w:type="dxa"/>
            <w:tcBorders/>
            <w:tcMar>
              <w:bottom w:w="0" w:type="dxa"/>
            </w:tcMar>
            <w:vAlign w:val="center"/>
          </w:tcPr>
          <w:p>
            <w:pPr>
              <w:pStyle w:val="TableContents"/>
              <w:bidi w:val="0"/>
              <w:spacing w:before="0" w:after="283"/>
              <w:ind w:left="0" w:right="0" w:hanging="180"/>
              <w:jc w:val="left"/>
              <w:rPr/>
            </w:pPr>
            <w:r>
              <w:rPr/>
              <w:t> </w:t>
            </w:r>
          </w:p>
        </w:tc>
      </w:tr>
      <w:tr>
        <w:trPr/>
        <w:tc>
          <w:tcPr>
            <w:tcW w:w="2433" w:type="dxa"/>
            <w:tcBorders>
              <w:bottom w:val="single" w:sz="8" w:space="0" w:color="000000"/>
            </w:tcBorders>
            <w:shd w:fill="CCEEFF" w:val="clear"/>
            <w:vAlign w:val="center"/>
          </w:tcPr>
          <w:p>
            <w:pPr>
              <w:pStyle w:val="TableContents"/>
              <w:bidi w:val="0"/>
              <w:spacing w:before="0" w:after="283"/>
              <w:jc w:val="left"/>
              <w:rPr>
                <w:b/>
              </w:rPr>
            </w:pPr>
            <w:r>
              <w:rPr>
                <w:b/>
              </w:rPr>
              <w:t>Accumulated Depreciation</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6"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758"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726"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 </w:t>
            </w:r>
          </w:p>
        </w:tc>
        <w:tc>
          <w:tcPr>
            <w:tcW w:w="146"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2433" w:type="dxa"/>
            <w:tcBorders>
              <w:bottom w:val="single" w:sz="8" w:space="0" w:color="000000"/>
            </w:tcBorders>
            <w:vAlign w:val="center"/>
          </w:tcPr>
          <w:p>
            <w:pPr>
              <w:pStyle w:val="TableContents"/>
              <w:bidi w:val="0"/>
              <w:spacing w:before="0" w:after="283"/>
              <w:jc w:val="left"/>
              <w:rPr/>
            </w:pPr>
            <w:r>
              <w:rPr/>
              <w:t>Balance as of January 1, 2023</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6"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120,097</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758" w:type="dxa"/>
            <w:tcBorders>
              <w:bottom w:val="single" w:sz="8" w:space="0" w:color="000000"/>
            </w:tcBorders>
            <w:vAlign w:val="center"/>
          </w:tcPr>
          <w:p>
            <w:pPr>
              <w:pStyle w:val="TableContents"/>
              <w:bidi w:val="0"/>
              <w:spacing w:before="0" w:after="283"/>
              <w:jc w:val="right"/>
              <w:rPr/>
            </w:pPr>
            <w:r>
              <w:rPr/>
              <w:t>6,000</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9" w:type="dxa"/>
            <w:tcBorders>
              <w:bottom w:val="single" w:sz="8" w:space="0" w:color="000000"/>
            </w:tcBorders>
            <w:vAlign w:val="center"/>
          </w:tcPr>
          <w:p>
            <w:pPr>
              <w:pStyle w:val="TableContents"/>
              <w:bidi w:val="0"/>
              <w:spacing w:before="0" w:after="283"/>
              <w:jc w:val="left"/>
              <w:rPr/>
            </w:pPr>
            <w:r>
              <w:rPr/>
              <w:t> </w:t>
            </w:r>
          </w:p>
        </w:tc>
        <w:tc>
          <w:tcPr>
            <w:tcW w:w="726" w:type="dxa"/>
            <w:tcBorders>
              <w:bottom w:val="single" w:sz="8" w:space="0" w:color="000000"/>
            </w:tcBorders>
            <w:vAlign w:val="center"/>
          </w:tcPr>
          <w:p>
            <w:pPr>
              <w:pStyle w:val="TableContents"/>
              <w:bidi w:val="0"/>
              <w:spacing w:before="0" w:after="283"/>
              <w:jc w:val="right"/>
              <w:rPr/>
            </w:pPr>
            <w:r>
              <w:rPr/>
              <w:t>270</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2" w:type="dxa"/>
            <w:tcBorders>
              <w:bottom w:val="single" w:sz="8" w:space="0" w:color="000000"/>
            </w:tcBorders>
            <w:vAlign w:val="center"/>
          </w:tcPr>
          <w:p>
            <w:pPr>
              <w:pStyle w:val="TableContents"/>
              <w:bidi w:val="0"/>
              <w:spacing w:before="0" w:after="283"/>
              <w:jc w:val="left"/>
              <w:rPr/>
            </w:pPr>
            <w:r>
              <w:rPr/>
              <w:t> </w:t>
            </w:r>
          </w:p>
        </w:tc>
        <w:tc>
          <w:tcPr>
            <w:tcW w:w="1123" w:type="dxa"/>
            <w:tcBorders>
              <w:bottom w:val="single" w:sz="8" w:space="0" w:color="000000"/>
            </w:tcBorders>
            <w:vAlign w:val="center"/>
          </w:tcPr>
          <w:p>
            <w:pPr>
              <w:pStyle w:val="TableContents"/>
              <w:bidi w:val="0"/>
              <w:spacing w:before="0" w:after="283"/>
              <w:jc w:val="right"/>
              <w:rPr/>
            </w:pPr>
            <w:r>
              <w:rPr/>
              <w:t>21,636</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17" w:type="dxa"/>
            <w:tcBorders>
              <w:bottom w:val="single" w:sz="8" w:space="0" w:color="000000"/>
            </w:tcBorders>
            <w:vAlign w:val="center"/>
          </w:tcPr>
          <w:p>
            <w:pPr>
              <w:pStyle w:val="TableContents"/>
              <w:bidi w:val="0"/>
              <w:spacing w:before="0" w:after="283"/>
              <w:jc w:val="left"/>
              <w:rPr/>
            </w:pPr>
            <w:r>
              <w:rPr/>
              <w:t> </w:t>
            </w:r>
          </w:p>
        </w:tc>
        <w:tc>
          <w:tcPr>
            <w:tcW w:w="773" w:type="dxa"/>
            <w:tcBorders>
              <w:bottom w:val="single" w:sz="8" w:space="0" w:color="000000"/>
            </w:tcBorders>
            <w:vAlign w:val="center"/>
          </w:tcPr>
          <w:p>
            <w:pPr>
              <w:pStyle w:val="TableContents"/>
              <w:bidi w:val="0"/>
              <w:spacing w:before="0" w:after="283"/>
              <w:jc w:val="right"/>
              <w:rPr/>
            </w:pPr>
            <w:r>
              <w:rPr/>
              <w:t>526</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148,529</w:t>
            </w:r>
          </w:p>
        </w:tc>
        <w:tc>
          <w:tcPr>
            <w:tcW w:w="146" w:type="dxa"/>
            <w:tcBorders>
              <w:bottom w:val="single" w:sz="8" w:space="0" w:color="000000"/>
            </w:tcBorders>
            <w:vAlign w:val="center"/>
          </w:tcPr>
          <w:p>
            <w:pPr>
              <w:pStyle w:val="TableContents"/>
              <w:bidi w:val="0"/>
              <w:spacing w:before="0" w:after="283"/>
              <w:ind w:left="0" w:right="0" w:hanging="180"/>
              <w:jc w:val="left"/>
              <w:rPr/>
            </w:pPr>
            <w:r>
              <w:rPr/>
              <w:t> </w:t>
            </w:r>
          </w:p>
        </w:tc>
      </w:tr>
      <w:tr>
        <w:trPr/>
        <w:tc>
          <w:tcPr>
            <w:tcW w:w="2433" w:type="dxa"/>
            <w:tcBorders/>
            <w:shd w:fill="CCEEFF" w:val="clear"/>
            <w:tcMar>
              <w:bottom w:w="0" w:type="dxa"/>
            </w:tcMar>
            <w:vAlign w:val="center"/>
          </w:tcPr>
          <w:p>
            <w:pPr>
              <w:pStyle w:val="TableContents"/>
              <w:bidi w:val="0"/>
              <w:spacing w:before="0" w:after="283"/>
              <w:jc w:val="left"/>
              <w:rPr/>
            </w:pPr>
            <w:r>
              <w:rPr/>
              <w:t>Depreciation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29, 31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77,551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pPr>
            <w:r>
              <w:rPr/>
              <w:t>154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3,556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194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81,455</w:t>
            </w:r>
          </w:p>
        </w:tc>
        <w:tc>
          <w:tcPr>
            <w:tcW w:w="14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33" w:type="dxa"/>
            <w:tcBorders/>
            <w:tcMar>
              <w:bottom w:w="0" w:type="dxa"/>
            </w:tcMar>
            <w:vAlign w:val="center"/>
          </w:tcPr>
          <w:p>
            <w:pPr>
              <w:pStyle w:val="TableContents"/>
              <w:bidi w:val="0"/>
              <w:spacing w:before="0" w:after="283"/>
              <w:jc w:val="left"/>
              <w:rPr/>
            </w:pPr>
            <w:r>
              <w:rPr/>
              <w:t>Dispositions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(5,756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right"/>
              <w:rPr/>
            </w:pPr>
            <w:r>
              <w:rPr/>
              <w:t>(9,000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726"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before="0" w:after="283"/>
              <w:jc w:val="right"/>
              <w:rPr/>
            </w:pPr>
            <w:r>
              <w:rPr/>
              <w:t>(5</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773" w:type="dxa"/>
            <w:tcBorders/>
            <w:tcMar>
              <w:bottom w:w="0" w:type="dxa"/>
            </w:tcMar>
            <w:vAlign w:val="center"/>
          </w:tcPr>
          <w:p>
            <w:pPr>
              <w:pStyle w:val="TableContents"/>
              <w:bidi w:val="0"/>
              <w:spacing w:before="0" w:after="283"/>
              <w:jc w:val="right"/>
              <w:rPr/>
            </w:pPr>
            <w:r>
              <w:rPr/>
              <w:t>(73</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(14,834</w:t>
            </w:r>
          </w:p>
        </w:tc>
        <w:tc>
          <w:tcPr>
            <w:tcW w:w="146" w:type="dxa"/>
            <w:tcBorders/>
            <w:tcMar>
              <w:bottom w:w="0" w:type="dxa"/>
            </w:tcMar>
            <w:vAlign w:val="center"/>
          </w:tcPr>
          <w:p>
            <w:pPr>
              <w:pStyle w:val="TableContents"/>
              <w:bidi w:val="0"/>
              <w:spacing w:before="0" w:after="283"/>
              <w:ind w:left="0" w:right="0" w:hanging="180"/>
              <w:jc w:val="left"/>
              <w:rPr/>
            </w:pPr>
            <w:r>
              <w:rPr/>
              <w:t>)</w:t>
            </w:r>
          </w:p>
        </w:tc>
      </w:tr>
      <w:tr>
        <w:trPr/>
        <w:tc>
          <w:tcPr>
            <w:tcW w:w="2433" w:type="dxa"/>
            <w:tcBorders/>
            <w:shd w:fill="CCEEFF" w:val="clear"/>
            <w:tcMar>
              <w:bottom w:w="0" w:type="dxa"/>
            </w:tcMar>
            <w:vAlign w:val="center"/>
          </w:tcPr>
          <w:p>
            <w:pPr>
              <w:pStyle w:val="TableContents"/>
              <w:bidi w:val="0"/>
              <w:spacing w:before="0" w:after="283"/>
              <w:jc w:val="left"/>
              <w:rPr/>
            </w:pPr>
            <w:r>
              <w:rPr/>
              <w:t>Transfer to assets held for sale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right"/>
              <w:rPr/>
            </w:pPr>
            <w:r>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(8,418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(8,418</w:t>
            </w:r>
          </w:p>
        </w:tc>
        <w:tc>
          <w:tcPr>
            <w:tcW w:w="146"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433" w:type="dxa"/>
            <w:tcBorders/>
            <w:tcMar>
              <w:bottom w:w="0" w:type="dxa"/>
            </w:tcMar>
            <w:vAlign w:val="center"/>
          </w:tcPr>
          <w:p>
            <w:pPr>
              <w:pStyle w:val="TableContents"/>
              <w:bidi w:val="0"/>
              <w:spacing w:before="0" w:after="283"/>
              <w:jc w:val="left"/>
              <w:rPr/>
            </w:pPr>
            <w:r>
              <w:rPr/>
              <w:t>Impairment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6" w:type="dxa"/>
            <w:tcBorders/>
            <w:tcMar>
              <w:bottom w:w="0" w:type="dxa"/>
            </w:tcMar>
            <w:vAlign w:val="center"/>
          </w:tcPr>
          <w:p>
            <w:pPr>
              <w:pStyle w:val="TableContents"/>
              <w:bidi w:val="0"/>
              <w:spacing w:before="0" w:after="283"/>
              <w:jc w:val="right"/>
              <w:rPr/>
            </w:pPr>
            <w:r>
              <w:rPr/>
              <w:t>11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1,882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right"/>
              <w:rPr/>
            </w:pPr>
            <w:r>
              <w:rPr/>
              <w:t>3,000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726"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12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 w:type="dxa"/>
            <w:tcBorders/>
            <w:tcMar>
              <w:bottom w:w="0" w:type="dxa"/>
            </w:tcMar>
            <w:vAlign w:val="center"/>
          </w:tcPr>
          <w:p>
            <w:pPr>
              <w:pStyle w:val="TableContents"/>
              <w:bidi w:val="0"/>
              <w:spacing w:before="0" w:after="283"/>
              <w:jc w:val="left"/>
              <w:rPr/>
            </w:pPr>
            <w:r>
              <w:rPr/>
              <w:t> </w:t>
            </w:r>
          </w:p>
        </w:tc>
        <w:tc>
          <w:tcPr>
            <w:tcW w:w="77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4,882</w:t>
            </w:r>
          </w:p>
        </w:tc>
        <w:tc>
          <w:tcPr>
            <w:tcW w:w="146" w:type="dxa"/>
            <w:tcBorders/>
            <w:tcMar>
              <w:bottom w:w="0" w:type="dxa"/>
            </w:tcMar>
            <w:vAlign w:val="center"/>
          </w:tcPr>
          <w:p>
            <w:pPr>
              <w:pStyle w:val="TableContents"/>
              <w:bidi w:val="0"/>
              <w:spacing w:before="0" w:after="283"/>
              <w:ind w:left="0" w:right="0" w:hanging="180"/>
              <w:jc w:val="left"/>
              <w:rPr/>
            </w:pPr>
            <w:r>
              <w:rPr/>
              <w:t> </w:t>
            </w:r>
          </w:p>
        </w:tc>
      </w:tr>
      <w:tr>
        <w:trPr/>
        <w:tc>
          <w:tcPr>
            <w:tcW w:w="2433" w:type="dxa"/>
            <w:tcBorders>
              <w:bottom w:val="single" w:sz="8" w:space="0" w:color="000000"/>
            </w:tcBorders>
            <w:shd w:fill="CCEEFF" w:val="clear"/>
            <w:vAlign w:val="center"/>
          </w:tcPr>
          <w:p>
            <w:pPr>
              <w:pStyle w:val="TableContents"/>
              <w:bidi w:val="0"/>
              <w:spacing w:before="0" w:after="283"/>
              <w:jc w:val="left"/>
              <w:rPr/>
            </w:pPr>
            <w:r>
              <w:rPr/>
              <w:t>Impairment on deposits transferred to PPE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6"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14,438</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758"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726"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469</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14,907</w:t>
            </w:r>
          </w:p>
        </w:tc>
        <w:tc>
          <w:tcPr>
            <w:tcW w:w="146"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2433" w:type="dxa"/>
            <w:tcBorders>
              <w:bottom w:val="single" w:sz="8" w:space="0" w:color="000000"/>
            </w:tcBorders>
            <w:vAlign w:val="center"/>
          </w:tcPr>
          <w:p>
            <w:pPr>
              <w:pStyle w:val="TableContents"/>
              <w:bidi w:val="0"/>
              <w:spacing w:before="0" w:after="283"/>
              <w:jc w:val="left"/>
              <w:rPr/>
            </w:pPr>
            <w:r>
              <w:rPr/>
              <w:t>Balance as of December 31, 2023</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36"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199,794</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2" w:type="dxa"/>
            <w:tcBorders>
              <w:bottom w:val="single" w:sz="8" w:space="0" w:color="000000"/>
            </w:tcBorders>
            <w:vAlign w:val="center"/>
          </w:tcPr>
          <w:p>
            <w:pPr>
              <w:pStyle w:val="TableContents"/>
              <w:bidi w:val="0"/>
              <w:spacing w:before="0" w:after="283"/>
              <w:jc w:val="left"/>
              <w:rPr/>
            </w:pPr>
            <w:r>
              <w:rPr/>
              <w:t> </w:t>
            </w:r>
          </w:p>
        </w:tc>
        <w:tc>
          <w:tcPr>
            <w:tcW w:w="758"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9" w:type="dxa"/>
            <w:tcBorders>
              <w:bottom w:val="single" w:sz="8" w:space="0" w:color="000000"/>
            </w:tcBorders>
            <w:vAlign w:val="center"/>
          </w:tcPr>
          <w:p>
            <w:pPr>
              <w:pStyle w:val="TableContents"/>
              <w:bidi w:val="0"/>
              <w:spacing w:before="0" w:after="283"/>
              <w:jc w:val="left"/>
              <w:rPr/>
            </w:pPr>
            <w:r>
              <w:rPr/>
              <w:t> </w:t>
            </w:r>
          </w:p>
        </w:tc>
        <w:tc>
          <w:tcPr>
            <w:tcW w:w="726" w:type="dxa"/>
            <w:tcBorders>
              <w:bottom w:val="single" w:sz="8" w:space="0" w:color="000000"/>
            </w:tcBorders>
            <w:vAlign w:val="center"/>
          </w:tcPr>
          <w:p>
            <w:pPr>
              <w:pStyle w:val="TableContents"/>
              <w:bidi w:val="0"/>
              <w:spacing w:before="0" w:after="283"/>
              <w:jc w:val="right"/>
              <w:rPr/>
            </w:pPr>
            <w:r>
              <w:rPr/>
              <w:t>424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2" w:type="dxa"/>
            <w:tcBorders>
              <w:bottom w:val="single" w:sz="8" w:space="0" w:color="000000"/>
            </w:tcBorders>
            <w:vAlign w:val="center"/>
          </w:tcPr>
          <w:p>
            <w:pPr>
              <w:pStyle w:val="TableContents"/>
              <w:bidi w:val="0"/>
              <w:spacing w:before="0" w:after="283"/>
              <w:jc w:val="left"/>
              <w:rPr/>
            </w:pPr>
            <w:r>
              <w:rPr/>
              <w:t> </w:t>
            </w:r>
          </w:p>
        </w:tc>
        <w:tc>
          <w:tcPr>
            <w:tcW w:w="1123" w:type="dxa"/>
            <w:tcBorders>
              <w:bottom w:val="single" w:sz="8" w:space="0" w:color="000000"/>
            </w:tcBorders>
            <w:vAlign w:val="center"/>
          </w:tcPr>
          <w:p>
            <w:pPr>
              <w:pStyle w:val="TableContents"/>
              <w:bidi w:val="0"/>
              <w:spacing w:before="0" w:after="283"/>
              <w:jc w:val="right"/>
              <w:rPr/>
            </w:pPr>
            <w:r>
              <w:rPr/>
              <w:t>25,656</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17" w:type="dxa"/>
            <w:tcBorders>
              <w:bottom w:val="single" w:sz="8" w:space="0" w:color="000000"/>
            </w:tcBorders>
            <w:vAlign w:val="center"/>
          </w:tcPr>
          <w:p>
            <w:pPr>
              <w:pStyle w:val="TableContents"/>
              <w:bidi w:val="0"/>
              <w:spacing w:before="0" w:after="283"/>
              <w:jc w:val="left"/>
              <w:rPr/>
            </w:pPr>
            <w:r>
              <w:rPr/>
              <w:t> </w:t>
            </w:r>
          </w:p>
        </w:tc>
        <w:tc>
          <w:tcPr>
            <w:tcW w:w="773" w:type="dxa"/>
            <w:tcBorders>
              <w:bottom w:val="single" w:sz="8" w:space="0" w:color="000000"/>
            </w:tcBorders>
            <w:vAlign w:val="center"/>
          </w:tcPr>
          <w:p>
            <w:pPr>
              <w:pStyle w:val="TableContents"/>
              <w:bidi w:val="0"/>
              <w:spacing w:before="0" w:after="283"/>
              <w:jc w:val="right"/>
              <w:rPr/>
            </w:pPr>
            <w:r>
              <w:rPr/>
              <w:t>647</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226,521</w:t>
            </w:r>
          </w:p>
        </w:tc>
        <w:tc>
          <w:tcPr>
            <w:tcW w:w="146" w:type="dxa"/>
            <w:tcBorders>
              <w:bottom w:val="single" w:sz="8" w:space="0" w:color="000000"/>
            </w:tcBorders>
            <w:vAlign w:val="center"/>
          </w:tcPr>
          <w:p>
            <w:pPr>
              <w:pStyle w:val="TableContents"/>
              <w:bidi w:val="0"/>
              <w:spacing w:before="0" w:after="283"/>
              <w:ind w:left="0" w:right="0" w:hanging="180"/>
              <w:jc w:val="left"/>
              <w:rPr/>
            </w:pPr>
            <w:r>
              <w:rPr/>
              <w:t> </w:t>
            </w:r>
          </w:p>
        </w:tc>
      </w:tr>
      <w:tr>
        <w:trPr/>
        <w:tc>
          <w:tcPr>
            <w:tcW w:w="2433"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36"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vAlign w:val="center"/>
          </w:tcPr>
          <w:p>
            <w:pPr>
              <w:pStyle w:val="TableContents"/>
              <w:bidi w:val="0"/>
              <w:spacing w:before="0" w:after="283"/>
              <w:jc w:val="left"/>
              <w:rPr/>
            </w:pPr>
            <w:r>
              <w:rPr/>
              <w:t> </w:t>
            </w:r>
          </w:p>
        </w:tc>
        <w:tc>
          <w:tcPr>
            <w:tcW w:w="758"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726"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 </w:t>
            </w:r>
          </w:p>
        </w:tc>
        <w:tc>
          <w:tcPr>
            <w:tcW w:w="146"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2433" w:type="dxa"/>
            <w:tcBorders>
              <w:bottom w:val="single" w:sz="12" w:space="0" w:color="000000"/>
            </w:tcBorders>
            <w:vAlign w:val="center"/>
          </w:tcPr>
          <w:p>
            <w:pPr>
              <w:pStyle w:val="TableContents"/>
              <w:bidi w:val="0"/>
              <w:spacing w:before="0" w:after="283"/>
              <w:jc w:val="left"/>
              <w:rPr/>
            </w:pPr>
            <w:r>
              <w:rPr/>
              <w:t>Net book value as of December 31, 2023</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36"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155,009</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 w:type="dxa"/>
            <w:tcBorders>
              <w:bottom w:val="single" w:sz="12" w:space="0" w:color="000000"/>
            </w:tcBorders>
            <w:vAlign w:val="center"/>
          </w:tcPr>
          <w:p>
            <w:pPr>
              <w:pStyle w:val="TableContents"/>
              <w:bidi w:val="0"/>
              <w:spacing w:before="0" w:after="283"/>
              <w:jc w:val="left"/>
              <w:rPr/>
            </w:pPr>
            <w:r>
              <w:rPr/>
              <w:t> </w:t>
            </w:r>
          </w:p>
        </w:tc>
        <w:tc>
          <w:tcPr>
            <w:tcW w:w="758" w:type="dxa"/>
            <w:tcBorders>
              <w:bottom w:val="single" w:sz="12" w:space="0" w:color="000000"/>
            </w:tcBorders>
            <w:vAlign w:val="center"/>
          </w:tcPr>
          <w:p>
            <w:pPr>
              <w:pStyle w:val="TableContents"/>
              <w:bidi w:val="0"/>
              <w:spacing w:before="0" w:after="0"/>
              <w:jc w:val="right"/>
              <w:rPr/>
            </w:pPr>
            <w:r>
              <w:rPr/>
              <w:t>—</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9" w:type="dxa"/>
            <w:tcBorders>
              <w:bottom w:val="single" w:sz="12" w:space="0" w:color="000000"/>
            </w:tcBorders>
            <w:vAlign w:val="center"/>
          </w:tcPr>
          <w:p>
            <w:pPr>
              <w:pStyle w:val="TableContents"/>
              <w:bidi w:val="0"/>
              <w:spacing w:before="0" w:after="283"/>
              <w:jc w:val="left"/>
              <w:rPr/>
            </w:pPr>
            <w:r>
              <w:rPr/>
              <w:t> </w:t>
            </w:r>
          </w:p>
        </w:tc>
        <w:tc>
          <w:tcPr>
            <w:tcW w:w="726" w:type="dxa"/>
            <w:tcBorders>
              <w:bottom w:val="single" w:sz="12" w:space="0" w:color="000000"/>
            </w:tcBorders>
            <w:vAlign w:val="center"/>
          </w:tcPr>
          <w:p>
            <w:pPr>
              <w:pStyle w:val="TableContents"/>
              <w:bidi w:val="0"/>
              <w:spacing w:before="0" w:after="283"/>
              <w:jc w:val="right"/>
              <w:rPr/>
            </w:pPr>
            <w:r>
              <w:rPr/>
              <w:t>5,316</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42" w:type="dxa"/>
            <w:tcBorders>
              <w:bottom w:val="single" w:sz="12" w:space="0" w:color="000000"/>
            </w:tcBorders>
            <w:vAlign w:val="center"/>
          </w:tcPr>
          <w:p>
            <w:pPr>
              <w:pStyle w:val="TableContents"/>
              <w:bidi w:val="0"/>
              <w:spacing w:before="0" w:after="283"/>
              <w:jc w:val="left"/>
              <w:rPr/>
            </w:pPr>
            <w:r>
              <w:rPr/>
              <w:t> </w:t>
            </w:r>
          </w:p>
        </w:tc>
        <w:tc>
          <w:tcPr>
            <w:tcW w:w="1123" w:type="dxa"/>
            <w:tcBorders>
              <w:bottom w:val="single" w:sz="12" w:space="0" w:color="000000"/>
            </w:tcBorders>
            <w:vAlign w:val="center"/>
          </w:tcPr>
          <w:p>
            <w:pPr>
              <w:pStyle w:val="TableContents"/>
              <w:bidi w:val="0"/>
              <w:spacing w:before="0" w:after="283"/>
              <w:jc w:val="right"/>
              <w:rPr/>
            </w:pPr>
            <w:r>
              <w:rPr/>
              <w:t>25,072</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7" w:type="dxa"/>
            <w:tcBorders>
              <w:bottom w:val="single" w:sz="12" w:space="0" w:color="000000"/>
            </w:tcBorders>
            <w:vAlign w:val="center"/>
          </w:tcPr>
          <w:p>
            <w:pPr>
              <w:pStyle w:val="TableContents"/>
              <w:bidi w:val="0"/>
              <w:spacing w:before="0" w:after="283"/>
              <w:jc w:val="left"/>
              <w:rPr/>
            </w:pPr>
            <w:r>
              <w:rPr/>
              <w:t> </w:t>
            </w:r>
          </w:p>
        </w:tc>
        <w:tc>
          <w:tcPr>
            <w:tcW w:w="773" w:type="dxa"/>
            <w:tcBorders>
              <w:bottom w:val="single" w:sz="12" w:space="0" w:color="000000"/>
            </w:tcBorders>
            <w:vAlign w:val="center"/>
          </w:tcPr>
          <w:p>
            <w:pPr>
              <w:pStyle w:val="TableContents"/>
              <w:bidi w:val="0"/>
              <w:spacing w:before="0" w:after="283"/>
              <w:jc w:val="right"/>
              <w:rPr/>
            </w:pPr>
            <w:r>
              <w:rPr/>
              <w:t>615</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186,012</w:t>
            </w:r>
          </w:p>
        </w:tc>
        <w:tc>
          <w:tcPr>
            <w:tcW w:w="146"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43 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68"/>
        <w:gridCol w:w="1115"/>
        <w:gridCol w:w="576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12:</w:t>
            </w:r>
          </w:p>
        </w:tc>
        <w:tc>
          <w:tcPr>
            <w:tcW w:w="5765" w:type="dxa"/>
            <w:tcBorders/>
            <w:vAlign w:val="center"/>
          </w:tcPr>
          <w:p>
            <w:pPr>
              <w:pStyle w:val="TableContents"/>
              <w:bidi w:val="0"/>
              <w:spacing w:before="0" w:after="283"/>
              <w:jc w:val="both"/>
              <w:rPr/>
            </w:pPr>
            <w:r>
              <w:rPr>
                <w:b/>
              </w:rPr>
              <w:t xml:space="preserve">PROPERTY, PLANT AND EQUIPMENT </w:t>
            </w:r>
            <w:r>
              <w:rPr/>
              <w:t>(Continued)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1"/>
        <w:gridCol w:w="8395"/>
        <w:gridCol w:w="1069"/>
      </w:tblGrid>
      <w:tr>
        <w:trPr/>
        <w:tc>
          <w:tcPr>
            <w:tcW w:w="741" w:type="dxa"/>
            <w:tcBorders/>
            <w:vAlign w:val="center"/>
          </w:tcPr>
          <w:p>
            <w:pPr>
              <w:pStyle w:val="TableContents"/>
              <w:bidi w:val="0"/>
              <w:spacing w:before="0" w:after="283"/>
              <w:jc w:val="left"/>
              <w:rPr>
                <w:sz w:val="4"/>
                <w:szCs w:val="4"/>
              </w:rPr>
            </w:pPr>
            <w:r>
              <w:rPr>
                <w:sz w:val="4"/>
                <w:szCs w:val="4"/>
              </w:rPr>
            </w:r>
          </w:p>
        </w:tc>
        <w:tc>
          <w:tcPr>
            <w:tcW w:w="8395" w:type="dxa"/>
            <w:tcBorders/>
            <w:vAlign w:val="center"/>
          </w:tcPr>
          <w:p>
            <w:pPr>
              <w:pStyle w:val="TableContents"/>
              <w:bidi w:val="0"/>
              <w:spacing w:before="0" w:after="283"/>
              <w:jc w:val="left"/>
              <w:rPr>
                <w:b/>
              </w:rPr>
            </w:pPr>
            <w:r>
              <w:rPr>
                <w:b/>
              </w:rPr>
              <w:t>Miners</w:t>
            </w:r>
          </w:p>
        </w:tc>
        <w:tc>
          <w:tcPr>
            <w:tcW w:w="10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of the quantity and models of BTC Miners held by the Company as of December 31, 2024 and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49"/>
        <w:gridCol w:w="90"/>
        <w:gridCol w:w="146"/>
        <w:gridCol w:w="474"/>
        <w:gridCol w:w="90"/>
        <w:gridCol w:w="90"/>
        <w:gridCol w:w="123"/>
        <w:gridCol w:w="1085"/>
        <w:gridCol w:w="125"/>
        <w:gridCol w:w="90"/>
        <w:gridCol w:w="90"/>
        <w:gridCol w:w="710"/>
        <w:gridCol w:w="125"/>
        <w:gridCol w:w="90"/>
        <w:gridCol w:w="90"/>
        <w:gridCol w:w="710"/>
        <w:gridCol w:w="90"/>
        <w:gridCol w:w="90"/>
        <w:gridCol w:w="101"/>
        <w:gridCol w:w="678"/>
        <w:gridCol w:w="90"/>
        <w:gridCol w:w="90"/>
        <w:gridCol w:w="90"/>
        <w:gridCol w:w="830"/>
        <w:gridCol w:w="169"/>
      </w:tblGrid>
      <w:tr>
        <w:trPr/>
        <w:tc>
          <w:tcPr>
            <w:tcW w:w="3849"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620" w:type="dxa"/>
            <w:gridSpan w:val="2"/>
            <w:tcBorders>
              <w:bottom w:val="single" w:sz="8" w:space="0" w:color="000000"/>
            </w:tcBorders>
            <w:vAlign w:val="center"/>
          </w:tcPr>
          <w:p>
            <w:pPr>
              <w:pStyle w:val="TableContents"/>
              <w:bidi w:val="0"/>
              <w:spacing w:before="0" w:after="283"/>
              <w:jc w:val="right"/>
              <w:rPr>
                <w:b/>
              </w:rPr>
            </w:pPr>
            <w:r>
              <w:rPr>
                <w:b/>
              </w:rPr>
              <w:t>Notes</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208"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MicroBT</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WhatsMiner*</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00"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Bitmain</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S19j Pro</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00"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Bitmain </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T21</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779"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Bitmain </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S21**</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20" w:type="dxa"/>
            <w:gridSpan w:val="2"/>
            <w:tcBorders>
              <w:bottom w:val="single" w:sz="8" w:space="0" w:color="000000"/>
            </w:tcBorders>
            <w:vAlign w:val="center"/>
          </w:tcPr>
          <w:p>
            <w:pPr>
              <w:pStyle w:val="TableContents"/>
              <w:bidi w:val="0"/>
              <w:spacing w:before="0" w:after="283"/>
              <w:jc w:val="right"/>
              <w:rPr>
                <w:b/>
              </w:rPr>
            </w:pPr>
            <w:r>
              <w:rPr>
                <w:b/>
              </w:rPr>
              <w:t>Total</w:t>
            </w:r>
          </w:p>
        </w:tc>
        <w:tc>
          <w:tcPr>
            <w:tcW w:w="169" w:type="dxa"/>
            <w:tcBorders>
              <w:bottom w:val="single" w:sz="8" w:space="0" w:color="000000"/>
            </w:tcBorders>
            <w:vAlign w:val="center"/>
          </w:tcPr>
          <w:p>
            <w:pPr>
              <w:pStyle w:val="TableContents"/>
              <w:bidi w:val="0"/>
              <w:spacing w:before="0" w:after="283"/>
              <w:jc w:val="right"/>
              <w:rPr/>
            </w:pPr>
            <w:r>
              <w:rPr/>
              <w:t> </w:t>
            </w:r>
          </w:p>
        </w:tc>
      </w:tr>
      <w:tr>
        <w:trPr/>
        <w:tc>
          <w:tcPr>
            <w:tcW w:w="3849" w:type="dxa"/>
            <w:tcBorders>
              <w:bottom w:val="single" w:sz="8" w:space="0" w:color="000000"/>
            </w:tcBorders>
            <w:shd w:fill="CCEEFF" w:val="clear"/>
            <w:vAlign w:val="center"/>
          </w:tcPr>
          <w:p>
            <w:pPr>
              <w:pStyle w:val="TableContents"/>
              <w:bidi w:val="0"/>
              <w:spacing w:before="0" w:after="283"/>
              <w:jc w:val="left"/>
              <w:rPr/>
            </w:pPr>
            <w:r>
              <w:rPr/>
              <w:t>Quantity as of January 1, 2024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vAlign w:val="center"/>
          </w:tcPr>
          <w:p>
            <w:pPr>
              <w:pStyle w:val="TableContents"/>
              <w:bidi w:val="0"/>
              <w:spacing w:before="0" w:after="283"/>
              <w:jc w:val="left"/>
              <w:rPr/>
            </w:pPr>
            <w:r>
              <w:rPr/>
              <w:t> </w:t>
            </w:r>
          </w:p>
        </w:tc>
        <w:tc>
          <w:tcPr>
            <w:tcW w:w="1085" w:type="dxa"/>
            <w:tcBorders>
              <w:bottom w:val="single" w:sz="8" w:space="0" w:color="000000"/>
            </w:tcBorders>
            <w:shd w:fill="CCEEFF" w:val="clear"/>
            <w:vAlign w:val="center"/>
          </w:tcPr>
          <w:p>
            <w:pPr>
              <w:pStyle w:val="TableContents"/>
              <w:bidi w:val="0"/>
              <w:spacing w:before="0" w:after="283"/>
              <w:jc w:val="right"/>
              <w:rPr>
                <w:b/>
              </w:rPr>
            </w:pPr>
            <w:r>
              <w:rPr>
                <w:b/>
              </w:rPr>
              <w:t>51,738</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b/>
              </w:rPr>
            </w:pPr>
            <w:r>
              <w:rPr>
                <w:b/>
              </w:rPr>
              <w:t>16,361</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vAlign w:val="center"/>
          </w:tcPr>
          <w:p>
            <w:pPr>
              <w:pStyle w:val="TableContents"/>
              <w:bidi w:val="0"/>
              <w:spacing w:before="0" w:after="283"/>
              <w:jc w:val="left"/>
              <w:rPr/>
            </w:pPr>
            <w:r>
              <w:rPr/>
              <w:t> </w:t>
            </w:r>
          </w:p>
        </w:tc>
        <w:tc>
          <w:tcPr>
            <w:tcW w:w="678"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b/>
              </w:rPr>
            </w:pPr>
            <w:r>
              <w:rPr>
                <w:b/>
              </w:rPr>
              <w:t>68,099</w:t>
            </w:r>
          </w:p>
        </w:tc>
        <w:tc>
          <w:tcPr>
            <w:tcW w:w="169"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849" w:type="dxa"/>
            <w:tcBorders/>
            <w:tcMar>
              <w:bottom w:w="0" w:type="dxa"/>
            </w:tcMar>
            <w:vAlign w:val="center"/>
          </w:tcPr>
          <w:p>
            <w:pPr>
              <w:pStyle w:val="TableContents"/>
              <w:bidi w:val="0"/>
              <w:spacing w:before="0" w:after="283"/>
              <w:jc w:val="left"/>
              <w:rPr/>
            </w:pPr>
            <w:r>
              <w:rPr/>
              <w:t>Additions</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b/>
              </w:rPr>
            </w:pPr>
            <w:r>
              <w:rPr>
                <w:b/>
              </w:rPr>
              <w:t>1,943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b/>
              </w:rPr>
            </w:pPr>
            <w:r>
              <w:rPr>
                <w:b/>
              </w:rPr>
              <w:t>62,443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jc w:val="right"/>
              <w:rPr>
                <w:b/>
              </w:rPr>
            </w:pPr>
            <w:r>
              <w:rPr>
                <w:b/>
              </w:rPr>
              <w:t>9,363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73,749</w:t>
            </w:r>
          </w:p>
        </w:tc>
        <w:tc>
          <w:tcPr>
            <w:tcW w:w="169" w:type="dxa"/>
            <w:tcBorders/>
            <w:tcMar>
              <w:bottom w:w="0" w:type="dxa"/>
            </w:tcMar>
            <w:vAlign w:val="center"/>
          </w:tcPr>
          <w:p>
            <w:pPr>
              <w:pStyle w:val="TableContents"/>
              <w:bidi w:val="0"/>
              <w:spacing w:before="0" w:after="283"/>
              <w:jc w:val="left"/>
              <w:rPr/>
            </w:pPr>
            <w:r>
              <w:rPr/>
              <w:t> </w:t>
            </w:r>
          </w:p>
        </w:tc>
      </w:tr>
      <w:tr>
        <w:trPr/>
        <w:tc>
          <w:tcPr>
            <w:tcW w:w="3849" w:type="dxa"/>
            <w:tcBorders>
              <w:bottom w:val="single" w:sz="8" w:space="0" w:color="000000"/>
            </w:tcBorders>
            <w:shd w:fill="CCEEFF" w:val="clear"/>
            <w:vAlign w:val="center"/>
          </w:tcPr>
          <w:p>
            <w:pPr>
              <w:pStyle w:val="TableContents"/>
              <w:bidi w:val="0"/>
              <w:spacing w:before="0" w:after="283"/>
              <w:jc w:val="left"/>
              <w:rPr/>
            </w:pPr>
            <w:r>
              <w:rPr/>
              <w:t>Dispositions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vAlign w:val="center"/>
          </w:tcPr>
          <w:p>
            <w:pPr>
              <w:pStyle w:val="TableContents"/>
              <w:bidi w:val="0"/>
              <w:spacing w:before="0" w:after="283"/>
              <w:jc w:val="left"/>
              <w:rPr/>
            </w:pPr>
            <w:r>
              <w:rPr/>
              <w:t> </w:t>
            </w:r>
          </w:p>
        </w:tc>
        <w:tc>
          <w:tcPr>
            <w:tcW w:w="1085" w:type="dxa"/>
            <w:tcBorders>
              <w:bottom w:val="single" w:sz="8" w:space="0" w:color="000000"/>
            </w:tcBorders>
            <w:shd w:fill="CCEEFF" w:val="clear"/>
            <w:vAlign w:val="center"/>
          </w:tcPr>
          <w:p>
            <w:pPr>
              <w:pStyle w:val="TableContents"/>
              <w:bidi w:val="0"/>
              <w:spacing w:before="0" w:after="283"/>
              <w:jc w:val="right"/>
              <w:rPr>
                <w:b/>
              </w:rPr>
            </w:pPr>
            <w:r>
              <w:rPr>
                <w:b/>
              </w:rPr>
              <w:t>(15,830</w:t>
            </w:r>
          </w:p>
        </w:tc>
        <w:tc>
          <w:tcPr>
            <w:tcW w:w="12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b/>
              </w:rPr>
            </w:pPr>
            <w:r>
              <w:rPr>
                <w:b/>
              </w:rPr>
              <w:t>(699</w:t>
            </w:r>
          </w:p>
        </w:tc>
        <w:tc>
          <w:tcPr>
            <w:tcW w:w="12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vAlign w:val="center"/>
          </w:tcPr>
          <w:p>
            <w:pPr>
              <w:pStyle w:val="TableContents"/>
              <w:bidi w:val="0"/>
              <w:spacing w:before="0" w:after="283"/>
              <w:jc w:val="left"/>
              <w:rPr/>
            </w:pPr>
            <w:r>
              <w:rPr/>
              <w:t> </w:t>
            </w:r>
          </w:p>
        </w:tc>
        <w:tc>
          <w:tcPr>
            <w:tcW w:w="678"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b/>
              </w:rPr>
            </w:pPr>
            <w:r>
              <w:rPr>
                <w:b/>
              </w:rPr>
              <w:t>(16,529</w:t>
            </w:r>
          </w:p>
        </w:tc>
        <w:tc>
          <w:tcPr>
            <w:tcW w:w="169" w:type="dxa"/>
            <w:tcBorders>
              <w:bottom w:val="single" w:sz="8" w:space="0" w:color="000000"/>
            </w:tcBorders>
            <w:shd w:fill="CCEEFF" w:val="clear"/>
            <w:vAlign w:val="center"/>
          </w:tcPr>
          <w:p>
            <w:pPr>
              <w:pStyle w:val="TableContents"/>
              <w:bidi w:val="0"/>
              <w:spacing w:before="0" w:after="283"/>
              <w:ind w:left="0" w:right="0" w:hanging="180"/>
              <w:jc w:val="left"/>
              <w:rPr>
                <w:b/>
              </w:rPr>
            </w:pPr>
            <w:r>
              <w:rPr>
                <w:b/>
              </w:rPr>
              <w:t>)</w:t>
            </w:r>
          </w:p>
        </w:tc>
      </w:tr>
      <w:tr>
        <w:trPr/>
        <w:tc>
          <w:tcPr>
            <w:tcW w:w="3849" w:type="dxa"/>
            <w:tcBorders>
              <w:bottom w:val="single" w:sz="12" w:space="0" w:color="000000"/>
            </w:tcBorders>
            <w:vAlign w:val="center"/>
          </w:tcPr>
          <w:p>
            <w:pPr>
              <w:pStyle w:val="TableContents"/>
              <w:bidi w:val="0"/>
              <w:spacing w:before="0" w:after="283"/>
              <w:jc w:val="left"/>
              <w:rPr>
                <w:b/>
              </w:rPr>
            </w:pPr>
            <w:r>
              <w:rPr>
                <w:b/>
              </w:rPr>
              <w:t>Quantity as of December 31, 2024</w:t>
            </w:r>
          </w:p>
        </w:tc>
        <w:tc>
          <w:tcPr>
            <w:tcW w:w="90" w:type="dxa"/>
            <w:tcBorders>
              <w:bottom w:val="single" w:sz="12" w:space="0" w:color="000000"/>
            </w:tcBorders>
            <w:vAlign w:val="center"/>
          </w:tcPr>
          <w:p>
            <w:pPr>
              <w:pStyle w:val="TableContents"/>
              <w:bidi w:val="0"/>
              <w:spacing w:before="0" w:after="283"/>
              <w:jc w:val="left"/>
              <w:rPr/>
            </w:pPr>
            <w:r>
              <w:rPr/>
              <w:t> </w:t>
            </w:r>
          </w:p>
        </w:tc>
        <w:tc>
          <w:tcPr>
            <w:tcW w:w="146" w:type="dxa"/>
            <w:tcBorders>
              <w:bottom w:val="single" w:sz="12" w:space="0" w:color="000000"/>
            </w:tcBorders>
            <w:vAlign w:val="center"/>
          </w:tcPr>
          <w:p>
            <w:pPr>
              <w:pStyle w:val="TableContents"/>
              <w:bidi w:val="0"/>
              <w:spacing w:before="0" w:after="283"/>
              <w:jc w:val="left"/>
              <w:rPr/>
            </w:pPr>
            <w:r>
              <w:rPr/>
              <w:t> </w:t>
            </w:r>
          </w:p>
        </w:tc>
        <w:tc>
          <w:tcPr>
            <w:tcW w:w="474"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3" w:type="dxa"/>
            <w:tcBorders>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right"/>
              <w:rPr>
                <w:b/>
              </w:rPr>
            </w:pPr>
            <w:r>
              <w:rPr>
                <w:b/>
              </w:rPr>
              <w:t>37,851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b/>
              </w:rPr>
            </w:pPr>
            <w:r>
              <w:rPr>
                <w:b/>
              </w:rPr>
              <w:t>15,662</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b/>
              </w:rPr>
            </w:pPr>
            <w:r>
              <w:rPr>
                <w:b/>
              </w:rPr>
              <w:t>62,443</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1" w:type="dxa"/>
            <w:tcBorders>
              <w:bottom w:val="single" w:sz="12" w:space="0" w:color="000000"/>
            </w:tcBorders>
            <w:vAlign w:val="center"/>
          </w:tcPr>
          <w:p>
            <w:pPr>
              <w:pStyle w:val="TableContents"/>
              <w:bidi w:val="0"/>
              <w:spacing w:before="0" w:after="283"/>
              <w:jc w:val="left"/>
              <w:rPr/>
            </w:pPr>
            <w:r>
              <w:rPr/>
              <w:t> </w:t>
            </w:r>
          </w:p>
        </w:tc>
        <w:tc>
          <w:tcPr>
            <w:tcW w:w="678" w:type="dxa"/>
            <w:tcBorders>
              <w:bottom w:val="single" w:sz="12" w:space="0" w:color="000000"/>
            </w:tcBorders>
            <w:vAlign w:val="center"/>
          </w:tcPr>
          <w:p>
            <w:pPr>
              <w:pStyle w:val="TableContents"/>
              <w:bidi w:val="0"/>
              <w:spacing w:before="0" w:after="283"/>
              <w:jc w:val="right"/>
              <w:rPr>
                <w:b/>
              </w:rPr>
            </w:pPr>
            <w:r>
              <w:rPr>
                <w:b/>
              </w:rPr>
              <w:t>9,363</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b/>
              </w:rPr>
            </w:pPr>
            <w:r>
              <w:rPr>
                <w:b/>
              </w:rPr>
              <w:t>125,319</w:t>
            </w:r>
          </w:p>
        </w:tc>
        <w:tc>
          <w:tcPr>
            <w:tcW w:w="169" w:type="dxa"/>
            <w:tcBorders>
              <w:bottom w:val="single" w:sz="12" w:space="0" w:color="000000"/>
            </w:tcBorders>
            <w:vAlign w:val="center"/>
          </w:tcPr>
          <w:p>
            <w:pPr>
              <w:pStyle w:val="TableContents"/>
              <w:bidi w:val="0"/>
              <w:spacing w:before="0" w:after="283"/>
              <w:jc w:val="left"/>
              <w:rPr/>
            </w:pPr>
            <w:r>
              <w:rPr/>
              <w:t> </w:t>
            </w:r>
          </w:p>
        </w:tc>
      </w:tr>
      <w:tr>
        <w:trPr/>
        <w:tc>
          <w:tcPr>
            <w:tcW w:w="3849" w:type="dxa"/>
            <w:tcBorders>
              <w:bottom w:val="single" w:sz="8" w:space="0" w:color="000000"/>
            </w:tcBorders>
            <w:shd w:fill="CCEEFF" w:val="clear"/>
            <w:vAlign w:val="center"/>
          </w:tcPr>
          <w:p>
            <w:pPr>
              <w:pStyle w:val="TableContents"/>
              <w:bidi w:val="0"/>
              <w:spacing w:before="0" w:after="283"/>
              <w:jc w:val="left"/>
              <w:rPr/>
            </w:pPr>
            <w:r>
              <w:rPr/>
              <w:t>Classified as assets held for sale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b/>
              </w:rPr>
            </w:pPr>
            <w:r>
              <w:rPr>
                <w:b/>
              </w:rPr>
              <w:t>10</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vAlign w:val="center"/>
          </w:tcPr>
          <w:p>
            <w:pPr>
              <w:pStyle w:val="TableContents"/>
              <w:bidi w:val="0"/>
              <w:spacing w:before="0" w:after="283"/>
              <w:jc w:val="left"/>
              <w:rPr/>
            </w:pPr>
            <w:r>
              <w:rPr/>
              <w:t> </w:t>
            </w:r>
          </w:p>
        </w:tc>
        <w:tc>
          <w:tcPr>
            <w:tcW w:w="1085" w:type="dxa"/>
            <w:tcBorders>
              <w:bottom w:val="single" w:sz="8" w:space="0" w:color="000000"/>
            </w:tcBorders>
            <w:shd w:fill="CCEEFF" w:val="clear"/>
            <w:vAlign w:val="center"/>
          </w:tcPr>
          <w:p>
            <w:pPr>
              <w:pStyle w:val="TableContents"/>
              <w:bidi w:val="0"/>
              <w:spacing w:before="0" w:after="283"/>
              <w:jc w:val="right"/>
              <w:rPr>
                <w:b/>
              </w:rPr>
            </w:pPr>
            <w:r>
              <w:rPr>
                <w:b/>
              </w:rPr>
              <w:t>(24,927</w:t>
            </w:r>
          </w:p>
        </w:tc>
        <w:tc>
          <w:tcPr>
            <w:tcW w:w="12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b/>
              </w:rPr>
            </w:pPr>
            <w:r>
              <w:rPr>
                <w:b/>
              </w:rPr>
              <w:t>(7,996</w:t>
            </w:r>
          </w:p>
        </w:tc>
        <w:tc>
          <w:tcPr>
            <w:tcW w:w="12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vAlign w:val="center"/>
          </w:tcPr>
          <w:p>
            <w:pPr>
              <w:pStyle w:val="TableContents"/>
              <w:bidi w:val="0"/>
              <w:spacing w:before="0" w:after="283"/>
              <w:jc w:val="left"/>
              <w:rPr/>
            </w:pPr>
            <w:r>
              <w:rPr/>
              <w:t> </w:t>
            </w:r>
          </w:p>
        </w:tc>
        <w:tc>
          <w:tcPr>
            <w:tcW w:w="678" w:type="dxa"/>
            <w:tcBorders>
              <w:bottom w:val="single" w:sz="8" w:space="0" w:color="000000"/>
            </w:tcBorders>
            <w:shd w:fill="CCEEFF" w:val="clear"/>
            <w:vAlign w:val="center"/>
          </w:tcPr>
          <w:p>
            <w:pPr>
              <w:pStyle w:val="TableContents"/>
              <w:bidi w:val="0"/>
              <w:spacing w:before="0" w:after="0"/>
              <w:jc w:val="righ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b/>
              </w:rPr>
            </w:pPr>
            <w:r>
              <w:rPr>
                <w:b/>
              </w:rPr>
              <w:t>(32,923</w:t>
            </w:r>
          </w:p>
        </w:tc>
        <w:tc>
          <w:tcPr>
            <w:tcW w:w="169" w:type="dxa"/>
            <w:tcBorders>
              <w:bottom w:val="single" w:sz="8" w:space="0" w:color="000000"/>
            </w:tcBorders>
            <w:shd w:fill="CCEEFF" w:val="clear"/>
            <w:vAlign w:val="center"/>
          </w:tcPr>
          <w:p>
            <w:pPr>
              <w:pStyle w:val="TableContents"/>
              <w:bidi w:val="0"/>
              <w:spacing w:before="0" w:after="283"/>
              <w:ind w:left="0" w:right="0" w:hanging="180"/>
              <w:jc w:val="left"/>
              <w:rPr>
                <w:b/>
              </w:rPr>
            </w:pPr>
            <w:r>
              <w:rPr>
                <w:b/>
              </w:rPr>
              <w:t>)</w:t>
            </w:r>
          </w:p>
        </w:tc>
      </w:tr>
      <w:tr>
        <w:trPr/>
        <w:tc>
          <w:tcPr>
            <w:tcW w:w="3849" w:type="dxa"/>
            <w:tcBorders>
              <w:bottom w:val="single" w:sz="12" w:space="0" w:color="000000"/>
            </w:tcBorders>
            <w:vAlign w:val="center"/>
          </w:tcPr>
          <w:p>
            <w:pPr>
              <w:pStyle w:val="TableContents"/>
              <w:bidi w:val="0"/>
              <w:spacing w:before="0" w:after="283"/>
              <w:jc w:val="left"/>
              <w:rPr/>
            </w:pPr>
            <w:r>
              <w:rPr/>
              <w:t>Presented as property, plant and equipment</w:t>
            </w:r>
          </w:p>
        </w:tc>
        <w:tc>
          <w:tcPr>
            <w:tcW w:w="90" w:type="dxa"/>
            <w:tcBorders>
              <w:bottom w:val="single" w:sz="12" w:space="0" w:color="000000"/>
            </w:tcBorders>
            <w:vAlign w:val="center"/>
          </w:tcPr>
          <w:p>
            <w:pPr>
              <w:pStyle w:val="TableContents"/>
              <w:bidi w:val="0"/>
              <w:spacing w:before="0" w:after="283"/>
              <w:jc w:val="left"/>
              <w:rPr/>
            </w:pPr>
            <w:r>
              <w:rPr/>
              <w:t> </w:t>
            </w:r>
          </w:p>
        </w:tc>
        <w:tc>
          <w:tcPr>
            <w:tcW w:w="146" w:type="dxa"/>
            <w:tcBorders>
              <w:bottom w:val="single" w:sz="12" w:space="0" w:color="000000"/>
            </w:tcBorders>
            <w:vAlign w:val="center"/>
          </w:tcPr>
          <w:p>
            <w:pPr>
              <w:pStyle w:val="TableContents"/>
              <w:bidi w:val="0"/>
              <w:spacing w:before="0" w:after="283"/>
              <w:jc w:val="left"/>
              <w:rPr/>
            </w:pPr>
            <w:r>
              <w:rPr/>
              <w:t> </w:t>
            </w:r>
          </w:p>
        </w:tc>
        <w:tc>
          <w:tcPr>
            <w:tcW w:w="474"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3" w:type="dxa"/>
            <w:tcBorders>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right"/>
              <w:rPr>
                <w:b/>
              </w:rPr>
            </w:pPr>
            <w:r>
              <w:rPr>
                <w:b/>
              </w:rPr>
              <w:t>12,924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b/>
              </w:rPr>
            </w:pPr>
            <w:r>
              <w:rPr>
                <w:b/>
              </w:rPr>
              <w:t>7,666</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b/>
              </w:rPr>
            </w:pPr>
            <w:r>
              <w:rPr>
                <w:b/>
              </w:rPr>
              <w:t>62,443</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1" w:type="dxa"/>
            <w:tcBorders>
              <w:bottom w:val="single" w:sz="12" w:space="0" w:color="000000"/>
            </w:tcBorders>
            <w:vAlign w:val="center"/>
          </w:tcPr>
          <w:p>
            <w:pPr>
              <w:pStyle w:val="TableContents"/>
              <w:bidi w:val="0"/>
              <w:spacing w:before="0" w:after="283"/>
              <w:jc w:val="left"/>
              <w:rPr/>
            </w:pPr>
            <w:r>
              <w:rPr/>
              <w:t> </w:t>
            </w:r>
          </w:p>
        </w:tc>
        <w:tc>
          <w:tcPr>
            <w:tcW w:w="678" w:type="dxa"/>
            <w:tcBorders>
              <w:bottom w:val="single" w:sz="12" w:space="0" w:color="000000"/>
            </w:tcBorders>
            <w:vAlign w:val="center"/>
          </w:tcPr>
          <w:p>
            <w:pPr>
              <w:pStyle w:val="TableContents"/>
              <w:bidi w:val="0"/>
              <w:spacing w:before="0" w:after="283"/>
              <w:jc w:val="right"/>
              <w:rPr>
                <w:b/>
              </w:rPr>
            </w:pPr>
            <w:r>
              <w:rPr>
                <w:b/>
              </w:rPr>
              <w:t>9,363</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b/>
              </w:rPr>
            </w:pPr>
            <w:r>
              <w:rPr>
                <w:b/>
              </w:rPr>
              <w:t>92,396</w:t>
            </w:r>
          </w:p>
        </w:tc>
        <w:tc>
          <w:tcPr>
            <w:tcW w:w="169"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Includes 23,106 M30 of which 15,226 are classified as assets held for sale, 10,329 M31 of which 9,169 are classified as assets held for sale, 2,473 M50 of which 532 are classified as assets held for sale and 1,943 M53 Miners.</w:t>
            </w:r>
          </w:p>
        </w:tc>
      </w:tr>
    </w:tbl>
    <w:p>
      <w:pPr>
        <w:pStyle w:val="TextBody"/>
        <w:bidi w:val="0"/>
        <w:spacing w:before="0" w:after="0"/>
        <w:ind w:left="0" w:right="0" w:hanging="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68"/>
        <w:gridCol w:w="290"/>
        <w:gridCol w:w="612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pPr>
            <w:r>
              <w:rPr/>
              <w:t>Includes 3,975 S21, 4,523 S21 Pro and 865 S21 Hydro Miners.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10 for more details on assets held for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08"/>
        <w:gridCol w:w="90"/>
        <w:gridCol w:w="146"/>
        <w:gridCol w:w="474"/>
        <w:gridCol w:w="90"/>
        <w:gridCol w:w="90"/>
        <w:gridCol w:w="134"/>
        <w:gridCol w:w="1069"/>
        <w:gridCol w:w="125"/>
        <w:gridCol w:w="90"/>
        <w:gridCol w:w="90"/>
        <w:gridCol w:w="710"/>
        <w:gridCol w:w="125"/>
        <w:gridCol w:w="90"/>
        <w:gridCol w:w="118"/>
        <w:gridCol w:w="877"/>
        <w:gridCol w:w="125"/>
        <w:gridCol w:w="90"/>
        <w:gridCol w:w="120"/>
        <w:gridCol w:w="657"/>
        <w:gridCol w:w="125"/>
        <w:gridCol w:w="90"/>
        <w:gridCol w:w="90"/>
        <w:gridCol w:w="710"/>
        <w:gridCol w:w="172"/>
      </w:tblGrid>
      <w:tr>
        <w:trPr/>
        <w:tc>
          <w:tcPr>
            <w:tcW w:w="3708"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620" w:type="dxa"/>
            <w:gridSpan w:val="2"/>
            <w:tcBorders>
              <w:bottom w:val="single" w:sz="8" w:space="0" w:color="000000"/>
            </w:tcBorders>
            <w:vAlign w:val="center"/>
          </w:tcPr>
          <w:p>
            <w:pPr>
              <w:pStyle w:val="TableContents"/>
              <w:bidi w:val="0"/>
              <w:spacing w:before="0" w:after="283"/>
              <w:jc w:val="right"/>
              <w:rPr>
                <w:b/>
              </w:rPr>
            </w:pPr>
            <w:r>
              <w:rPr>
                <w:b/>
              </w:rPr>
              <w:t>Notes</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203"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MicroBT</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WhatsMiner*</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00"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Bitmain</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S19j Pro</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95"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Innosilicon</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T3 &amp; T2T</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777" w:type="dxa"/>
            <w:gridSpan w:val="2"/>
            <w:tcBorders>
              <w:bottom w:val="single" w:sz="8" w:space="0" w:color="000000"/>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Bitmain </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S19XP</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00" w:type="dxa"/>
            <w:gridSpan w:val="2"/>
            <w:tcBorders>
              <w:bottom w:val="single" w:sz="8" w:space="0" w:color="000000"/>
            </w:tcBorders>
            <w:vAlign w:val="center"/>
          </w:tcPr>
          <w:p>
            <w:pPr>
              <w:pStyle w:val="TableContents"/>
              <w:bidi w:val="0"/>
              <w:spacing w:before="0" w:after="283"/>
              <w:jc w:val="right"/>
              <w:rPr>
                <w:b/>
              </w:rPr>
            </w:pPr>
            <w:r>
              <w:rPr>
                <w:b/>
              </w:rPr>
              <w:t>Total</w:t>
            </w:r>
          </w:p>
        </w:tc>
        <w:tc>
          <w:tcPr>
            <w:tcW w:w="172" w:type="dxa"/>
            <w:tcBorders>
              <w:bottom w:val="single" w:sz="8" w:space="0" w:color="000000"/>
            </w:tcBorders>
            <w:vAlign w:val="center"/>
          </w:tcPr>
          <w:p>
            <w:pPr>
              <w:pStyle w:val="TableContents"/>
              <w:bidi w:val="0"/>
              <w:spacing w:before="0" w:after="283"/>
              <w:jc w:val="right"/>
              <w:rPr/>
            </w:pPr>
            <w:r>
              <w:rPr/>
              <w:t> </w:t>
            </w:r>
          </w:p>
        </w:tc>
      </w:tr>
      <w:tr>
        <w:trPr/>
        <w:tc>
          <w:tcPr>
            <w:tcW w:w="3708" w:type="dxa"/>
            <w:tcBorders>
              <w:bottom w:val="single" w:sz="8" w:space="0" w:color="000000"/>
            </w:tcBorders>
            <w:shd w:fill="CCEEFF" w:val="clear"/>
            <w:vAlign w:val="center"/>
          </w:tcPr>
          <w:p>
            <w:pPr>
              <w:pStyle w:val="TableContents"/>
              <w:bidi w:val="0"/>
              <w:spacing w:before="0" w:after="283"/>
              <w:jc w:val="left"/>
              <w:rPr/>
            </w:pPr>
            <w:r>
              <w:rPr/>
              <w:t>Quantity as of January 1, 2023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vAlign w:val="center"/>
          </w:tcPr>
          <w:p>
            <w:pPr>
              <w:pStyle w:val="TableContents"/>
              <w:bidi w:val="0"/>
              <w:spacing w:before="0" w:after="283"/>
              <w:jc w:val="left"/>
              <w:rPr/>
            </w:pPr>
            <w:r>
              <w:rPr/>
              <w:t> </w:t>
            </w:r>
          </w:p>
        </w:tc>
        <w:tc>
          <w:tcPr>
            <w:tcW w:w="1069" w:type="dxa"/>
            <w:tcBorders>
              <w:bottom w:val="single" w:sz="8" w:space="0" w:color="000000"/>
            </w:tcBorders>
            <w:shd w:fill="CCEEFF" w:val="clear"/>
            <w:vAlign w:val="center"/>
          </w:tcPr>
          <w:p>
            <w:pPr>
              <w:pStyle w:val="TableContents"/>
              <w:bidi w:val="0"/>
              <w:spacing w:before="0" w:after="283"/>
              <w:jc w:val="right"/>
              <w:rPr/>
            </w:pPr>
            <w:r>
              <w:rPr/>
              <w:t>45,375</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7,172</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vAlign w:val="center"/>
          </w:tcPr>
          <w:p>
            <w:pPr>
              <w:pStyle w:val="TableContents"/>
              <w:bidi w:val="0"/>
              <w:spacing w:before="0" w:after="283"/>
              <w:jc w:val="left"/>
              <w:rPr/>
            </w:pPr>
            <w:r>
              <w:rPr/>
              <w:t> </w:t>
            </w:r>
          </w:p>
        </w:tc>
        <w:tc>
          <w:tcPr>
            <w:tcW w:w="877" w:type="dxa"/>
            <w:tcBorders>
              <w:bottom w:val="single" w:sz="8" w:space="0" w:color="000000"/>
            </w:tcBorders>
            <w:shd w:fill="CCEEFF" w:val="clear"/>
            <w:vAlign w:val="center"/>
          </w:tcPr>
          <w:p>
            <w:pPr>
              <w:pStyle w:val="TableContents"/>
              <w:bidi w:val="0"/>
              <w:spacing w:before="0" w:after="283"/>
              <w:jc w:val="right"/>
              <w:rPr/>
            </w:pPr>
            <w:r>
              <w:rPr/>
              <w:t>5,711</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vAlign w:val="center"/>
          </w:tcPr>
          <w:p>
            <w:pPr>
              <w:pStyle w:val="TableContents"/>
              <w:bidi w:val="0"/>
              <w:spacing w:before="0" w:after="283"/>
              <w:jc w:val="left"/>
              <w:rPr/>
            </w:pPr>
            <w:r>
              <w:rPr/>
              <w:t> </w:t>
            </w:r>
          </w:p>
        </w:tc>
        <w:tc>
          <w:tcPr>
            <w:tcW w:w="657"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58,258</w:t>
            </w:r>
          </w:p>
        </w:tc>
        <w:tc>
          <w:tcPr>
            <w:tcW w:w="172"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708" w:type="dxa"/>
            <w:tcBorders/>
            <w:tcMar>
              <w:bottom w:w="0" w:type="dxa"/>
            </w:tcMar>
            <w:vAlign w:val="center"/>
          </w:tcPr>
          <w:p>
            <w:pPr>
              <w:pStyle w:val="TableContents"/>
              <w:bidi w:val="0"/>
              <w:spacing w:before="0" w:after="283"/>
              <w:jc w:val="left"/>
              <w:rPr/>
            </w:pPr>
            <w:r>
              <w:rPr/>
              <w:t>Additions</w:t>
            </w:r>
          </w:p>
        </w:tc>
        <w:tc>
          <w:tcPr>
            <w:tcW w:w="9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47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 w:type="dxa"/>
            <w:tcBorders/>
            <w:tcMar>
              <w:bottom w:w="0" w:type="dxa"/>
            </w:tcMar>
            <w:vAlign w:val="center"/>
          </w:tcPr>
          <w:p>
            <w:pPr>
              <w:pStyle w:val="TableContents"/>
              <w:bidi w:val="0"/>
              <w:spacing w:before="0" w:after="283"/>
              <w:jc w:val="left"/>
              <w:rPr/>
            </w:pPr>
            <w:r>
              <w:rPr/>
              <w:t> </w:t>
            </w:r>
          </w:p>
        </w:tc>
        <w:tc>
          <w:tcPr>
            <w:tcW w:w="1069" w:type="dxa"/>
            <w:tcBorders/>
            <w:tcMar>
              <w:bottom w:w="0" w:type="dxa"/>
            </w:tcMar>
            <w:vAlign w:val="center"/>
          </w:tcPr>
          <w:p>
            <w:pPr>
              <w:pStyle w:val="TableContents"/>
              <w:bidi w:val="0"/>
              <w:spacing w:before="0" w:after="283"/>
              <w:jc w:val="right"/>
              <w:rPr/>
            </w:pPr>
            <w:r>
              <w:rPr/>
              <w:t>8,281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9,289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877"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 w:type="dxa"/>
            <w:tcBorders/>
            <w:tcMar>
              <w:bottom w:w="0" w:type="dxa"/>
            </w:tcMar>
            <w:vAlign w:val="center"/>
          </w:tcPr>
          <w:p>
            <w:pPr>
              <w:pStyle w:val="TableContents"/>
              <w:bidi w:val="0"/>
              <w:spacing w:before="0" w:after="283"/>
              <w:jc w:val="left"/>
              <w:rPr/>
            </w:pPr>
            <w:r>
              <w:rPr/>
              <w:t> </w:t>
            </w:r>
          </w:p>
        </w:tc>
        <w:tc>
          <w:tcPr>
            <w:tcW w:w="657" w:type="dxa"/>
            <w:tcBorders/>
            <w:tcMar>
              <w:bottom w:w="0" w:type="dxa"/>
            </w:tcMar>
            <w:vAlign w:val="center"/>
          </w:tcPr>
          <w:p>
            <w:pPr>
              <w:pStyle w:val="TableContents"/>
              <w:bidi w:val="0"/>
              <w:spacing w:before="0" w:after="283"/>
              <w:jc w:val="right"/>
              <w:rPr/>
            </w:pPr>
            <w:r>
              <w:rPr/>
              <w:t>409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17,979</w:t>
            </w:r>
          </w:p>
        </w:tc>
        <w:tc>
          <w:tcPr>
            <w:tcW w:w="172" w:type="dxa"/>
            <w:tcBorders/>
            <w:tcMar>
              <w:bottom w:w="0" w:type="dxa"/>
            </w:tcMar>
            <w:vAlign w:val="center"/>
          </w:tcPr>
          <w:p>
            <w:pPr>
              <w:pStyle w:val="TableContents"/>
              <w:bidi w:val="0"/>
              <w:spacing w:before="0" w:after="283"/>
              <w:jc w:val="left"/>
              <w:rPr/>
            </w:pPr>
            <w:r>
              <w:rPr/>
              <w:t> </w:t>
            </w:r>
          </w:p>
        </w:tc>
      </w:tr>
      <w:tr>
        <w:trPr/>
        <w:tc>
          <w:tcPr>
            <w:tcW w:w="3708" w:type="dxa"/>
            <w:tcBorders>
              <w:bottom w:val="single" w:sz="8" w:space="0" w:color="000000"/>
            </w:tcBorders>
            <w:shd w:fill="CCEEFF" w:val="clear"/>
            <w:vAlign w:val="center"/>
          </w:tcPr>
          <w:p>
            <w:pPr>
              <w:pStyle w:val="TableContents"/>
              <w:bidi w:val="0"/>
              <w:spacing w:before="0" w:after="283"/>
              <w:jc w:val="left"/>
              <w:rPr/>
            </w:pPr>
            <w:r>
              <w:rPr/>
              <w:t>Dispositions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vAlign w:val="center"/>
          </w:tcPr>
          <w:p>
            <w:pPr>
              <w:pStyle w:val="TableContents"/>
              <w:bidi w:val="0"/>
              <w:spacing w:before="0" w:after="283"/>
              <w:jc w:val="left"/>
              <w:rPr/>
            </w:pPr>
            <w:r>
              <w:rPr/>
              <w:t> </w:t>
            </w:r>
          </w:p>
        </w:tc>
        <w:tc>
          <w:tcPr>
            <w:tcW w:w="1069" w:type="dxa"/>
            <w:tcBorders>
              <w:bottom w:val="single" w:sz="8" w:space="0" w:color="000000"/>
            </w:tcBorders>
            <w:shd w:fill="CCEEFF" w:val="clear"/>
            <w:vAlign w:val="center"/>
          </w:tcPr>
          <w:p>
            <w:pPr>
              <w:pStyle w:val="TableContents"/>
              <w:bidi w:val="0"/>
              <w:spacing w:before="0" w:after="283"/>
              <w:jc w:val="right"/>
              <w:rPr/>
            </w:pPr>
            <w:r>
              <w:rPr/>
              <w:t>(1,918</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(100</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vAlign w:val="center"/>
          </w:tcPr>
          <w:p>
            <w:pPr>
              <w:pStyle w:val="TableContents"/>
              <w:bidi w:val="0"/>
              <w:spacing w:before="0" w:after="283"/>
              <w:jc w:val="left"/>
              <w:rPr/>
            </w:pPr>
            <w:r>
              <w:rPr/>
              <w:t> </w:t>
            </w:r>
          </w:p>
        </w:tc>
        <w:tc>
          <w:tcPr>
            <w:tcW w:w="877" w:type="dxa"/>
            <w:tcBorders>
              <w:bottom w:val="single" w:sz="8" w:space="0" w:color="000000"/>
            </w:tcBorders>
            <w:shd w:fill="CCEEFF" w:val="clear"/>
            <w:vAlign w:val="center"/>
          </w:tcPr>
          <w:p>
            <w:pPr>
              <w:pStyle w:val="TableContents"/>
              <w:bidi w:val="0"/>
              <w:spacing w:before="0" w:after="283"/>
              <w:jc w:val="right"/>
              <w:rPr/>
            </w:pPr>
            <w:r>
              <w:rPr/>
              <w:t>(5,711</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vAlign w:val="center"/>
          </w:tcPr>
          <w:p>
            <w:pPr>
              <w:pStyle w:val="TableContents"/>
              <w:bidi w:val="0"/>
              <w:spacing w:before="0" w:after="283"/>
              <w:jc w:val="left"/>
              <w:rPr/>
            </w:pPr>
            <w:r>
              <w:rPr/>
              <w:t> </w:t>
            </w:r>
          </w:p>
        </w:tc>
        <w:tc>
          <w:tcPr>
            <w:tcW w:w="657" w:type="dxa"/>
            <w:tcBorders>
              <w:bottom w:val="single" w:sz="8" w:space="0" w:color="000000"/>
            </w:tcBorders>
            <w:shd w:fill="CCEEFF" w:val="clear"/>
            <w:vAlign w:val="center"/>
          </w:tcPr>
          <w:p>
            <w:pPr>
              <w:pStyle w:val="TableContents"/>
              <w:bidi w:val="0"/>
              <w:spacing w:before="0" w:after="283"/>
              <w:jc w:val="right"/>
              <w:rPr/>
            </w:pPr>
            <w:r>
              <w:rPr/>
              <w:t>(409</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(8,138</w:t>
            </w:r>
          </w:p>
        </w:tc>
        <w:tc>
          <w:tcPr>
            <w:tcW w:w="172"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3708" w:type="dxa"/>
            <w:tcBorders>
              <w:bottom w:val="single" w:sz="12" w:space="0" w:color="000000"/>
            </w:tcBorders>
            <w:vAlign w:val="center"/>
          </w:tcPr>
          <w:p>
            <w:pPr>
              <w:pStyle w:val="TableContents"/>
              <w:bidi w:val="0"/>
              <w:spacing w:before="0" w:after="283"/>
              <w:jc w:val="left"/>
              <w:rPr>
                <w:b/>
              </w:rPr>
            </w:pPr>
            <w:r>
              <w:rPr>
                <w:b/>
              </w:rPr>
              <w:t>Quantity as of December 31, 2023</w:t>
            </w:r>
          </w:p>
        </w:tc>
        <w:tc>
          <w:tcPr>
            <w:tcW w:w="90" w:type="dxa"/>
            <w:tcBorders>
              <w:bottom w:val="single" w:sz="12" w:space="0" w:color="000000"/>
            </w:tcBorders>
            <w:vAlign w:val="center"/>
          </w:tcPr>
          <w:p>
            <w:pPr>
              <w:pStyle w:val="TableContents"/>
              <w:bidi w:val="0"/>
              <w:spacing w:before="0" w:after="283"/>
              <w:jc w:val="left"/>
              <w:rPr/>
            </w:pPr>
            <w:r>
              <w:rPr/>
              <w:t> </w:t>
            </w:r>
          </w:p>
        </w:tc>
        <w:tc>
          <w:tcPr>
            <w:tcW w:w="146" w:type="dxa"/>
            <w:tcBorders>
              <w:bottom w:val="single" w:sz="12" w:space="0" w:color="000000"/>
            </w:tcBorders>
            <w:vAlign w:val="center"/>
          </w:tcPr>
          <w:p>
            <w:pPr>
              <w:pStyle w:val="TableContents"/>
              <w:bidi w:val="0"/>
              <w:spacing w:before="0" w:after="283"/>
              <w:jc w:val="left"/>
              <w:rPr/>
            </w:pPr>
            <w:r>
              <w:rPr/>
              <w:t> </w:t>
            </w:r>
          </w:p>
        </w:tc>
        <w:tc>
          <w:tcPr>
            <w:tcW w:w="474"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 w:type="dxa"/>
            <w:tcBorders>
              <w:bottom w:val="single" w:sz="12" w:space="0" w:color="000000"/>
            </w:tcBorders>
            <w:vAlign w:val="center"/>
          </w:tcPr>
          <w:p>
            <w:pPr>
              <w:pStyle w:val="TableContents"/>
              <w:bidi w:val="0"/>
              <w:spacing w:before="0" w:after="283"/>
              <w:jc w:val="left"/>
              <w:rPr/>
            </w:pPr>
            <w:r>
              <w:rPr/>
              <w:t> </w:t>
            </w:r>
          </w:p>
        </w:tc>
        <w:tc>
          <w:tcPr>
            <w:tcW w:w="1069" w:type="dxa"/>
            <w:tcBorders>
              <w:bottom w:val="single" w:sz="12" w:space="0" w:color="000000"/>
            </w:tcBorders>
            <w:vAlign w:val="center"/>
          </w:tcPr>
          <w:p>
            <w:pPr>
              <w:pStyle w:val="TableContents"/>
              <w:bidi w:val="0"/>
              <w:spacing w:before="0" w:after="283"/>
              <w:jc w:val="right"/>
              <w:rPr/>
            </w:pPr>
            <w:r>
              <w:rPr/>
              <w:t>51,738</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16,361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8" w:type="dxa"/>
            <w:tcBorders>
              <w:bottom w:val="single" w:sz="12" w:space="0" w:color="000000"/>
            </w:tcBorders>
            <w:vAlign w:val="center"/>
          </w:tcPr>
          <w:p>
            <w:pPr>
              <w:pStyle w:val="TableContents"/>
              <w:bidi w:val="0"/>
              <w:spacing w:before="0" w:after="283"/>
              <w:jc w:val="left"/>
              <w:rPr/>
            </w:pPr>
            <w:r>
              <w:rPr/>
              <w:t> </w:t>
            </w:r>
          </w:p>
        </w:tc>
        <w:tc>
          <w:tcPr>
            <w:tcW w:w="877" w:type="dxa"/>
            <w:tcBorders>
              <w:bottom w:val="single" w:sz="12" w:space="0" w:color="000000"/>
            </w:tcBorders>
            <w:vAlign w:val="center"/>
          </w:tcPr>
          <w:p>
            <w:pPr>
              <w:pStyle w:val="TableContents"/>
              <w:bidi w:val="0"/>
              <w:spacing w:before="0" w:after="0"/>
              <w:jc w:val="right"/>
              <w:rPr/>
            </w:pPr>
            <w:r>
              <w:rPr/>
              <w:t>—</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0" w:type="dxa"/>
            <w:tcBorders>
              <w:bottom w:val="single" w:sz="12" w:space="0" w:color="000000"/>
            </w:tcBorders>
            <w:vAlign w:val="center"/>
          </w:tcPr>
          <w:p>
            <w:pPr>
              <w:pStyle w:val="TableContents"/>
              <w:bidi w:val="0"/>
              <w:spacing w:before="0" w:after="283"/>
              <w:jc w:val="left"/>
              <w:rPr/>
            </w:pPr>
            <w:r>
              <w:rPr/>
              <w:t> </w:t>
            </w:r>
          </w:p>
        </w:tc>
        <w:tc>
          <w:tcPr>
            <w:tcW w:w="657" w:type="dxa"/>
            <w:tcBorders>
              <w:bottom w:val="single" w:sz="12" w:space="0" w:color="000000"/>
            </w:tcBorders>
            <w:vAlign w:val="center"/>
          </w:tcPr>
          <w:p>
            <w:pPr>
              <w:pStyle w:val="TableContents"/>
              <w:bidi w:val="0"/>
              <w:spacing w:before="0" w:after="0"/>
              <w:jc w:val="right"/>
              <w:rPr/>
            </w:pPr>
            <w:r>
              <w:rPr/>
              <w:t>—</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68,099</w:t>
            </w:r>
          </w:p>
        </w:tc>
        <w:tc>
          <w:tcPr>
            <w:tcW w:w="172" w:type="dxa"/>
            <w:tcBorders>
              <w:bottom w:val="single" w:sz="12" w:space="0" w:color="000000"/>
            </w:tcBorders>
            <w:vAlign w:val="center"/>
          </w:tcPr>
          <w:p>
            <w:pPr>
              <w:pStyle w:val="TableContents"/>
              <w:bidi w:val="0"/>
              <w:spacing w:before="0" w:after="283"/>
              <w:jc w:val="left"/>
              <w:rPr/>
            </w:pPr>
            <w:r>
              <w:rPr/>
              <w:t> </w:t>
            </w:r>
          </w:p>
        </w:tc>
      </w:tr>
      <w:tr>
        <w:trPr/>
        <w:tc>
          <w:tcPr>
            <w:tcW w:w="3708" w:type="dxa"/>
            <w:tcBorders>
              <w:bottom w:val="single" w:sz="8" w:space="0" w:color="000000"/>
            </w:tcBorders>
            <w:shd w:fill="CCEEFF" w:val="clear"/>
            <w:vAlign w:val="center"/>
          </w:tcPr>
          <w:p>
            <w:pPr>
              <w:pStyle w:val="TableContents"/>
              <w:bidi w:val="0"/>
              <w:spacing w:before="0" w:after="283"/>
              <w:jc w:val="left"/>
              <w:rPr/>
            </w:pPr>
            <w:r>
              <w:rPr/>
              <w:t>Classified as assets held for sale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474" w:type="dxa"/>
            <w:tcBorders>
              <w:bottom w:val="single" w:sz="8" w:space="0" w:color="000000"/>
            </w:tcBorders>
            <w:shd w:fill="CCEEFF" w:val="clear"/>
            <w:vAlign w:val="center"/>
          </w:tcPr>
          <w:p>
            <w:pPr>
              <w:pStyle w:val="TableContents"/>
              <w:bidi w:val="0"/>
              <w:spacing w:before="0" w:after="283"/>
              <w:jc w:val="right"/>
              <w:rPr/>
            </w:pPr>
            <w:r>
              <w:rPr/>
              <w:t>10</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4" w:type="dxa"/>
            <w:tcBorders>
              <w:bottom w:val="single" w:sz="8" w:space="0" w:color="000000"/>
            </w:tcBorders>
            <w:shd w:fill="CCEEFF" w:val="clear"/>
            <w:vAlign w:val="center"/>
          </w:tcPr>
          <w:p>
            <w:pPr>
              <w:pStyle w:val="TableContents"/>
              <w:bidi w:val="0"/>
              <w:spacing w:before="0" w:after="283"/>
              <w:jc w:val="left"/>
              <w:rPr/>
            </w:pPr>
            <w:r>
              <w:rPr/>
              <w:t> </w:t>
            </w:r>
          </w:p>
        </w:tc>
        <w:tc>
          <w:tcPr>
            <w:tcW w:w="1069" w:type="dxa"/>
            <w:tcBorders>
              <w:bottom w:val="single" w:sz="8" w:space="0" w:color="000000"/>
            </w:tcBorders>
            <w:shd w:fill="CCEEFF" w:val="clear"/>
            <w:vAlign w:val="center"/>
          </w:tcPr>
          <w:p>
            <w:pPr>
              <w:pStyle w:val="TableContents"/>
              <w:bidi w:val="0"/>
              <w:spacing w:before="0" w:after="283"/>
              <w:jc w:val="right"/>
              <w:rPr/>
            </w:pPr>
            <w:r>
              <w:rPr/>
              <w:t>(731</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(300</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vAlign w:val="center"/>
          </w:tcPr>
          <w:p>
            <w:pPr>
              <w:pStyle w:val="TableContents"/>
              <w:bidi w:val="0"/>
              <w:spacing w:before="0" w:after="283"/>
              <w:jc w:val="left"/>
              <w:rPr/>
            </w:pPr>
            <w:r>
              <w:rPr/>
              <w:t> </w:t>
            </w:r>
          </w:p>
        </w:tc>
        <w:tc>
          <w:tcPr>
            <w:tcW w:w="877"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vAlign w:val="center"/>
          </w:tcPr>
          <w:p>
            <w:pPr>
              <w:pStyle w:val="TableContents"/>
              <w:bidi w:val="0"/>
              <w:spacing w:before="0" w:after="283"/>
              <w:jc w:val="left"/>
              <w:rPr/>
            </w:pPr>
            <w:r>
              <w:rPr/>
              <w:t> </w:t>
            </w:r>
          </w:p>
        </w:tc>
        <w:tc>
          <w:tcPr>
            <w:tcW w:w="657"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(1,031</w:t>
            </w:r>
          </w:p>
        </w:tc>
        <w:tc>
          <w:tcPr>
            <w:tcW w:w="172"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3708" w:type="dxa"/>
            <w:tcBorders>
              <w:bottom w:val="single" w:sz="12" w:space="0" w:color="000000"/>
            </w:tcBorders>
            <w:vAlign w:val="center"/>
          </w:tcPr>
          <w:p>
            <w:pPr>
              <w:pStyle w:val="TableContents"/>
              <w:bidi w:val="0"/>
              <w:spacing w:before="0" w:after="283"/>
              <w:jc w:val="left"/>
              <w:rPr/>
            </w:pPr>
            <w:r>
              <w:rPr/>
              <w:t>Presented as property, plant and equipment</w:t>
            </w:r>
          </w:p>
        </w:tc>
        <w:tc>
          <w:tcPr>
            <w:tcW w:w="90" w:type="dxa"/>
            <w:tcBorders>
              <w:bottom w:val="single" w:sz="12" w:space="0" w:color="000000"/>
            </w:tcBorders>
            <w:vAlign w:val="center"/>
          </w:tcPr>
          <w:p>
            <w:pPr>
              <w:pStyle w:val="TableContents"/>
              <w:bidi w:val="0"/>
              <w:spacing w:before="0" w:after="283"/>
              <w:jc w:val="left"/>
              <w:rPr/>
            </w:pPr>
            <w:r>
              <w:rPr/>
              <w:t> </w:t>
            </w:r>
          </w:p>
        </w:tc>
        <w:tc>
          <w:tcPr>
            <w:tcW w:w="146" w:type="dxa"/>
            <w:tcBorders>
              <w:bottom w:val="single" w:sz="12" w:space="0" w:color="000000"/>
            </w:tcBorders>
            <w:vAlign w:val="center"/>
          </w:tcPr>
          <w:p>
            <w:pPr>
              <w:pStyle w:val="TableContents"/>
              <w:bidi w:val="0"/>
              <w:spacing w:before="0" w:after="283"/>
              <w:jc w:val="left"/>
              <w:rPr/>
            </w:pPr>
            <w:r>
              <w:rPr/>
              <w:t> </w:t>
            </w:r>
          </w:p>
        </w:tc>
        <w:tc>
          <w:tcPr>
            <w:tcW w:w="474"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4" w:type="dxa"/>
            <w:tcBorders>
              <w:bottom w:val="single" w:sz="12" w:space="0" w:color="000000"/>
            </w:tcBorders>
            <w:vAlign w:val="center"/>
          </w:tcPr>
          <w:p>
            <w:pPr>
              <w:pStyle w:val="TableContents"/>
              <w:bidi w:val="0"/>
              <w:spacing w:before="0" w:after="283"/>
              <w:jc w:val="left"/>
              <w:rPr/>
            </w:pPr>
            <w:r>
              <w:rPr/>
              <w:t> </w:t>
            </w:r>
          </w:p>
        </w:tc>
        <w:tc>
          <w:tcPr>
            <w:tcW w:w="1069" w:type="dxa"/>
            <w:tcBorders>
              <w:bottom w:val="single" w:sz="12" w:space="0" w:color="000000"/>
            </w:tcBorders>
            <w:vAlign w:val="center"/>
          </w:tcPr>
          <w:p>
            <w:pPr>
              <w:pStyle w:val="TableContents"/>
              <w:bidi w:val="0"/>
              <w:spacing w:before="0" w:after="283"/>
              <w:jc w:val="right"/>
              <w:rPr/>
            </w:pPr>
            <w:r>
              <w:rPr/>
              <w:t>51,007</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16,061</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8" w:type="dxa"/>
            <w:tcBorders>
              <w:bottom w:val="single" w:sz="12" w:space="0" w:color="000000"/>
            </w:tcBorders>
            <w:vAlign w:val="center"/>
          </w:tcPr>
          <w:p>
            <w:pPr>
              <w:pStyle w:val="TableContents"/>
              <w:bidi w:val="0"/>
              <w:spacing w:before="0" w:after="283"/>
              <w:jc w:val="left"/>
              <w:rPr/>
            </w:pPr>
            <w:r>
              <w:rPr/>
              <w:t> </w:t>
            </w:r>
          </w:p>
        </w:tc>
        <w:tc>
          <w:tcPr>
            <w:tcW w:w="877" w:type="dxa"/>
            <w:tcBorders>
              <w:bottom w:val="single" w:sz="12" w:space="0" w:color="000000"/>
            </w:tcBorders>
            <w:vAlign w:val="center"/>
          </w:tcPr>
          <w:p>
            <w:pPr>
              <w:pStyle w:val="TableContents"/>
              <w:bidi w:val="0"/>
              <w:spacing w:before="0" w:after="0"/>
              <w:jc w:val="right"/>
              <w:rPr/>
            </w:pPr>
            <w:r>
              <w:rPr/>
              <w:t>—</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0" w:type="dxa"/>
            <w:tcBorders>
              <w:bottom w:val="single" w:sz="12" w:space="0" w:color="000000"/>
            </w:tcBorders>
            <w:vAlign w:val="center"/>
          </w:tcPr>
          <w:p>
            <w:pPr>
              <w:pStyle w:val="TableContents"/>
              <w:bidi w:val="0"/>
              <w:spacing w:before="0" w:after="283"/>
              <w:jc w:val="left"/>
              <w:rPr/>
            </w:pPr>
            <w:r>
              <w:rPr/>
              <w:t> </w:t>
            </w:r>
          </w:p>
        </w:tc>
        <w:tc>
          <w:tcPr>
            <w:tcW w:w="657" w:type="dxa"/>
            <w:tcBorders>
              <w:bottom w:val="single" w:sz="12" w:space="0" w:color="000000"/>
            </w:tcBorders>
            <w:vAlign w:val="center"/>
          </w:tcPr>
          <w:p>
            <w:pPr>
              <w:pStyle w:val="TableContents"/>
              <w:bidi w:val="0"/>
              <w:spacing w:before="0" w:after="0"/>
              <w:jc w:val="right"/>
              <w:rPr/>
            </w:pPr>
            <w:r>
              <w:rPr/>
              <w:t>—</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67,068</w:t>
            </w:r>
          </w:p>
        </w:tc>
        <w:tc>
          <w:tcPr>
            <w:tcW w:w="172"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Includes 731 M20S classified as assets held for sale, 36,018 M30S, 12,517 M31S and 2,473 M50 Miners.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10 for more details on assets held for sale.</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44 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68"/>
        <w:gridCol w:w="1115"/>
        <w:gridCol w:w="576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12:</w:t>
            </w:r>
          </w:p>
        </w:tc>
        <w:tc>
          <w:tcPr>
            <w:tcW w:w="5765" w:type="dxa"/>
            <w:tcBorders/>
            <w:vAlign w:val="center"/>
          </w:tcPr>
          <w:p>
            <w:pPr>
              <w:pStyle w:val="TableContents"/>
              <w:bidi w:val="0"/>
              <w:spacing w:before="0" w:after="283"/>
              <w:jc w:val="both"/>
              <w:rPr/>
            </w:pPr>
            <w:r>
              <w:rPr>
                <w:b/>
              </w:rPr>
              <w:t>PROPERTY, PLANT AND EQUIPMENT</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the useful life, residual value and depreciation method of certain Miners in the first quarter of 2024</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1"/>
        <w:gridCol w:w="1154"/>
        <w:gridCol w:w="8590"/>
      </w:tblGrid>
      <w:tr>
        <w:trPr/>
        <w:tc>
          <w:tcPr>
            <w:tcW w:w="46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i/>
              </w:rPr>
            </w:pPr>
            <w:r>
              <w:rPr>
                <w:i/>
              </w:rPr>
              <w:t>i.</w:t>
            </w:r>
          </w:p>
        </w:tc>
        <w:tc>
          <w:tcPr>
            <w:tcW w:w="8590" w:type="dxa"/>
            <w:tcBorders/>
            <w:vAlign w:val="center"/>
          </w:tcPr>
          <w:p>
            <w:pPr>
              <w:pStyle w:val="TableContents"/>
              <w:bidi w:val="0"/>
              <w:spacing w:before="0" w:after="283"/>
              <w:jc w:val="both"/>
              <w:rPr>
                <w:i/>
              </w:rPr>
            </w:pPr>
            <w:r>
              <w:rPr>
                <w:i/>
              </w:rPr>
              <w:t>Background</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the Company exercised its purchase option for 28,000 Bitmain T21 Miners and entered into purchase agreements to acquire 19,280 Bitmain T21 Miners, 3,888 Bitmain S21 Miners and 740 Bitmain S21 Hydro Miners. Refer to Note 14 for more details. The Company intends to liquidate its older Miners that are expected to be replaced with the Bitmain T21 Miners, Bitmain S21 Miners, Bitmain S21 Hydro Miners and other Hydro Miners. Refer to Note 10 for more details about the Miners held for sale.</w:t>
      </w:r>
    </w:p>
    <w:p>
      <w:pPr>
        <w:pStyle w:val="TextBody"/>
        <w:bidi w:val="0"/>
        <w:spacing w:before="0" w:after="0"/>
        <w:ind w:left="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68"/>
        <w:gridCol w:w="230"/>
        <w:gridCol w:w="246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rPr>
            </w:pPr>
            <w:r>
              <w:rPr>
                <w:i/>
              </w:rPr>
              <w:t>ii.</w:t>
            </w:r>
          </w:p>
        </w:tc>
        <w:tc>
          <w:tcPr>
            <w:tcW w:w="2465" w:type="dxa"/>
            <w:tcBorders/>
            <w:vAlign w:val="center"/>
          </w:tcPr>
          <w:p>
            <w:pPr>
              <w:pStyle w:val="TableContents"/>
              <w:bidi w:val="0"/>
              <w:spacing w:before="0" w:after="283"/>
              <w:jc w:val="both"/>
              <w:rPr>
                <w:i/>
              </w:rPr>
            </w:pPr>
            <w:r>
              <w:rPr>
                <w:i/>
              </w:rPr>
              <w:t>Accelerated depreciation</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older Miners will remain in service until the new Miners are installed to replace them. The Company has changed the usage and the retention strategy of the older Miners and, accordingly, revised their specific useful life, residual value and depreciation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are summarized as follows:</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decreasing the specific useful life of the older Miners from five years to two years to reflect their eventual disposal in 2024;</w:t>
            </w:r>
          </w:p>
        </w:tc>
      </w:tr>
    </w:tbl>
    <w:tbl>
      <w:tblPr>
        <w:tblW w:w="5000" w:type="pct"/>
        <w:jc w:val="left"/>
        <w:tblInd w:w="0" w:type="dxa"/>
        <w:tblLayout w:type="fixed"/>
        <w:tblCellMar>
          <w:top w:w="0" w:type="dxa"/>
          <w:left w:w="0" w:type="dxa"/>
          <w:bottom w:w="0" w:type="dxa"/>
          <w:right w:w="0" w:type="dxa"/>
        </w:tblCellMar>
      </w:tblPr>
      <w:tblGrid>
        <w:gridCol w:w="74"/>
        <w:gridCol w:w="220"/>
        <w:gridCol w:w="9911"/>
      </w:tblGrid>
      <w:tr>
        <w:trPr/>
        <w:tc>
          <w:tcPr>
            <w:tcW w:w="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pPr>
            <w:r>
              <w:rPr/>
              <w:t>decreasing the residual values to reflect the expected proceeds from the eventual disposals; and</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accelerating the depreciation method from sum-of-years over five years to straight-line method over two years to represent the change in pattern in which their future economic benefits are expected to be consumed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recorded accelerated depreciation of $77,600 on its older Miners. These older Miners assets were fully depreciated to their residual values by the end of 2024 and no effect is expected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replace the older Miners, as well as a review of the useful life, residual value and depreciation method were indicators for impairment testing during the first quarter of 2024. As a result, the Company performed evaluations of the recoverable amount of the assets for operating the data centers separately in Canada, United States, Argentina and Paraguay. Based on its calculations, which were based on discounted cash flow models, the Company determined that no impairment loss should be recorded.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the useful life, depreciation method and residual values of all Miners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2024, as part of the Company’s annual review of its estimates used to account for property, plant and equipment, the Company reassessed the depreciation method, the useful life and the residual values of BVVE.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made the strategic decisions to i) replace older Miners before the end of their initial useful life as explained above and ii) amend on November 12, 2024 the Purchase Option and the March 2024 Purchase Order and upgrade 18,853 Bitmain T21 Miners with 18,853 Bitmain S21 Pro Miners. Refer to Note 14 for more details.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45 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68"/>
        <w:gridCol w:w="1115"/>
        <w:gridCol w:w="576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12:</w:t>
            </w:r>
          </w:p>
        </w:tc>
        <w:tc>
          <w:tcPr>
            <w:tcW w:w="5765" w:type="dxa"/>
            <w:tcBorders/>
            <w:vAlign w:val="center"/>
          </w:tcPr>
          <w:p>
            <w:pPr>
              <w:pStyle w:val="TableContents"/>
              <w:bidi w:val="0"/>
              <w:spacing w:before="0" w:after="283"/>
              <w:jc w:val="both"/>
              <w:rPr/>
            </w:pPr>
            <w:r>
              <w:rPr>
                <w:b/>
              </w:rPr>
              <w:t xml:space="preserve">PROPERTY, PLANT AND EQUIPMENT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Change in the useful life, depreciation method and residual values of all Miners in the fourth quarter of 2024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expected average useful life of Miners is less than 5 years and the sum-of-year method does not best reflect the pattern of consumption of its future economic benefits.</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 modified the useful life of the Miners from 5 to 3 years and the depreciation method from sum-of-years to the straight-line method. The residual values of the Miners remained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depreciation method of the mining-related equipment was modified from sum-of-years to the straight-line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these modifications represent changes in accounting estimates and were applied prospectively, starting December 1, 2024, resulting in an additional depreciation expense of $2,061 during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8" w:name="a_021"/>
      <w:bookmarkEnd w:id="48"/>
      <w:r>
        <w:rPr>
          <w:rFonts w:ascii="Times New Roman;Times;Serif" w:hAnsi="Times New Roman;Times;Serif"/>
          <w:b/>
          <w:i w:val="false"/>
          <w:caps w:val="false"/>
          <w:smallCaps w:val="false"/>
          <w:sz w:val="20"/>
        </w:rPr>
        <w:t xml:space="preserve">NOTE 13: INTANGIBLE ASSETS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42"/>
        <w:gridCol w:w="90"/>
        <w:gridCol w:w="620"/>
        <w:gridCol w:w="90"/>
        <w:gridCol w:w="227"/>
        <w:gridCol w:w="1505"/>
        <w:gridCol w:w="90"/>
        <w:gridCol w:w="90"/>
        <w:gridCol w:w="336"/>
        <w:gridCol w:w="2218"/>
        <w:gridCol w:w="90"/>
        <w:gridCol w:w="90"/>
        <w:gridCol w:w="90"/>
        <w:gridCol w:w="590"/>
        <w:gridCol w:w="137"/>
      </w:tblGrid>
      <w:tr>
        <w:trPr/>
        <w:tc>
          <w:tcPr>
            <w:tcW w:w="3942"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right"/>
              <w:rPr>
                <w:b/>
              </w:rPr>
            </w:pPr>
            <w:r>
              <w:rPr>
                <w:b/>
              </w:rPr>
              <w:t>Notes</w:t>
            </w:r>
          </w:p>
        </w:tc>
        <w:tc>
          <w:tcPr>
            <w:tcW w:w="90" w:type="dxa"/>
            <w:tcBorders>
              <w:bottom w:val="single" w:sz="8" w:space="0" w:color="000000"/>
            </w:tcBorders>
            <w:vAlign w:val="center"/>
          </w:tcPr>
          <w:p>
            <w:pPr>
              <w:pStyle w:val="TableContents"/>
              <w:bidi w:val="0"/>
              <w:spacing w:before="0" w:after="283"/>
              <w:jc w:val="left"/>
              <w:rPr/>
            </w:pPr>
            <w:r>
              <w:rPr/>
              <w:t> </w:t>
            </w:r>
          </w:p>
        </w:tc>
        <w:tc>
          <w:tcPr>
            <w:tcW w:w="1732" w:type="dxa"/>
            <w:gridSpan w:val="2"/>
            <w:tcBorders>
              <w:bottom w:val="single" w:sz="8" w:space="0" w:color="000000"/>
            </w:tcBorders>
            <w:vAlign w:val="center"/>
          </w:tcPr>
          <w:p>
            <w:pPr>
              <w:pStyle w:val="TableContents"/>
              <w:bidi w:val="0"/>
              <w:spacing w:before="0" w:after="283"/>
              <w:jc w:val="right"/>
              <w:rPr>
                <w:b/>
              </w:rPr>
            </w:pPr>
            <w:r>
              <w:rPr>
                <w:b/>
              </w:rPr>
              <w:t>Systems software</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554" w:type="dxa"/>
            <w:gridSpan w:val="2"/>
            <w:tcBorders>
              <w:bottom w:val="single" w:sz="8" w:space="0" w:color="000000"/>
            </w:tcBorders>
            <w:vAlign w:val="center"/>
          </w:tcPr>
          <w:p>
            <w:pPr>
              <w:pStyle w:val="TableContents"/>
              <w:bidi w:val="0"/>
              <w:spacing w:before="0" w:after="283"/>
              <w:jc w:val="right"/>
              <w:rPr>
                <w:b/>
              </w:rPr>
            </w:pPr>
            <w:r>
              <w:rPr>
                <w:b/>
              </w:rPr>
              <w:t>Access rights to electricity</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right"/>
              <w:rPr>
                <w:b/>
              </w:rPr>
            </w:pPr>
            <w:r>
              <w:rPr>
                <w:b/>
              </w:rPr>
              <w:t>Total</w:t>
            </w:r>
          </w:p>
        </w:tc>
        <w:tc>
          <w:tcPr>
            <w:tcW w:w="137"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3942" w:type="dxa"/>
            <w:tcBorders>
              <w:bottom w:val="single" w:sz="8" w:space="0" w:color="000000"/>
            </w:tcBorders>
            <w:vAlign w:val="center"/>
          </w:tcPr>
          <w:p>
            <w:pPr>
              <w:pStyle w:val="TableContents"/>
              <w:bidi w:val="0"/>
              <w:spacing w:before="0" w:after="283"/>
              <w:jc w:val="left"/>
              <w:rPr>
                <w:b/>
              </w:rPr>
            </w:pPr>
            <w:r>
              <w:rPr>
                <w:b/>
              </w:rPr>
              <w:t>Cost</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732" w:type="dxa"/>
            <w:gridSpan w:val="2"/>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554" w:type="dxa"/>
            <w:gridSpan w:val="2"/>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left"/>
              <w:rPr/>
            </w:pPr>
            <w:r>
              <w:rPr/>
              <w:t> </w:t>
            </w:r>
          </w:p>
        </w:tc>
        <w:tc>
          <w:tcPr>
            <w:tcW w:w="137"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3942" w:type="dxa"/>
            <w:tcBorders/>
            <w:shd w:fill="CCEEFF" w:val="clear"/>
            <w:tcMar>
              <w:bottom w:w="0" w:type="dxa"/>
            </w:tcMar>
            <w:vAlign w:val="center"/>
          </w:tcPr>
          <w:p>
            <w:pPr>
              <w:pStyle w:val="TableContents"/>
              <w:bidi w:val="0"/>
              <w:spacing w:before="0" w:after="283"/>
              <w:jc w:val="left"/>
              <w:rPr/>
            </w:pPr>
            <w:r>
              <w:rPr/>
              <w:t>Balance as of January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right"/>
              <w:rPr>
                <w:b/>
              </w:rPr>
            </w:pPr>
            <w:r>
              <w:rPr>
                <w:b/>
              </w:rPr>
              <w:t>5,150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6" w:type="dxa"/>
            <w:tcBorders/>
            <w:shd w:fill="CCEEFF" w:val="clear"/>
            <w:tcMar>
              <w:bottom w:w="0" w:type="dxa"/>
            </w:tcMar>
            <w:vAlign w:val="center"/>
          </w:tcPr>
          <w:p>
            <w:pPr>
              <w:pStyle w:val="TableContents"/>
              <w:bidi w:val="0"/>
              <w:spacing w:before="0" w:after="283"/>
              <w:jc w:val="left"/>
              <w:rPr/>
            </w:pPr>
            <w:r>
              <w:rPr/>
              <w:t> </w:t>
            </w:r>
          </w:p>
        </w:tc>
        <w:tc>
          <w:tcPr>
            <w:tcW w:w="2218" w:type="dxa"/>
            <w:tcBorders/>
            <w:shd w:fill="CCEEFF" w:val="clear"/>
            <w:tcMar>
              <w:bottom w:w="0" w:type="dxa"/>
            </w:tcMar>
            <w:vAlign w:val="center"/>
          </w:tcPr>
          <w:p>
            <w:pPr>
              <w:pStyle w:val="TableContents"/>
              <w:bidi w:val="0"/>
              <w:spacing w:before="0" w:after="283"/>
              <w:jc w:val="right"/>
              <w:rPr>
                <w:b/>
              </w:rPr>
            </w:pPr>
            <w:r>
              <w:rPr>
                <w:b/>
              </w:rPr>
              <w:t>3,801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b/>
              </w:rPr>
            </w:pPr>
            <w:r>
              <w:rPr>
                <w:b/>
              </w:rPr>
              <w:t>8,951</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3942" w:type="dxa"/>
            <w:tcBorders>
              <w:bottom w:val="single" w:sz="8" w:space="0" w:color="000000"/>
            </w:tcBorders>
            <w:tcMar>
              <w:bottom w:w="30" w:type="dxa"/>
            </w:tcMar>
            <w:vAlign w:val="center"/>
          </w:tcPr>
          <w:p>
            <w:pPr>
              <w:pStyle w:val="TableContents"/>
              <w:bidi w:val="0"/>
              <w:spacing w:before="0" w:after="283"/>
              <w:jc w:val="left"/>
              <w:rPr/>
            </w:pPr>
            <w:r>
              <w:rPr/>
              <w:t>Additions</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27" w:type="dxa"/>
            <w:tcBorders>
              <w:bottom w:val="single" w:sz="8" w:space="0" w:color="000000"/>
            </w:tcBorders>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36" w:type="dxa"/>
            <w:tcBorders>
              <w:bottom w:val="single" w:sz="8" w:space="0" w:color="000000"/>
            </w:tcBorders>
            <w:vAlign w:val="center"/>
          </w:tcPr>
          <w:p>
            <w:pPr>
              <w:pStyle w:val="TableContents"/>
              <w:bidi w:val="0"/>
              <w:spacing w:before="0" w:after="283"/>
              <w:jc w:val="left"/>
              <w:rPr/>
            </w:pPr>
            <w:r>
              <w:rPr/>
              <w:t> </w:t>
            </w:r>
          </w:p>
        </w:tc>
        <w:tc>
          <w:tcPr>
            <w:tcW w:w="2218" w:type="dxa"/>
            <w:tcBorders>
              <w:bottom w:val="single" w:sz="8" w:space="0" w:color="000000"/>
            </w:tcBorders>
            <w:vAlign w:val="center"/>
          </w:tcPr>
          <w:p>
            <w:pPr>
              <w:pStyle w:val="TableContents"/>
              <w:bidi w:val="0"/>
              <w:spacing w:before="0" w:after="283"/>
              <w:jc w:val="right"/>
              <w:rPr>
                <w:b/>
              </w:rPr>
            </w:pPr>
            <w:r>
              <w:rPr>
                <w:b/>
              </w:rPr>
              <w:t>912</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b/>
              </w:rPr>
            </w:pPr>
            <w:r>
              <w:rPr>
                <w:b/>
              </w:rPr>
              <w:t>912</w:t>
            </w:r>
          </w:p>
        </w:tc>
        <w:tc>
          <w:tcPr>
            <w:tcW w:w="137"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3942"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Balance as of December 31, 2024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1505" w:type="dxa"/>
            <w:tcBorders>
              <w:bottom w:val="single" w:sz="8" w:space="0" w:color="000000"/>
            </w:tcBorders>
            <w:shd w:fill="CCEEFF" w:val="clear"/>
            <w:vAlign w:val="center"/>
          </w:tcPr>
          <w:p>
            <w:pPr>
              <w:pStyle w:val="TableContents"/>
              <w:bidi w:val="0"/>
              <w:spacing w:before="0" w:after="283"/>
              <w:jc w:val="right"/>
              <w:rPr>
                <w:b/>
              </w:rPr>
            </w:pPr>
            <w:r>
              <w:rPr>
                <w:b/>
              </w:rPr>
              <w:t>5,150</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36" w:type="dxa"/>
            <w:tcBorders>
              <w:bottom w:val="single" w:sz="8" w:space="0" w:color="000000"/>
            </w:tcBorders>
            <w:shd w:fill="CCEEFF" w:val="clear"/>
            <w:vAlign w:val="center"/>
          </w:tcPr>
          <w:p>
            <w:pPr>
              <w:pStyle w:val="TableContents"/>
              <w:bidi w:val="0"/>
              <w:spacing w:before="0" w:after="283"/>
              <w:jc w:val="left"/>
              <w:rPr/>
            </w:pPr>
            <w:r>
              <w:rPr/>
              <w:t> </w:t>
            </w:r>
          </w:p>
        </w:tc>
        <w:tc>
          <w:tcPr>
            <w:tcW w:w="2218" w:type="dxa"/>
            <w:tcBorders>
              <w:bottom w:val="single" w:sz="8" w:space="0" w:color="000000"/>
            </w:tcBorders>
            <w:shd w:fill="CCEEFF" w:val="clear"/>
            <w:vAlign w:val="center"/>
          </w:tcPr>
          <w:p>
            <w:pPr>
              <w:pStyle w:val="TableContents"/>
              <w:bidi w:val="0"/>
              <w:spacing w:before="0" w:after="283"/>
              <w:jc w:val="right"/>
              <w:rPr>
                <w:b/>
              </w:rPr>
            </w:pPr>
            <w:r>
              <w:rPr>
                <w:b/>
              </w:rPr>
              <w:t>4,713</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rPr>
            </w:pPr>
            <w:r>
              <w:rPr>
                <w:b/>
              </w:rPr>
              <w:t>9,863</w:t>
            </w:r>
          </w:p>
        </w:tc>
        <w:tc>
          <w:tcPr>
            <w:tcW w:w="13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r>
      <w:tr>
        <w:trPr/>
        <w:tc>
          <w:tcPr>
            <w:tcW w:w="394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227"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6" w:type="dxa"/>
            <w:tcBorders/>
            <w:tcMar>
              <w:bottom w:w="0" w:type="dxa"/>
            </w:tcMar>
            <w:vAlign w:val="center"/>
          </w:tcPr>
          <w:p>
            <w:pPr>
              <w:pStyle w:val="TableContents"/>
              <w:bidi w:val="0"/>
              <w:spacing w:before="0" w:after="283"/>
              <w:jc w:val="left"/>
              <w:rPr/>
            </w:pPr>
            <w:r>
              <w:rPr/>
              <w:t> </w:t>
            </w:r>
          </w:p>
        </w:tc>
        <w:tc>
          <w:tcPr>
            <w:tcW w:w="221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3942"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Accumulated amortization</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150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36" w:type="dxa"/>
            <w:tcBorders>
              <w:bottom w:val="single" w:sz="8" w:space="0" w:color="000000"/>
            </w:tcBorders>
            <w:shd w:fill="CCEEFF" w:val="clear"/>
            <w:vAlign w:val="center"/>
          </w:tcPr>
          <w:p>
            <w:pPr>
              <w:pStyle w:val="TableContents"/>
              <w:bidi w:val="0"/>
              <w:spacing w:before="0" w:after="283"/>
              <w:jc w:val="left"/>
              <w:rPr/>
            </w:pPr>
            <w:r>
              <w:rPr/>
              <w:t> </w:t>
            </w:r>
          </w:p>
        </w:tc>
        <w:tc>
          <w:tcPr>
            <w:tcW w:w="2218"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30" w:type="dxa"/>
            </w:tcMar>
            <w:vAlign w:val="center"/>
          </w:tcPr>
          <w:p>
            <w:pPr>
              <w:pStyle w:val="TableContents"/>
              <w:bidi w:val="0"/>
              <w:spacing w:before="0" w:after="283"/>
              <w:jc w:val="right"/>
              <w:rPr/>
            </w:pPr>
            <w:r>
              <w:rPr/>
              <w:t> </w:t>
            </w:r>
          </w:p>
        </w:tc>
        <w:tc>
          <w:tcPr>
            <w:tcW w:w="13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r>
      <w:tr>
        <w:trPr/>
        <w:tc>
          <w:tcPr>
            <w:tcW w:w="3942" w:type="dxa"/>
            <w:tcBorders/>
            <w:tcMar>
              <w:bottom w:w="0" w:type="dxa"/>
            </w:tcMar>
            <w:vAlign w:val="center"/>
          </w:tcPr>
          <w:p>
            <w:pPr>
              <w:pStyle w:val="TableContents"/>
              <w:bidi w:val="0"/>
              <w:spacing w:before="0" w:after="283"/>
              <w:jc w:val="left"/>
              <w:rPr/>
            </w:pPr>
            <w:r>
              <w:rPr/>
              <w:t>Balance as of January 1, 2024</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227"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right"/>
              <w:rPr>
                <w:b/>
              </w:rPr>
            </w:pPr>
            <w:r>
              <w:rPr>
                <w:b/>
              </w:rPr>
              <w:t>5,138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6" w:type="dxa"/>
            <w:tcBorders/>
            <w:tcMar>
              <w:bottom w:w="0" w:type="dxa"/>
            </w:tcMar>
            <w:vAlign w:val="center"/>
          </w:tcPr>
          <w:p>
            <w:pPr>
              <w:pStyle w:val="TableContents"/>
              <w:bidi w:val="0"/>
              <w:spacing w:before="0" w:after="283"/>
              <w:jc w:val="left"/>
              <w:rPr/>
            </w:pPr>
            <w:r>
              <w:rPr/>
              <w:t> </w:t>
            </w:r>
          </w:p>
        </w:tc>
        <w:tc>
          <w:tcPr>
            <w:tcW w:w="2218" w:type="dxa"/>
            <w:tcBorders/>
            <w:tcMar>
              <w:bottom w:w="0" w:type="dxa"/>
            </w:tcMar>
            <w:vAlign w:val="center"/>
          </w:tcPr>
          <w:p>
            <w:pPr>
              <w:pStyle w:val="TableContents"/>
              <w:bidi w:val="0"/>
              <w:spacing w:before="0" w:after="283"/>
              <w:jc w:val="right"/>
              <w:rPr>
                <w:b/>
              </w:rPr>
            </w:pPr>
            <w:r>
              <w:rPr>
                <w:b/>
              </w:rPr>
              <w:t>113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b/>
              </w:rPr>
            </w:pPr>
            <w:r>
              <w:rPr>
                <w:b/>
              </w:rPr>
              <w:t>5,251</w:t>
            </w:r>
          </w:p>
        </w:tc>
        <w:tc>
          <w:tcPr>
            <w:tcW w:w="137" w:type="dxa"/>
            <w:tcBorders/>
            <w:tcMar>
              <w:bottom w:w="0" w:type="dxa"/>
            </w:tcMar>
            <w:vAlign w:val="center"/>
          </w:tcPr>
          <w:p>
            <w:pPr>
              <w:pStyle w:val="TableContents"/>
              <w:bidi w:val="0"/>
              <w:spacing w:before="0" w:after="283"/>
              <w:jc w:val="left"/>
              <w:rPr/>
            </w:pPr>
            <w:r>
              <w:rPr/>
              <w:t> </w:t>
            </w:r>
          </w:p>
        </w:tc>
      </w:tr>
      <w:tr>
        <w:trPr/>
        <w:tc>
          <w:tcPr>
            <w:tcW w:w="3942" w:type="dxa"/>
            <w:tcBorders>
              <w:bottom w:val="single" w:sz="8" w:space="0" w:color="000000"/>
            </w:tcBorders>
            <w:shd w:fill="CCEEFF" w:val="clear"/>
            <w:tcMar>
              <w:bottom w:w="30" w:type="dxa"/>
            </w:tcMar>
            <w:vAlign w:val="center"/>
          </w:tcPr>
          <w:p>
            <w:pPr>
              <w:pStyle w:val="TableContents"/>
              <w:bidi w:val="0"/>
              <w:spacing w:before="0" w:after="283"/>
              <w:jc w:val="left"/>
              <w:rPr/>
            </w:pPr>
            <w:r>
              <w:rPr/>
              <w:t>Amortization</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1505" w:type="dxa"/>
            <w:tcBorders>
              <w:bottom w:val="single" w:sz="8" w:space="0" w:color="000000"/>
            </w:tcBorders>
            <w:shd w:fill="CCEEFF" w:val="clear"/>
            <w:vAlign w:val="center"/>
          </w:tcPr>
          <w:p>
            <w:pPr>
              <w:pStyle w:val="TableContents"/>
              <w:bidi w:val="0"/>
              <w:spacing w:before="0" w:after="283"/>
              <w:jc w:val="right"/>
              <w:rPr>
                <w:b/>
              </w:rPr>
            </w:pPr>
            <w:r>
              <w:rPr>
                <w:b/>
              </w:rPr>
              <w:t>12</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36" w:type="dxa"/>
            <w:tcBorders>
              <w:bottom w:val="single" w:sz="8" w:space="0" w:color="000000"/>
            </w:tcBorders>
            <w:shd w:fill="CCEEFF" w:val="clear"/>
            <w:vAlign w:val="center"/>
          </w:tcPr>
          <w:p>
            <w:pPr>
              <w:pStyle w:val="TableContents"/>
              <w:bidi w:val="0"/>
              <w:spacing w:before="0" w:after="283"/>
              <w:jc w:val="left"/>
              <w:rPr/>
            </w:pPr>
            <w:r>
              <w:rPr/>
              <w:t> </w:t>
            </w:r>
          </w:p>
        </w:tc>
        <w:tc>
          <w:tcPr>
            <w:tcW w:w="2218" w:type="dxa"/>
            <w:tcBorders>
              <w:bottom w:val="single" w:sz="8" w:space="0" w:color="000000"/>
            </w:tcBorders>
            <w:shd w:fill="CCEEFF" w:val="clear"/>
            <w:vAlign w:val="center"/>
          </w:tcPr>
          <w:p>
            <w:pPr>
              <w:pStyle w:val="TableContents"/>
              <w:bidi w:val="0"/>
              <w:spacing w:before="0" w:after="283"/>
              <w:jc w:val="right"/>
              <w:rPr>
                <w:b/>
              </w:rPr>
            </w:pPr>
            <w:r>
              <w:rPr>
                <w:b/>
              </w:rPr>
              <w:t>561</w:t>
            </w:r>
          </w:p>
        </w:tc>
        <w:tc>
          <w:tcPr>
            <w:tcW w:w="9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rPr>
            </w:pPr>
            <w:r>
              <w:rPr>
                <w:b/>
              </w:rPr>
              <w:t>573</w:t>
            </w:r>
          </w:p>
        </w:tc>
        <w:tc>
          <w:tcPr>
            <w:tcW w:w="13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r>
      <w:tr>
        <w:trPr/>
        <w:tc>
          <w:tcPr>
            <w:tcW w:w="3942" w:type="dxa"/>
            <w:tcBorders>
              <w:bottom w:val="single" w:sz="8" w:space="0" w:color="000000"/>
            </w:tcBorders>
            <w:tcMar>
              <w:bottom w:w="30" w:type="dxa"/>
            </w:tcMar>
            <w:vAlign w:val="center"/>
          </w:tcPr>
          <w:p>
            <w:pPr>
              <w:pStyle w:val="TableContents"/>
              <w:bidi w:val="0"/>
              <w:spacing w:before="0" w:after="283"/>
              <w:jc w:val="left"/>
              <w:rPr>
                <w:b/>
              </w:rPr>
            </w:pPr>
            <w:r>
              <w:rPr>
                <w:b/>
              </w:rPr>
              <w:t>Balance as of December 31, 2024</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27" w:type="dxa"/>
            <w:tcBorders>
              <w:bottom w:val="single" w:sz="8" w:space="0" w:color="000000"/>
            </w:tcBorders>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right"/>
              <w:rPr>
                <w:b/>
              </w:rPr>
            </w:pPr>
            <w:r>
              <w:rPr>
                <w:b/>
              </w:rPr>
              <w:t>5,150</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36" w:type="dxa"/>
            <w:tcBorders>
              <w:bottom w:val="single" w:sz="8" w:space="0" w:color="000000"/>
            </w:tcBorders>
            <w:vAlign w:val="center"/>
          </w:tcPr>
          <w:p>
            <w:pPr>
              <w:pStyle w:val="TableContents"/>
              <w:bidi w:val="0"/>
              <w:spacing w:before="0" w:after="283"/>
              <w:jc w:val="left"/>
              <w:rPr/>
            </w:pPr>
            <w:r>
              <w:rPr/>
              <w:t> </w:t>
            </w:r>
          </w:p>
        </w:tc>
        <w:tc>
          <w:tcPr>
            <w:tcW w:w="2218" w:type="dxa"/>
            <w:tcBorders>
              <w:bottom w:val="single" w:sz="8" w:space="0" w:color="000000"/>
            </w:tcBorders>
            <w:vAlign w:val="center"/>
          </w:tcPr>
          <w:p>
            <w:pPr>
              <w:pStyle w:val="TableContents"/>
              <w:bidi w:val="0"/>
              <w:spacing w:before="0" w:after="283"/>
              <w:jc w:val="right"/>
              <w:rPr>
                <w:b/>
              </w:rPr>
            </w:pPr>
            <w:r>
              <w:rPr>
                <w:b/>
              </w:rPr>
              <w:t>674</w:t>
            </w:r>
          </w:p>
        </w:tc>
        <w:tc>
          <w:tcPr>
            <w:tcW w:w="90" w:type="dxa"/>
            <w:tcBorders>
              <w:bottom w:val="single" w:sz="8" w:space="0" w:color="000000"/>
            </w:tcBorders>
            <w:tcMar>
              <w:bottom w:w="3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b/>
              </w:rPr>
            </w:pPr>
            <w:r>
              <w:rPr>
                <w:b/>
              </w:rPr>
              <w:t>5,824</w:t>
            </w:r>
          </w:p>
        </w:tc>
        <w:tc>
          <w:tcPr>
            <w:tcW w:w="137"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3942"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150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36" w:type="dxa"/>
            <w:tcBorders>
              <w:bottom w:val="single" w:sz="8" w:space="0" w:color="000000"/>
            </w:tcBorders>
            <w:shd w:fill="CCEEFF" w:val="clear"/>
            <w:vAlign w:val="center"/>
          </w:tcPr>
          <w:p>
            <w:pPr>
              <w:pStyle w:val="TableContents"/>
              <w:bidi w:val="0"/>
              <w:spacing w:before="0" w:after="283"/>
              <w:jc w:val="left"/>
              <w:rPr/>
            </w:pPr>
            <w:r>
              <w:rPr/>
              <w:t> </w:t>
            </w:r>
          </w:p>
        </w:tc>
        <w:tc>
          <w:tcPr>
            <w:tcW w:w="2218"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 </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942" w:type="dxa"/>
            <w:tcBorders>
              <w:bottom w:val="single" w:sz="12" w:space="0" w:color="000000"/>
            </w:tcBorders>
            <w:tcMar>
              <w:bottom w:w="30" w:type="dxa"/>
            </w:tcMar>
            <w:vAlign w:val="center"/>
          </w:tcPr>
          <w:p>
            <w:pPr>
              <w:pStyle w:val="TableContents"/>
              <w:bidi w:val="0"/>
              <w:spacing w:before="0" w:after="283"/>
              <w:jc w:val="left"/>
              <w:rPr>
                <w:b/>
              </w:rPr>
            </w:pPr>
            <w:r>
              <w:rPr>
                <w:b/>
              </w:rPr>
              <w:t>Net book value as of December 31, 2024</w:t>
            </w:r>
          </w:p>
        </w:tc>
        <w:tc>
          <w:tcPr>
            <w:tcW w:w="90"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7" w:type="dxa"/>
            <w:tcBorders>
              <w:bottom w:val="single" w:sz="12" w:space="0" w:color="000000"/>
            </w:tcBorders>
            <w:vAlign w:val="center"/>
          </w:tcPr>
          <w:p>
            <w:pPr>
              <w:pStyle w:val="TableContents"/>
              <w:bidi w:val="0"/>
              <w:spacing w:before="0" w:after="283"/>
              <w:jc w:val="left"/>
              <w:rPr/>
            </w:pPr>
            <w:r>
              <w:rPr/>
              <w:t> </w:t>
            </w:r>
          </w:p>
        </w:tc>
        <w:tc>
          <w:tcPr>
            <w:tcW w:w="1505" w:type="dxa"/>
            <w:tcBorders>
              <w:bottom w:val="single" w:sz="12" w:space="0" w:color="000000"/>
            </w:tcBorders>
            <w:vAlign w:val="center"/>
          </w:tcPr>
          <w:p>
            <w:pPr>
              <w:pStyle w:val="TableContents"/>
              <w:bidi w:val="0"/>
              <w:spacing w:before="0" w:after="0"/>
              <w:jc w:val="right"/>
              <w:rPr/>
            </w:pPr>
            <w:r>
              <w:rPr/>
              <w:t>—</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36" w:type="dxa"/>
            <w:tcBorders>
              <w:bottom w:val="single" w:sz="12" w:space="0" w:color="000000"/>
            </w:tcBorders>
            <w:vAlign w:val="center"/>
          </w:tcPr>
          <w:p>
            <w:pPr>
              <w:pStyle w:val="TableContents"/>
              <w:bidi w:val="0"/>
              <w:spacing w:before="0" w:after="283"/>
              <w:jc w:val="left"/>
              <w:rPr/>
            </w:pPr>
            <w:r>
              <w:rPr/>
              <w:t> </w:t>
            </w:r>
          </w:p>
        </w:tc>
        <w:tc>
          <w:tcPr>
            <w:tcW w:w="2218" w:type="dxa"/>
            <w:tcBorders>
              <w:bottom w:val="single" w:sz="12" w:space="0" w:color="000000"/>
            </w:tcBorders>
            <w:vAlign w:val="center"/>
          </w:tcPr>
          <w:p>
            <w:pPr>
              <w:pStyle w:val="TableContents"/>
              <w:bidi w:val="0"/>
              <w:spacing w:before="0" w:after="283"/>
              <w:jc w:val="right"/>
              <w:rPr>
                <w:b/>
              </w:rPr>
            </w:pPr>
            <w:r>
              <w:rPr>
                <w:b/>
              </w:rPr>
              <w:t>4,039</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b/>
              </w:rPr>
            </w:pPr>
            <w:r>
              <w:rPr>
                <w:b/>
              </w:rPr>
              <w:t>4,039</w:t>
            </w:r>
          </w:p>
        </w:tc>
        <w:tc>
          <w:tcPr>
            <w:tcW w:w="137"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3942"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62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90" w:type="dxa"/>
            <w:tcBorders>
              <w:bottom w:val="single" w:sz="8" w:space="0" w:color="000000"/>
            </w:tcBorders>
            <w:vAlign w:val="center"/>
          </w:tcPr>
          <w:p>
            <w:pPr>
              <w:pStyle w:val="TableContents"/>
              <w:bidi w:val="0"/>
              <w:spacing w:before="0" w:after="283"/>
              <w:jc w:val="right"/>
              <w:rPr/>
            </w:pPr>
            <w:r>
              <w:rPr/>
              <w:t> </w:t>
            </w:r>
          </w:p>
        </w:tc>
        <w:tc>
          <w:tcPr>
            <w:tcW w:w="1732" w:type="dxa"/>
            <w:gridSpan w:val="2"/>
            <w:tcBorders>
              <w:bottom w:val="single" w:sz="8" w:space="0" w:color="000000"/>
            </w:tcBorders>
            <w:vAlign w:val="center"/>
          </w:tcPr>
          <w:p>
            <w:pPr>
              <w:pStyle w:val="TableContents"/>
              <w:bidi w:val="0"/>
              <w:spacing w:before="0" w:after="283"/>
              <w:jc w:val="right"/>
              <w:rPr>
                <w:b/>
              </w:rPr>
            </w:pPr>
            <w:r>
              <w:rPr>
                <w:b/>
              </w:rPr>
              <w:t>Systems</w:t>
              <w:br/>
              <w:t>software</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554" w:type="dxa"/>
            <w:gridSpan w:val="2"/>
            <w:tcBorders>
              <w:bottom w:val="single" w:sz="8" w:space="0" w:color="000000"/>
            </w:tcBorders>
            <w:vAlign w:val="center"/>
          </w:tcPr>
          <w:p>
            <w:pPr>
              <w:pStyle w:val="TableContents"/>
              <w:bidi w:val="0"/>
              <w:spacing w:before="0" w:after="283"/>
              <w:jc w:val="right"/>
              <w:rPr>
                <w:b/>
              </w:rPr>
            </w:pPr>
            <w:r>
              <w:rPr>
                <w:b/>
              </w:rPr>
              <w:t>Access rights</w:t>
              <w:br/>
              <w:t>to electricity</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680" w:type="dxa"/>
            <w:gridSpan w:val="2"/>
            <w:tcBorders>
              <w:bottom w:val="single" w:sz="8" w:space="0" w:color="000000"/>
            </w:tcBorders>
            <w:vAlign w:val="center"/>
          </w:tcPr>
          <w:p>
            <w:pPr>
              <w:pStyle w:val="TableContents"/>
              <w:bidi w:val="0"/>
              <w:spacing w:before="0" w:after="283"/>
              <w:jc w:val="right"/>
              <w:rPr>
                <w:b/>
              </w:rPr>
            </w:pPr>
            <w:r>
              <w:rPr>
                <w:b/>
              </w:rPr>
              <w:t>Total</w:t>
            </w:r>
          </w:p>
        </w:tc>
        <w:tc>
          <w:tcPr>
            <w:tcW w:w="137" w:type="dxa"/>
            <w:tcBorders>
              <w:bottom w:val="single" w:sz="8" w:space="0" w:color="000000"/>
            </w:tcBorders>
            <w:vAlign w:val="center"/>
          </w:tcPr>
          <w:p>
            <w:pPr>
              <w:pStyle w:val="TableContents"/>
              <w:bidi w:val="0"/>
              <w:spacing w:before="0" w:after="283"/>
              <w:jc w:val="right"/>
              <w:rPr/>
            </w:pPr>
            <w:r>
              <w:rPr/>
              <w:t> </w:t>
            </w:r>
          </w:p>
        </w:tc>
      </w:tr>
      <w:tr>
        <w:trPr/>
        <w:tc>
          <w:tcPr>
            <w:tcW w:w="3942" w:type="dxa"/>
            <w:tcBorders>
              <w:bottom w:val="single" w:sz="8" w:space="0" w:color="000000"/>
            </w:tcBorders>
            <w:vAlign w:val="center"/>
          </w:tcPr>
          <w:p>
            <w:pPr>
              <w:pStyle w:val="TableContents"/>
              <w:bidi w:val="0"/>
              <w:spacing w:before="0" w:after="283"/>
              <w:jc w:val="left"/>
              <w:rPr>
                <w:b/>
              </w:rPr>
            </w:pPr>
            <w:r>
              <w:rPr>
                <w:b/>
              </w:rPr>
              <w:t>Cost</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732"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554" w:type="dxa"/>
            <w:gridSpan w:val="2"/>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left"/>
              <w:rPr/>
            </w:pPr>
            <w:r>
              <w:rPr/>
              <w:t> </w:t>
            </w:r>
          </w:p>
        </w:tc>
        <w:tc>
          <w:tcPr>
            <w:tcW w:w="137" w:type="dxa"/>
            <w:tcBorders>
              <w:bottom w:val="single" w:sz="8" w:space="0" w:color="000000"/>
            </w:tcBorders>
            <w:vAlign w:val="center"/>
          </w:tcPr>
          <w:p>
            <w:pPr>
              <w:pStyle w:val="TableContents"/>
              <w:bidi w:val="0"/>
              <w:spacing w:before="0" w:after="283"/>
              <w:jc w:val="left"/>
              <w:rPr/>
            </w:pPr>
            <w:r>
              <w:rPr/>
              <w:t> </w:t>
            </w:r>
          </w:p>
        </w:tc>
      </w:tr>
      <w:tr>
        <w:trPr/>
        <w:tc>
          <w:tcPr>
            <w:tcW w:w="3942" w:type="dxa"/>
            <w:tcBorders/>
            <w:shd w:fill="CCEEFF" w:val="clear"/>
            <w:tcMar>
              <w:bottom w:w="0" w:type="dxa"/>
            </w:tcMar>
            <w:vAlign w:val="center"/>
          </w:tcPr>
          <w:p>
            <w:pPr>
              <w:pStyle w:val="TableContents"/>
              <w:bidi w:val="0"/>
              <w:spacing w:before="0" w:after="283"/>
              <w:jc w:val="left"/>
              <w:rPr/>
            </w:pPr>
            <w:r>
              <w:rPr/>
              <w:t>Balance as of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right"/>
              <w:rPr/>
            </w:pPr>
            <w:r>
              <w:rPr/>
              <w:t>5,150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6" w:type="dxa"/>
            <w:tcBorders/>
            <w:shd w:fill="CCEEFF" w:val="clear"/>
            <w:tcMar>
              <w:bottom w:w="0" w:type="dxa"/>
            </w:tcMar>
            <w:vAlign w:val="center"/>
          </w:tcPr>
          <w:p>
            <w:pPr>
              <w:pStyle w:val="TableContents"/>
              <w:bidi w:val="0"/>
              <w:spacing w:before="0" w:after="283"/>
              <w:jc w:val="left"/>
              <w:rPr/>
            </w:pPr>
            <w:r>
              <w:rPr/>
              <w:t> </w:t>
            </w:r>
          </w:p>
        </w:tc>
        <w:tc>
          <w:tcPr>
            <w:tcW w:w="2218"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5,150</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3942" w:type="dxa"/>
            <w:tcBorders>
              <w:bottom w:val="single" w:sz="8" w:space="0" w:color="000000"/>
            </w:tcBorders>
            <w:vAlign w:val="center"/>
          </w:tcPr>
          <w:p>
            <w:pPr>
              <w:pStyle w:val="TableContents"/>
              <w:bidi w:val="0"/>
              <w:spacing w:before="0" w:after="283"/>
              <w:jc w:val="left"/>
              <w:rPr/>
            </w:pPr>
            <w:r>
              <w:rPr/>
              <w:t>Additions related to asset acquisitions</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right"/>
              <w:rPr/>
            </w:pPr>
            <w:r>
              <w:rPr/>
              <w:t>5</w:t>
            </w:r>
          </w:p>
        </w:tc>
        <w:tc>
          <w:tcPr>
            <w:tcW w:w="90" w:type="dxa"/>
            <w:tcBorders>
              <w:bottom w:val="single" w:sz="8" w:space="0" w:color="000000"/>
            </w:tcBorders>
            <w:vAlign w:val="center"/>
          </w:tcPr>
          <w:p>
            <w:pPr>
              <w:pStyle w:val="TableContents"/>
              <w:bidi w:val="0"/>
              <w:spacing w:before="0" w:after="283"/>
              <w:jc w:val="left"/>
              <w:rPr/>
            </w:pPr>
            <w:r>
              <w:rPr/>
              <w:t> </w:t>
            </w:r>
          </w:p>
        </w:tc>
        <w:tc>
          <w:tcPr>
            <w:tcW w:w="227" w:type="dxa"/>
            <w:tcBorders>
              <w:bottom w:val="single" w:sz="8" w:space="0" w:color="000000"/>
            </w:tcBorders>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36" w:type="dxa"/>
            <w:tcBorders>
              <w:bottom w:val="single" w:sz="8" w:space="0" w:color="000000"/>
            </w:tcBorders>
            <w:vAlign w:val="center"/>
          </w:tcPr>
          <w:p>
            <w:pPr>
              <w:pStyle w:val="TableContents"/>
              <w:bidi w:val="0"/>
              <w:spacing w:before="0" w:after="283"/>
              <w:jc w:val="left"/>
              <w:rPr/>
            </w:pPr>
            <w:r>
              <w:rPr/>
              <w:t> </w:t>
            </w:r>
          </w:p>
        </w:tc>
        <w:tc>
          <w:tcPr>
            <w:tcW w:w="2218" w:type="dxa"/>
            <w:tcBorders>
              <w:bottom w:val="single" w:sz="8" w:space="0" w:color="000000"/>
            </w:tcBorders>
            <w:vAlign w:val="center"/>
          </w:tcPr>
          <w:p>
            <w:pPr>
              <w:pStyle w:val="TableContents"/>
              <w:bidi w:val="0"/>
              <w:spacing w:before="0" w:after="283"/>
              <w:jc w:val="right"/>
              <w:rPr/>
            </w:pPr>
            <w:r>
              <w:rPr/>
              <w:t>3,801</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3,801</w:t>
            </w:r>
          </w:p>
        </w:tc>
        <w:tc>
          <w:tcPr>
            <w:tcW w:w="137" w:type="dxa"/>
            <w:tcBorders>
              <w:bottom w:val="single" w:sz="8" w:space="0" w:color="000000"/>
            </w:tcBorders>
            <w:vAlign w:val="center"/>
          </w:tcPr>
          <w:p>
            <w:pPr>
              <w:pStyle w:val="TableContents"/>
              <w:bidi w:val="0"/>
              <w:spacing w:before="0" w:after="283"/>
              <w:jc w:val="left"/>
              <w:rPr/>
            </w:pPr>
            <w:r>
              <w:rPr/>
              <w:t> </w:t>
            </w:r>
          </w:p>
        </w:tc>
      </w:tr>
      <w:tr>
        <w:trPr/>
        <w:tc>
          <w:tcPr>
            <w:tcW w:w="3942" w:type="dxa"/>
            <w:tcBorders>
              <w:bottom w:val="single" w:sz="8" w:space="0" w:color="000000"/>
            </w:tcBorders>
            <w:shd w:fill="CCEEFF" w:val="clear"/>
            <w:vAlign w:val="center"/>
          </w:tcPr>
          <w:p>
            <w:pPr>
              <w:pStyle w:val="TableContents"/>
              <w:bidi w:val="0"/>
              <w:spacing w:before="0" w:after="283"/>
              <w:jc w:val="left"/>
              <w:rPr/>
            </w:pPr>
            <w:r>
              <w:rPr/>
              <w:t>Balance as of December 31, 2023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1505" w:type="dxa"/>
            <w:tcBorders>
              <w:bottom w:val="single" w:sz="8" w:space="0" w:color="000000"/>
            </w:tcBorders>
            <w:shd w:fill="CCEEFF" w:val="clear"/>
            <w:vAlign w:val="center"/>
          </w:tcPr>
          <w:p>
            <w:pPr>
              <w:pStyle w:val="TableContents"/>
              <w:bidi w:val="0"/>
              <w:spacing w:before="0" w:after="283"/>
              <w:jc w:val="right"/>
              <w:rPr/>
            </w:pPr>
            <w:r>
              <w:rPr/>
              <w:t>5,150</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36" w:type="dxa"/>
            <w:tcBorders>
              <w:bottom w:val="single" w:sz="8" w:space="0" w:color="000000"/>
            </w:tcBorders>
            <w:shd w:fill="CCEEFF" w:val="clear"/>
            <w:vAlign w:val="center"/>
          </w:tcPr>
          <w:p>
            <w:pPr>
              <w:pStyle w:val="TableContents"/>
              <w:bidi w:val="0"/>
              <w:spacing w:before="0" w:after="283"/>
              <w:jc w:val="left"/>
              <w:rPr/>
            </w:pPr>
            <w:r>
              <w:rPr/>
              <w:t> </w:t>
            </w:r>
          </w:p>
        </w:tc>
        <w:tc>
          <w:tcPr>
            <w:tcW w:w="2218" w:type="dxa"/>
            <w:tcBorders>
              <w:bottom w:val="single" w:sz="8" w:space="0" w:color="000000"/>
            </w:tcBorders>
            <w:shd w:fill="CCEEFF" w:val="clear"/>
            <w:vAlign w:val="center"/>
          </w:tcPr>
          <w:p>
            <w:pPr>
              <w:pStyle w:val="TableContents"/>
              <w:bidi w:val="0"/>
              <w:spacing w:before="0" w:after="283"/>
              <w:jc w:val="right"/>
              <w:rPr/>
            </w:pPr>
            <w:r>
              <w:rPr/>
              <w:t>3,801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8,951</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94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227"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6" w:type="dxa"/>
            <w:tcBorders/>
            <w:tcMar>
              <w:bottom w:w="0" w:type="dxa"/>
            </w:tcMar>
            <w:vAlign w:val="center"/>
          </w:tcPr>
          <w:p>
            <w:pPr>
              <w:pStyle w:val="TableContents"/>
              <w:bidi w:val="0"/>
              <w:spacing w:before="0" w:after="283"/>
              <w:jc w:val="left"/>
              <w:rPr/>
            </w:pPr>
            <w:r>
              <w:rPr/>
              <w:t> </w:t>
            </w:r>
          </w:p>
        </w:tc>
        <w:tc>
          <w:tcPr>
            <w:tcW w:w="2218"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3942" w:type="dxa"/>
            <w:tcBorders>
              <w:bottom w:val="single" w:sz="8" w:space="0" w:color="000000"/>
            </w:tcBorders>
            <w:shd w:fill="CCEEFF" w:val="clear"/>
            <w:vAlign w:val="center"/>
          </w:tcPr>
          <w:p>
            <w:pPr>
              <w:pStyle w:val="TableContents"/>
              <w:bidi w:val="0"/>
              <w:spacing w:before="0" w:after="283"/>
              <w:jc w:val="left"/>
              <w:rPr>
                <w:b/>
              </w:rPr>
            </w:pPr>
            <w:r>
              <w:rPr>
                <w:b/>
              </w:rPr>
              <w:t>Accumulated amortization</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150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36" w:type="dxa"/>
            <w:tcBorders>
              <w:bottom w:val="single" w:sz="8" w:space="0" w:color="000000"/>
            </w:tcBorders>
            <w:shd w:fill="CCEEFF" w:val="clear"/>
            <w:vAlign w:val="center"/>
          </w:tcPr>
          <w:p>
            <w:pPr>
              <w:pStyle w:val="TableContents"/>
              <w:bidi w:val="0"/>
              <w:spacing w:before="0" w:after="283"/>
              <w:jc w:val="left"/>
              <w:rPr/>
            </w:pPr>
            <w:r>
              <w:rPr/>
              <w:t> </w:t>
            </w:r>
          </w:p>
        </w:tc>
        <w:tc>
          <w:tcPr>
            <w:tcW w:w="2218"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 </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942" w:type="dxa"/>
            <w:tcBorders/>
            <w:tcMar>
              <w:bottom w:w="0" w:type="dxa"/>
            </w:tcMar>
            <w:vAlign w:val="center"/>
          </w:tcPr>
          <w:p>
            <w:pPr>
              <w:pStyle w:val="TableContents"/>
              <w:bidi w:val="0"/>
              <w:spacing w:before="0" w:after="283"/>
              <w:jc w:val="left"/>
              <w:rPr/>
            </w:pPr>
            <w:r>
              <w:rPr/>
              <w:t>Balance as of January 1, 2023</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227"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right"/>
              <w:rPr/>
            </w:pPr>
            <w:r>
              <w:rPr/>
              <w:t>5,117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36" w:type="dxa"/>
            <w:tcBorders/>
            <w:tcMar>
              <w:bottom w:w="0" w:type="dxa"/>
            </w:tcMar>
            <w:vAlign w:val="center"/>
          </w:tcPr>
          <w:p>
            <w:pPr>
              <w:pStyle w:val="TableContents"/>
              <w:bidi w:val="0"/>
              <w:spacing w:before="0" w:after="283"/>
              <w:jc w:val="left"/>
              <w:rPr/>
            </w:pPr>
            <w:r>
              <w:rPr/>
              <w:t> </w:t>
            </w:r>
          </w:p>
        </w:tc>
        <w:tc>
          <w:tcPr>
            <w:tcW w:w="2218"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5,117</w:t>
            </w:r>
          </w:p>
        </w:tc>
        <w:tc>
          <w:tcPr>
            <w:tcW w:w="137" w:type="dxa"/>
            <w:tcBorders/>
            <w:tcMar>
              <w:bottom w:w="0" w:type="dxa"/>
            </w:tcMar>
            <w:vAlign w:val="center"/>
          </w:tcPr>
          <w:p>
            <w:pPr>
              <w:pStyle w:val="TableContents"/>
              <w:bidi w:val="0"/>
              <w:spacing w:before="0" w:after="283"/>
              <w:jc w:val="left"/>
              <w:rPr/>
            </w:pPr>
            <w:r>
              <w:rPr/>
              <w:t> </w:t>
            </w:r>
          </w:p>
        </w:tc>
      </w:tr>
      <w:tr>
        <w:trPr/>
        <w:tc>
          <w:tcPr>
            <w:tcW w:w="3942" w:type="dxa"/>
            <w:tcBorders>
              <w:bottom w:val="single" w:sz="8" w:space="0" w:color="000000"/>
            </w:tcBorders>
            <w:shd w:fill="CCEEFF" w:val="clear"/>
            <w:vAlign w:val="center"/>
          </w:tcPr>
          <w:p>
            <w:pPr>
              <w:pStyle w:val="TableContents"/>
              <w:bidi w:val="0"/>
              <w:spacing w:before="0" w:after="283"/>
              <w:jc w:val="left"/>
              <w:rPr/>
            </w:pPr>
            <w:r>
              <w:rPr/>
              <w:t>Amortization</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1505" w:type="dxa"/>
            <w:tcBorders>
              <w:bottom w:val="single" w:sz="8" w:space="0" w:color="000000"/>
            </w:tcBorders>
            <w:shd w:fill="CCEEFF" w:val="clear"/>
            <w:vAlign w:val="center"/>
          </w:tcPr>
          <w:p>
            <w:pPr>
              <w:pStyle w:val="TableContents"/>
              <w:bidi w:val="0"/>
              <w:spacing w:before="0" w:after="283"/>
              <w:jc w:val="right"/>
              <w:rPr/>
            </w:pPr>
            <w:r>
              <w:rPr/>
              <w:t>21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36" w:type="dxa"/>
            <w:tcBorders>
              <w:bottom w:val="single" w:sz="8" w:space="0" w:color="000000"/>
            </w:tcBorders>
            <w:shd w:fill="CCEEFF" w:val="clear"/>
            <w:vAlign w:val="center"/>
          </w:tcPr>
          <w:p>
            <w:pPr>
              <w:pStyle w:val="TableContents"/>
              <w:bidi w:val="0"/>
              <w:spacing w:before="0" w:after="283"/>
              <w:jc w:val="left"/>
              <w:rPr/>
            </w:pPr>
            <w:r>
              <w:rPr/>
              <w:t> </w:t>
            </w:r>
          </w:p>
        </w:tc>
        <w:tc>
          <w:tcPr>
            <w:tcW w:w="2218" w:type="dxa"/>
            <w:tcBorders>
              <w:bottom w:val="single" w:sz="8" w:space="0" w:color="000000"/>
            </w:tcBorders>
            <w:shd w:fill="CCEEFF" w:val="clear"/>
            <w:vAlign w:val="center"/>
          </w:tcPr>
          <w:p>
            <w:pPr>
              <w:pStyle w:val="TableContents"/>
              <w:bidi w:val="0"/>
              <w:spacing w:before="0" w:after="283"/>
              <w:jc w:val="right"/>
              <w:rPr/>
            </w:pPr>
            <w:r>
              <w:rPr/>
              <w:t>113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134</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942" w:type="dxa"/>
            <w:tcBorders>
              <w:bottom w:val="single" w:sz="8" w:space="0" w:color="000000"/>
            </w:tcBorders>
            <w:vAlign w:val="center"/>
          </w:tcPr>
          <w:p>
            <w:pPr>
              <w:pStyle w:val="TableContents"/>
              <w:bidi w:val="0"/>
              <w:spacing w:before="0" w:after="283"/>
              <w:jc w:val="left"/>
              <w:rPr/>
            </w:pPr>
            <w:r>
              <w:rPr/>
              <w:t>Balance as of December 31, 2023</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27" w:type="dxa"/>
            <w:tcBorders>
              <w:bottom w:val="single" w:sz="8" w:space="0" w:color="000000"/>
            </w:tcBorders>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right"/>
              <w:rPr/>
            </w:pPr>
            <w:r>
              <w:rPr/>
              <w:t>5,138</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36" w:type="dxa"/>
            <w:tcBorders>
              <w:bottom w:val="single" w:sz="8" w:space="0" w:color="000000"/>
            </w:tcBorders>
            <w:vAlign w:val="center"/>
          </w:tcPr>
          <w:p>
            <w:pPr>
              <w:pStyle w:val="TableContents"/>
              <w:bidi w:val="0"/>
              <w:spacing w:before="0" w:after="283"/>
              <w:jc w:val="left"/>
              <w:rPr/>
            </w:pPr>
            <w:r>
              <w:rPr/>
              <w:t> </w:t>
            </w:r>
          </w:p>
        </w:tc>
        <w:tc>
          <w:tcPr>
            <w:tcW w:w="2218" w:type="dxa"/>
            <w:tcBorders>
              <w:bottom w:val="single" w:sz="8" w:space="0" w:color="000000"/>
            </w:tcBorders>
            <w:vAlign w:val="center"/>
          </w:tcPr>
          <w:p>
            <w:pPr>
              <w:pStyle w:val="TableContents"/>
              <w:bidi w:val="0"/>
              <w:spacing w:before="0" w:after="283"/>
              <w:jc w:val="right"/>
              <w:rPr/>
            </w:pPr>
            <w:r>
              <w:rPr/>
              <w:t>113</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5,251</w:t>
            </w:r>
          </w:p>
        </w:tc>
        <w:tc>
          <w:tcPr>
            <w:tcW w:w="137" w:type="dxa"/>
            <w:tcBorders>
              <w:bottom w:val="single" w:sz="8" w:space="0" w:color="000000"/>
            </w:tcBorders>
            <w:vAlign w:val="center"/>
          </w:tcPr>
          <w:p>
            <w:pPr>
              <w:pStyle w:val="TableContents"/>
              <w:bidi w:val="0"/>
              <w:spacing w:before="0" w:after="283"/>
              <w:jc w:val="left"/>
              <w:rPr/>
            </w:pPr>
            <w:r>
              <w:rPr/>
              <w:t> </w:t>
            </w:r>
          </w:p>
        </w:tc>
      </w:tr>
      <w:tr>
        <w:trPr/>
        <w:tc>
          <w:tcPr>
            <w:tcW w:w="3942"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1505"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36" w:type="dxa"/>
            <w:tcBorders>
              <w:bottom w:val="single" w:sz="8" w:space="0" w:color="000000"/>
            </w:tcBorders>
            <w:shd w:fill="CCEEFF" w:val="clear"/>
            <w:vAlign w:val="center"/>
          </w:tcPr>
          <w:p>
            <w:pPr>
              <w:pStyle w:val="TableContents"/>
              <w:bidi w:val="0"/>
              <w:spacing w:before="0" w:after="283"/>
              <w:jc w:val="left"/>
              <w:rPr/>
            </w:pPr>
            <w:r>
              <w:rPr/>
              <w:t> </w:t>
            </w:r>
          </w:p>
        </w:tc>
        <w:tc>
          <w:tcPr>
            <w:tcW w:w="2218"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 </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3942" w:type="dxa"/>
            <w:tcBorders>
              <w:bottom w:val="single" w:sz="12" w:space="0" w:color="000000"/>
            </w:tcBorders>
            <w:vAlign w:val="center"/>
          </w:tcPr>
          <w:p>
            <w:pPr>
              <w:pStyle w:val="TableContents"/>
              <w:bidi w:val="0"/>
              <w:spacing w:before="0" w:after="283"/>
              <w:jc w:val="left"/>
              <w:rPr/>
            </w:pPr>
            <w:r>
              <w:rPr/>
              <w:t>Net book value as of December 31, 2023</w:t>
            </w:r>
          </w:p>
        </w:tc>
        <w:tc>
          <w:tcPr>
            <w:tcW w:w="90"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righ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7" w:type="dxa"/>
            <w:tcBorders>
              <w:bottom w:val="single" w:sz="12" w:space="0" w:color="000000"/>
            </w:tcBorders>
            <w:vAlign w:val="center"/>
          </w:tcPr>
          <w:p>
            <w:pPr>
              <w:pStyle w:val="TableContents"/>
              <w:bidi w:val="0"/>
              <w:spacing w:before="0" w:after="283"/>
              <w:jc w:val="left"/>
              <w:rPr/>
            </w:pPr>
            <w:r>
              <w:rPr/>
              <w:t> </w:t>
            </w:r>
          </w:p>
        </w:tc>
        <w:tc>
          <w:tcPr>
            <w:tcW w:w="1505" w:type="dxa"/>
            <w:tcBorders>
              <w:bottom w:val="single" w:sz="12" w:space="0" w:color="000000"/>
            </w:tcBorders>
            <w:vAlign w:val="center"/>
          </w:tcPr>
          <w:p>
            <w:pPr>
              <w:pStyle w:val="TableContents"/>
              <w:bidi w:val="0"/>
              <w:spacing w:before="0" w:after="283"/>
              <w:jc w:val="right"/>
              <w:rPr/>
            </w:pPr>
            <w:r>
              <w:rPr/>
              <w:t>12</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36" w:type="dxa"/>
            <w:tcBorders>
              <w:bottom w:val="single" w:sz="12" w:space="0" w:color="000000"/>
            </w:tcBorders>
            <w:vAlign w:val="center"/>
          </w:tcPr>
          <w:p>
            <w:pPr>
              <w:pStyle w:val="TableContents"/>
              <w:bidi w:val="0"/>
              <w:spacing w:before="0" w:after="283"/>
              <w:jc w:val="left"/>
              <w:rPr/>
            </w:pPr>
            <w:r>
              <w:rPr/>
              <w:t> </w:t>
            </w:r>
          </w:p>
        </w:tc>
        <w:tc>
          <w:tcPr>
            <w:tcW w:w="2218" w:type="dxa"/>
            <w:tcBorders>
              <w:bottom w:val="single" w:sz="12" w:space="0" w:color="000000"/>
            </w:tcBorders>
            <w:vAlign w:val="center"/>
          </w:tcPr>
          <w:p>
            <w:pPr>
              <w:pStyle w:val="TableContents"/>
              <w:bidi w:val="0"/>
              <w:spacing w:before="0" w:after="283"/>
              <w:jc w:val="right"/>
              <w:rPr/>
            </w:pPr>
            <w:r>
              <w:rPr/>
              <w:t>3,688</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pPr>
            <w:r>
              <w:rPr/>
              <w:t>3,700</w:t>
            </w:r>
          </w:p>
        </w:tc>
        <w:tc>
          <w:tcPr>
            <w:tcW w:w="137"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46 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68"/>
        <w:gridCol w:w="1115"/>
        <w:gridCol w:w="383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13:</w:t>
            </w:r>
          </w:p>
        </w:tc>
        <w:tc>
          <w:tcPr>
            <w:tcW w:w="3830" w:type="dxa"/>
            <w:tcBorders/>
            <w:vAlign w:val="center"/>
          </w:tcPr>
          <w:p>
            <w:pPr>
              <w:pStyle w:val="TableContents"/>
              <w:bidi w:val="0"/>
              <w:spacing w:before="0" w:after="283"/>
              <w:jc w:val="both"/>
              <w:rPr/>
            </w:pPr>
            <w:r>
              <w:rPr>
                <w:b/>
              </w:rPr>
              <w:t>INTANGIBLE ASSETS</w:t>
            </w:r>
            <w:r>
              <w:rPr/>
              <w:t xml:space="preserve">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additions related to access rights to electricity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received approval from the power supplier in Washington State, United States, for a 6 MW expansion. During the second quarter of 2023, the Company began constructing an additional data center on Company-owned land and paid $912 to the power supplier for establishing the connection, which was capitalized as long-term deposits, equipment, prepayments and other. During the year ended December 31, 2024, the power supplier established the electricity connection, allowing the Company to access the 6 MW of hydro power capacity. As a result, the balance of $912 was reclassified from long-term deposits, equipment, prepayments and other to intangible assets.</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additions related to acquisitions of assets</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made three acquisitions of groups of assets, resulting in additional access rights to electricity. The access rights represent a contractual right to hydro power capacity and are classified as intangible assets. The assets acquired, including the intangible assets, and the liabilities assumed were recognized and measured by allocating the fair value of the consideration paid to their relative fair values at the closing date of the transactions. Refer to Note 5 for more details.</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access rights to electricity:</w:t>
      </w:r>
    </w:p>
    <w:p>
      <w:pPr>
        <w:pStyle w:val="TextBody"/>
        <w:bidi w:val="0"/>
        <w:spacing w:before="0" w:after="0"/>
        <w:ind w:left="23" w:right="0" w:hanging="6"/>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5"/>
        <w:gridCol w:w="90"/>
        <w:gridCol w:w="2045"/>
        <w:gridCol w:w="90"/>
        <w:gridCol w:w="167"/>
        <w:gridCol w:w="1101"/>
        <w:gridCol w:w="90"/>
        <w:gridCol w:w="90"/>
        <w:gridCol w:w="895"/>
        <w:gridCol w:w="90"/>
        <w:gridCol w:w="252"/>
        <w:gridCol w:w="90"/>
        <w:gridCol w:w="1847"/>
        <w:gridCol w:w="90"/>
        <w:gridCol w:w="2693"/>
      </w:tblGrid>
      <w:tr>
        <w:trPr/>
        <w:tc>
          <w:tcPr>
            <w:tcW w:w="575" w:type="dxa"/>
            <w:tcBorders>
              <w:bottom w:val="single" w:sz="8" w:space="0" w:color="000000"/>
            </w:tcBorders>
            <w:vAlign w:val="center"/>
          </w:tcPr>
          <w:p>
            <w:pPr>
              <w:pStyle w:val="TableContents"/>
              <w:bidi w:val="0"/>
              <w:spacing w:before="0" w:after="283"/>
              <w:jc w:val="left"/>
              <w:rPr>
                <w:b/>
              </w:rPr>
            </w:pPr>
            <w:r>
              <w:rPr>
                <w:b/>
              </w:rPr>
              <w:t>Year</w:t>
            </w:r>
          </w:p>
        </w:tc>
        <w:tc>
          <w:tcPr>
            <w:tcW w:w="90" w:type="dxa"/>
            <w:tcBorders>
              <w:bottom w:val="single" w:sz="8" w:space="0" w:color="000000"/>
            </w:tcBorders>
            <w:vAlign w:val="center"/>
          </w:tcPr>
          <w:p>
            <w:pPr>
              <w:pStyle w:val="TableContents"/>
              <w:bidi w:val="0"/>
              <w:spacing w:before="0" w:after="283"/>
              <w:jc w:val="right"/>
              <w:rPr/>
            </w:pPr>
            <w:r>
              <w:rPr/>
              <w:t> </w:t>
            </w:r>
          </w:p>
        </w:tc>
        <w:tc>
          <w:tcPr>
            <w:tcW w:w="2045" w:type="dxa"/>
            <w:tcBorders>
              <w:bottom w:val="single" w:sz="8" w:space="0" w:color="000000"/>
            </w:tcBorders>
            <w:vAlign w:val="center"/>
          </w:tcPr>
          <w:p>
            <w:pPr>
              <w:pStyle w:val="TableContents"/>
              <w:bidi w:val="0"/>
              <w:spacing w:before="0" w:after="283"/>
              <w:jc w:val="left"/>
              <w:rPr>
                <w:b/>
              </w:rPr>
            </w:pPr>
            <w:r>
              <w:rPr>
                <w:b/>
              </w:rPr>
              <w:t>Location</w:t>
            </w:r>
          </w:p>
        </w:tc>
        <w:tc>
          <w:tcPr>
            <w:tcW w:w="90" w:type="dxa"/>
            <w:tcBorders>
              <w:bottom w:val="single" w:sz="8" w:space="0" w:color="000000"/>
            </w:tcBorders>
            <w:vAlign w:val="center"/>
          </w:tcPr>
          <w:p>
            <w:pPr>
              <w:pStyle w:val="TableContents"/>
              <w:bidi w:val="0"/>
              <w:spacing w:before="0" w:after="283"/>
              <w:jc w:val="right"/>
              <w:rPr/>
            </w:pPr>
            <w:r>
              <w:rPr/>
              <w:t> </w:t>
            </w:r>
          </w:p>
        </w:tc>
        <w:tc>
          <w:tcPr>
            <w:tcW w:w="1268" w:type="dxa"/>
            <w:gridSpan w:val="2"/>
            <w:tcBorders>
              <w:bottom w:val="single" w:sz="8" w:space="0" w:color="000000"/>
            </w:tcBorders>
            <w:vAlign w:val="center"/>
          </w:tcPr>
          <w:p>
            <w:pPr>
              <w:pStyle w:val="TableContents"/>
              <w:bidi w:val="0"/>
              <w:spacing w:before="0" w:after="283"/>
              <w:jc w:val="right"/>
              <w:rPr>
                <w:b/>
              </w:rPr>
            </w:pPr>
            <w:r>
              <w:rPr>
                <w:b/>
              </w:rPr>
              <w:t>Additions to</w:t>
              <w:br/>
              <w:t>intangibles ($)</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95" w:type="dxa"/>
            <w:tcBorders>
              <w:bottom w:val="single" w:sz="8" w:space="0" w:color="000000"/>
            </w:tcBorders>
            <w:vAlign w:val="center"/>
          </w:tcPr>
          <w:p>
            <w:pPr>
              <w:pStyle w:val="TableContents"/>
              <w:bidi w:val="0"/>
              <w:spacing w:before="0" w:after="283"/>
              <w:jc w:val="right"/>
              <w:rPr>
                <w:b/>
              </w:rPr>
            </w:pPr>
            <w:r>
              <w:rPr>
                <w:b/>
              </w:rPr>
              <w:t>Original</w:t>
              <w:br/>
              <w:t>capacity</w:t>
            </w:r>
          </w:p>
        </w:tc>
        <w:tc>
          <w:tcPr>
            <w:tcW w:w="90" w:type="dxa"/>
            <w:tcBorders>
              <w:bottom w:val="single" w:sz="8" w:space="0" w:color="000000"/>
            </w:tcBorders>
            <w:vAlign w:val="center"/>
          </w:tcPr>
          <w:p>
            <w:pPr>
              <w:pStyle w:val="TableContents"/>
              <w:bidi w:val="0"/>
              <w:spacing w:before="0" w:after="283"/>
              <w:jc w:val="right"/>
              <w:rPr/>
            </w:pPr>
            <w:r>
              <w:rPr/>
              <w:t> </w:t>
            </w:r>
          </w:p>
        </w:tc>
        <w:tc>
          <w:tcPr>
            <w:tcW w:w="252"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847" w:type="dxa"/>
            <w:tcBorders>
              <w:bottom w:val="single" w:sz="8" w:space="0" w:color="000000"/>
            </w:tcBorders>
            <w:vAlign w:val="center"/>
          </w:tcPr>
          <w:p>
            <w:pPr>
              <w:pStyle w:val="TableContents"/>
              <w:bidi w:val="0"/>
              <w:spacing w:before="0" w:after="283"/>
              <w:jc w:val="left"/>
              <w:rPr>
                <w:b/>
              </w:rPr>
            </w:pPr>
            <w:r>
              <w:rPr>
                <w:b/>
              </w:rPr>
              <w:t xml:space="preserve">Term of contractual access </w:t>
              <w:br/>
              <w:t>rights</w:t>
            </w:r>
          </w:p>
        </w:tc>
        <w:tc>
          <w:tcPr>
            <w:tcW w:w="90" w:type="dxa"/>
            <w:tcBorders>
              <w:bottom w:val="single" w:sz="8" w:space="0" w:color="000000"/>
            </w:tcBorders>
            <w:vAlign w:val="center"/>
          </w:tcPr>
          <w:p>
            <w:pPr>
              <w:pStyle w:val="TableContents"/>
              <w:bidi w:val="0"/>
              <w:spacing w:before="0" w:after="283"/>
              <w:jc w:val="right"/>
              <w:rPr/>
            </w:pPr>
            <w:r>
              <w:rPr/>
              <w:t> </w:t>
            </w:r>
          </w:p>
        </w:tc>
        <w:tc>
          <w:tcPr>
            <w:tcW w:w="2693" w:type="dxa"/>
            <w:tcBorders>
              <w:bottom w:val="single" w:sz="8" w:space="0" w:color="000000"/>
            </w:tcBorders>
            <w:vAlign w:val="center"/>
          </w:tcPr>
          <w:p>
            <w:pPr>
              <w:pStyle w:val="TableContents"/>
              <w:bidi w:val="0"/>
              <w:spacing w:before="0" w:after="283"/>
              <w:jc w:val="right"/>
              <w:rPr>
                <w:b/>
              </w:rPr>
            </w:pPr>
            <w:r>
              <w:rPr>
                <w:b/>
              </w:rPr>
              <w:t>Amortization method and period</w:t>
            </w:r>
          </w:p>
        </w:tc>
      </w:tr>
      <w:tr>
        <w:trPr/>
        <w:tc>
          <w:tcPr>
            <w:tcW w:w="575" w:type="dxa"/>
            <w:tcBorders>
              <w:bottom w:val="single" w:sz="8" w:space="0" w:color="000000"/>
            </w:tcBorders>
            <w:shd w:fill="CCEEFF" w:val="clear"/>
            <w:vAlign w:val="center"/>
          </w:tcPr>
          <w:p>
            <w:pPr>
              <w:pStyle w:val="TableContents"/>
              <w:bidi w:val="0"/>
              <w:spacing w:before="0" w:after="283"/>
              <w:jc w:val="left"/>
              <w:rPr/>
            </w:pPr>
            <w:r>
              <w:rPr/>
              <w:t>2024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045" w:type="dxa"/>
            <w:tcBorders>
              <w:bottom w:val="single" w:sz="8" w:space="0" w:color="000000"/>
            </w:tcBorders>
            <w:shd w:fill="CCEEFF" w:val="clear"/>
            <w:vAlign w:val="center"/>
          </w:tcPr>
          <w:p>
            <w:pPr>
              <w:pStyle w:val="TableContents"/>
              <w:bidi w:val="0"/>
              <w:spacing w:before="0" w:after="283"/>
              <w:jc w:val="left"/>
              <w:rPr/>
            </w:pPr>
            <w:r>
              <w:rPr/>
              <w:t>Washington State, United States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101" w:type="dxa"/>
            <w:tcBorders>
              <w:bottom w:val="single" w:sz="8" w:space="0" w:color="000000"/>
            </w:tcBorders>
            <w:shd w:fill="CCEEFF" w:val="clear"/>
            <w:vAlign w:val="center"/>
          </w:tcPr>
          <w:p>
            <w:pPr>
              <w:pStyle w:val="TableContents"/>
              <w:bidi w:val="0"/>
              <w:spacing w:before="0" w:after="283"/>
              <w:jc w:val="right"/>
              <w:rPr/>
            </w:pPr>
            <w:r>
              <w:rPr/>
              <w:t>912</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95" w:type="dxa"/>
            <w:tcBorders>
              <w:bottom w:val="single" w:sz="8" w:space="0" w:color="000000"/>
            </w:tcBorders>
            <w:shd w:fill="CCEEFF" w:val="clear"/>
            <w:vAlign w:val="center"/>
          </w:tcPr>
          <w:p>
            <w:pPr>
              <w:pStyle w:val="TableContents"/>
              <w:bidi w:val="0"/>
              <w:spacing w:before="0" w:after="283"/>
              <w:jc w:val="right"/>
              <w:rPr/>
            </w:pPr>
            <w:r>
              <w:rPr/>
              <w:t>6 MW</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847" w:type="dxa"/>
            <w:tcBorders>
              <w:bottom w:val="single" w:sz="8" w:space="0" w:color="000000"/>
            </w:tcBorders>
            <w:shd w:fill="CCEEFF" w:val="clear"/>
            <w:vAlign w:val="center"/>
          </w:tcPr>
          <w:p>
            <w:pPr>
              <w:pStyle w:val="TableContents"/>
              <w:bidi w:val="0"/>
              <w:spacing w:before="0" w:after="283"/>
              <w:jc w:val="left"/>
              <w:rPr/>
            </w:pPr>
            <w:r>
              <w:rPr/>
              <w:t>No termination date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693" w:type="dxa"/>
            <w:tcBorders>
              <w:bottom w:val="single" w:sz="8" w:space="0" w:color="000000"/>
            </w:tcBorders>
            <w:shd w:fill="CCEEFF" w:val="clear"/>
            <w:vAlign w:val="center"/>
          </w:tcPr>
          <w:p>
            <w:pPr>
              <w:pStyle w:val="TableContents"/>
              <w:bidi w:val="0"/>
              <w:spacing w:before="0" w:after="283"/>
              <w:jc w:val="left"/>
              <w:rPr/>
            </w:pPr>
            <w:r>
              <w:rPr/>
              <w:t>Declining balance 4%</w:t>
            </w:r>
          </w:p>
        </w:tc>
      </w:tr>
      <w:tr>
        <w:trPr/>
        <w:tc>
          <w:tcPr>
            <w:tcW w:w="57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4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67" w:type="dxa"/>
            <w:tcBorders>
              <w:bottom w:val="single" w:sz="8" w:space="0" w:color="000000"/>
            </w:tcBorders>
            <w:vAlign w:val="center"/>
          </w:tcPr>
          <w:p>
            <w:pPr>
              <w:pStyle w:val="TableContents"/>
              <w:bidi w:val="0"/>
              <w:spacing w:before="0" w:after="283"/>
              <w:jc w:val="left"/>
              <w:rPr/>
            </w:pPr>
            <w:r>
              <w:rPr/>
              <w:t> </w:t>
            </w:r>
          </w:p>
        </w:tc>
        <w:tc>
          <w:tcPr>
            <w:tcW w:w="1101" w:type="dxa"/>
            <w:tcBorders>
              <w:bottom w:val="single" w:sz="8" w:space="0" w:color="000000"/>
            </w:tcBorders>
            <w:vAlign w:val="center"/>
          </w:tcPr>
          <w:p>
            <w:pPr>
              <w:pStyle w:val="TableContents"/>
              <w:bidi w:val="0"/>
              <w:spacing w:before="0" w:after="283"/>
              <w:jc w:val="right"/>
              <w:rPr/>
            </w:pPr>
            <w:r>
              <w:rPr/>
              <w:t>912</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95" w:type="dxa"/>
            <w:tcBorders>
              <w:bottom w:val="single" w:sz="8" w:space="0" w:color="000000"/>
            </w:tcBorders>
            <w:vAlign w:val="center"/>
          </w:tcPr>
          <w:p>
            <w:pPr>
              <w:pStyle w:val="TableContents"/>
              <w:bidi w:val="0"/>
              <w:spacing w:before="0" w:after="283"/>
              <w:jc w:val="right"/>
              <w:rPr/>
            </w:pPr>
            <w:r>
              <w:rPr/>
              <w:t>6 MW</w:t>
            </w:r>
          </w:p>
        </w:tc>
        <w:tc>
          <w:tcPr>
            <w:tcW w:w="90" w:type="dxa"/>
            <w:tcBorders>
              <w:bottom w:val="single" w:sz="8" w:space="0" w:color="000000"/>
            </w:tcBorders>
            <w:vAlign w:val="center"/>
          </w:tcPr>
          <w:p>
            <w:pPr>
              <w:pStyle w:val="TableContents"/>
              <w:bidi w:val="0"/>
              <w:spacing w:before="0" w:after="283"/>
              <w:jc w:val="left"/>
              <w:rPr/>
            </w:pPr>
            <w:r>
              <w:rPr/>
              <w:t> </w:t>
            </w:r>
          </w:p>
        </w:tc>
        <w:tc>
          <w:tcPr>
            <w:tcW w:w="252"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47"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93" w:type="dxa"/>
            <w:tcBorders>
              <w:bottom w:val="single" w:sz="8" w:space="0" w:color="000000"/>
            </w:tcBorders>
            <w:vAlign w:val="center"/>
          </w:tcPr>
          <w:p>
            <w:pPr>
              <w:pStyle w:val="TableContents"/>
              <w:bidi w:val="0"/>
              <w:spacing w:before="0" w:after="283"/>
              <w:jc w:val="left"/>
              <w:rPr/>
            </w:pPr>
            <w:r>
              <w:rPr/>
              <w:t> </w:t>
            </w:r>
          </w:p>
        </w:tc>
      </w:tr>
      <w:tr>
        <w:trPr/>
        <w:tc>
          <w:tcPr>
            <w:tcW w:w="5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7"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3" w:type="dxa"/>
            <w:tcBorders/>
            <w:shd w:fill="CCEEFF" w:val="clear"/>
            <w:tcMar>
              <w:bottom w:w="0" w:type="dxa"/>
            </w:tcMar>
            <w:vAlign w:val="center"/>
          </w:tcPr>
          <w:p>
            <w:pPr>
              <w:pStyle w:val="TableContents"/>
              <w:bidi w:val="0"/>
              <w:spacing w:before="0" w:after="283"/>
              <w:jc w:val="left"/>
              <w:rPr/>
            </w:pPr>
            <w:r>
              <w:rPr/>
              <w:t> </w:t>
            </w:r>
          </w:p>
        </w:tc>
      </w:tr>
      <w:tr>
        <w:trPr/>
        <w:tc>
          <w:tcPr>
            <w:tcW w:w="575" w:type="dxa"/>
            <w:tcBorders/>
            <w:tcMar>
              <w:bottom w:w="0" w:type="dxa"/>
            </w:tcMar>
            <w:vAlign w:val="center"/>
          </w:tcPr>
          <w:p>
            <w:pPr>
              <w:pStyle w:val="TableContents"/>
              <w:bidi w:val="0"/>
              <w:spacing w:before="0" w:after="283"/>
              <w:jc w:val="left"/>
              <w:rPr/>
            </w:pPr>
            <w:r>
              <w:rPr/>
              <w:t>2023</w:t>
            </w:r>
          </w:p>
        </w:tc>
        <w:tc>
          <w:tcPr>
            <w:tcW w:w="9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pPr>
            <w:r>
              <w:rPr/>
              <w:t>Baie-Comeau, Quebec, Canada</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right"/>
              <w:rPr/>
            </w:pPr>
            <w:r>
              <w:rPr/>
              <w:t>2,315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pPr>
            <w:r>
              <w:rPr/>
              <w:t>22 MW</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47" w:type="dxa"/>
            <w:tcBorders/>
            <w:tcMar>
              <w:bottom w:w="0" w:type="dxa"/>
            </w:tcMar>
            <w:vAlign w:val="center"/>
          </w:tcPr>
          <w:p>
            <w:pPr>
              <w:pStyle w:val="TableContents"/>
              <w:bidi w:val="0"/>
              <w:spacing w:before="0" w:after="283"/>
              <w:jc w:val="left"/>
              <w:rPr/>
            </w:pPr>
            <w:r>
              <w:rPr/>
              <w:t>No termination date</w:t>
            </w:r>
          </w:p>
        </w:tc>
        <w:tc>
          <w:tcPr>
            <w:tcW w:w="90" w:type="dxa"/>
            <w:tcBorders/>
            <w:tcMar>
              <w:bottom w:w="0" w:type="dxa"/>
            </w:tcMar>
            <w:vAlign w:val="center"/>
          </w:tcPr>
          <w:p>
            <w:pPr>
              <w:pStyle w:val="TableContents"/>
              <w:bidi w:val="0"/>
              <w:spacing w:before="0" w:after="283"/>
              <w:jc w:val="left"/>
              <w:rPr/>
            </w:pPr>
            <w:r>
              <w:rPr/>
              <w:t> </w:t>
            </w:r>
          </w:p>
        </w:tc>
        <w:tc>
          <w:tcPr>
            <w:tcW w:w="2693" w:type="dxa"/>
            <w:tcBorders/>
            <w:tcMar>
              <w:bottom w:w="0" w:type="dxa"/>
            </w:tcMar>
            <w:vAlign w:val="center"/>
          </w:tcPr>
          <w:p>
            <w:pPr>
              <w:pStyle w:val="TableContents"/>
              <w:bidi w:val="0"/>
              <w:spacing w:before="0" w:after="283"/>
              <w:jc w:val="left"/>
              <w:rPr/>
            </w:pPr>
            <w:r>
              <w:rPr/>
              <w:t>Straight-line over the lease term of the data center</w:t>
            </w:r>
          </w:p>
        </w:tc>
      </w:tr>
      <w:tr>
        <w:trPr/>
        <w:tc>
          <w:tcPr>
            <w:tcW w:w="575" w:type="dxa"/>
            <w:tcBorders/>
            <w:shd w:fill="CCEEFF" w:val="clear"/>
            <w:tcMar>
              <w:bottom w:w="0" w:type="dxa"/>
            </w:tcMar>
            <w:vAlign w:val="center"/>
          </w:tcPr>
          <w:p>
            <w:pPr>
              <w:pStyle w:val="TableContents"/>
              <w:bidi w:val="0"/>
              <w:spacing w:before="0" w:after="283"/>
              <w:jc w:val="left"/>
              <w:rPr/>
            </w:pPr>
            <w:r>
              <w:rPr/>
              <w:t>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45" w:type="dxa"/>
            <w:tcBorders/>
            <w:shd w:fill="CCEEFF" w:val="clear"/>
            <w:tcMar>
              <w:bottom w:w="0" w:type="dxa"/>
            </w:tcMar>
            <w:vAlign w:val="center"/>
          </w:tcPr>
          <w:p>
            <w:pPr>
              <w:pStyle w:val="TableContents"/>
              <w:bidi w:val="0"/>
              <w:spacing w:before="0" w:after="283"/>
              <w:jc w:val="left"/>
              <w:rPr/>
            </w:pPr>
            <w:r>
              <w:rPr/>
              <w:t>Paso Pe, Paraguay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pPr>
            <w:r>
              <w:rPr/>
              <w:t>1,065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pPr>
            <w:r>
              <w:rPr/>
              <w:t>50 MW</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7" w:type="dxa"/>
            <w:tcBorders/>
            <w:shd w:fill="CCEEFF" w:val="clear"/>
            <w:tcMar>
              <w:bottom w:w="0" w:type="dxa"/>
            </w:tcMar>
            <w:vAlign w:val="center"/>
          </w:tcPr>
          <w:p>
            <w:pPr>
              <w:pStyle w:val="TableContents"/>
              <w:bidi w:val="0"/>
              <w:spacing w:before="0" w:after="283"/>
              <w:jc w:val="left"/>
              <w:rPr/>
            </w:pPr>
            <w:r>
              <w:rPr/>
              <w:t>Ending in December 31, 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93" w:type="dxa"/>
            <w:tcBorders/>
            <w:shd w:fill="CCEEFF" w:val="clear"/>
            <w:tcMar>
              <w:bottom w:w="0" w:type="dxa"/>
            </w:tcMar>
            <w:vAlign w:val="center"/>
          </w:tcPr>
          <w:p>
            <w:pPr>
              <w:pStyle w:val="TableContents"/>
              <w:bidi w:val="0"/>
              <w:spacing w:before="0" w:after="283"/>
              <w:jc w:val="left"/>
              <w:rPr/>
            </w:pPr>
            <w:r>
              <w:rPr/>
              <w:t>Straight-line over the access rights period</w:t>
            </w:r>
          </w:p>
        </w:tc>
      </w:tr>
      <w:tr>
        <w:trPr/>
        <w:tc>
          <w:tcPr>
            <w:tcW w:w="575" w:type="dxa"/>
            <w:tcBorders>
              <w:bottom w:val="single" w:sz="8" w:space="0" w:color="000000"/>
            </w:tcBorders>
            <w:vAlign w:val="center"/>
          </w:tcPr>
          <w:p>
            <w:pPr>
              <w:pStyle w:val="TableContents"/>
              <w:bidi w:val="0"/>
              <w:spacing w:before="0" w:after="283"/>
              <w:jc w:val="left"/>
              <w:rPr/>
            </w:pPr>
            <w:r>
              <w:rPr/>
              <w:t>2023</w:t>
            </w:r>
          </w:p>
        </w:tc>
        <w:tc>
          <w:tcPr>
            <w:tcW w:w="90" w:type="dxa"/>
            <w:tcBorders>
              <w:bottom w:val="single" w:sz="8" w:space="0" w:color="000000"/>
            </w:tcBorders>
            <w:vAlign w:val="center"/>
          </w:tcPr>
          <w:p>
            <w:pPr>
              <w:pStyle w:val="TableContents"/>
              <w:bidi w:val="0"/>
              <w:spacing w:before="0" w:after="283"/>
              <w:jc w:val="left"/>
              <w:rPr/>
            </w:pPr>
            <w:r>
              <w:rPr/>
              <w:t> </w:t>
            </w:r>
          </w:p>
        </w:tc>
        <w:tc>
          <w:tcPr>
            <w:tcW w:w="2045" w:type="dxa"/>
            <w:tcBorders>
              <w:bottom w:val="single" w:sz="8" w:space="0" w:color="000000"/>
            </w:tcBorders>
            <w:vAlign w:val="center"/>
          </w:tcPr>
          <w:p>
            <w:pPr>
              <w:pStyle w:val="TableContents"/>
              <w:bidi w:val="0"/>
              <w:spacing w:before="0" w:after="283"/>
              <w:jc w:val="left"/>
              <w:rPr/>
            </w:pPr>
            <w:r>
              <w:rPr/>
              <w:t>Yguazu, Paraguay</w:t>
            </w:r>
          </w:p>
        </w:tc>
        <w:tc>
          <w:tcPr>
            <w:tcW w:w="90" w:type="dxa"/>
            <w:tcBorders>
              <w:bottom w:val="single" w:sz="8" w:space="0" w:color="000000"/>
            </w:tcBorders>
            <w:vAlign w:val="center"/>
          </w:tcPr>
          <w:p>
            <w:pPr>
              <w:pStyle w:val="TableContents"/>
              <w:bidi w:val="0"/>
              <w:spacing w:before="0" w:after="283"/>
              <w:jc w:val="left"/>
              <w:rPr/>
            </w:pPr>
            <w:r>
              <w:rPr/>
              <w:t> </w:t>
            </w:r>
          </w:p>
        </w:tc>
        <w:tc>
          <w:tcPr>
            <w:tcW w:w="167" w:type="dxa"/>
            <w:tcBorders>
              <w:bottom w:val="single" w:sz="8" w:space="0" w:color="000000"/>
            </w:tcBorders>
            <w:vAlign w:val="center"/>
          </w:tcPr>
          <w:p>
            <w:pPr>
              <w:pStyle w:val="TableContents"/>
              <w:bidi w:val="0"/>
              <w:spacing w:before="0" w:after="283"/>
              <w:jc w:val="left"/>
              <w:rPr/>
            </w:pPr>
            <w:r>
              <w:rPr/>
              <w:t> </w:t>
            </w:r>
          </w:p>
        </w:tc>
        <w:tc>
          <w:tcPr>
            <w:tcW w:w="1101" w:type="dxa"/>
            <w:tcBorders>
              <w:bottom w:val="single" w:sz="8" w:space="0" w:color="000000"/>
            </w:tcBorders>
            <w:vAlign w:val="center"/>
          </w:tcPr>
          <w:p>
            <w:pPr>
              <w:pStyle w:val="TableContents"/>
              <w:bidi w:val="0"/>
              <w:spacing w:before="0" w:after="283"/>
              <w:jc w:val="right"/>
              <w:rPr/>
            </w:pPr>
            <w:r>
              <w:rPr/>
              <w:t>421</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95" w:type="dxa"/>
            <w:tcBorders>
              <w:bottom w:val="single" w:sz="8" w:space="0" w:color="000000"/>
            </w:tcBorders>
            <w:vAlign w:val="center"/>
          </w:tcPr>
          <w:p>
            <w:pPr>
              <w:pStyle w:val="TableContents"/>
              <w:bidi w:val="0"/>
              <w:spacing w:before="0" w:after="283"/>
              <w:jc w:val="right"/>
              <w:rPr/>
            </w:pPr>
            <w:r>
              <w:rPr/>
              <w:t>100 MW</w:t>
            </w:r>
          </w:p>
        </w:tc>
        <w:tc>
          <w:tcPr>
            <w:tcW w:w="90" w:type="dxa"/>
            <w:tcBorders>
              <w:bottom w:val="single" w:sz="8" w:space="0" w:color="000000"/>
            </w:tcBorders>
            <w:vAlign w:val="center"/>
          </w:tcPr>
          <w:p>
            <w:pPr>
              <w:pStyle w:val="TableContents"/>
              <w:bidi w:val="0"/>
              <w:spacing w:before="0" w:after="283"/>
              <w:jc w:val="left"/>
              <w:rPr/>
            </w:pPr>
            <w:r>
              <w:rPr/>
              <w:t> </w:t>
            </w:r>
          </w:p>
        </w:tc>
        <w:tc>
          <w:tcPr>
            <w:tcW w:w="252"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847" w:type="dxa"/>
            <w:tcBorders>
              <w:bottom w:val="single" w:sz="8" w:space="0" w:color="000000"/>
            </w:tcBorders>
            <w:vAlign w:val="center"/>
          </w:tcPr>
          <w:p>
            <w:pPr>
              <w:pStyle w:val="TableContents"/>
              <w:bidi w:val="0"/>
              <w:spacing w:before="0" w:after="283"/>
              <w:jc w:val="left"/>
              <w:rPr/>
            </w:pPr>
            <w:r>
              <w:rPr/>
              <w:t>Ending in December 31, 2027</w:t>
            </w:r>
          </w:p>
        </w:tc>
        <w:tc>
          <w:tcPr>
            <w:tcW w:w="90" w:type="dxa"/>
            <w:tcBorders>
              <w:bottom w:val="single" w:sz="8" w:space="0" w:color="000000"/>
            </w:tcBorders>
            <w:vAlign w:val="center"/>
          </w:tcPr>
          <w:p>
            <w:pPr>
              <w:pStyle w:val="TableContents"/>
              <w:bidi w:val="0"/>
              <w:spacing w:before="0" w:after="283"/>
              <w:jc w:val="left"/>
              <w:rPr/>
            </w:pPr>
            <w:r>
              <w:rPr/>
              <w:t> </w:t>
            </w:r>
          </w:p>
        </w:tc>
        <w:tc>
          <w:tcPr>
            <w:tcW w:w="2693" w:type="dxa"/>
            <w:tcBorders>
              <w:bottom w:val="single" w:sz="8" w:space="0" w:color="000000"/>
            </w:tcBorders>
            <w:vAlign w:val="center"/>
          </w:tcPr>
          <w:p>
            <w:pPr>
              <w:pStyle w:val="TableContents"/>
              <w:bidi w:val="0"/>
              <w:spacing w:before="0" w:after="283"/>
              <w:jc w:val="left"/>
              <w:rPr/>
            </w:pPr>
            <w:r>
              <w:rPr/>
              <w:t>Straight-line over the access rights period</w:t>
            </w:r>
          </w:p>
        </w:tc>
      </w:tr>
      <w:tr>
        <w:trPr/>
        <w:tc>
          <w:tcPr>
            <w:tcW w:w="57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04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101" w:type="dxa"/>
            <w:tcBorders>
              <w:bottom w:val="single" w:sz="8" w:space="0" w:color="000000"/>
            </w:tcBorders>
            <w:shd w:fill="CCEEFF" w:val="clear"/>
            <w:vAlign w:val="center"/>
          </w:tcPr>
          <w:p>
            <w:pPr>
              <w:pStyle w:val="TableContents"/>
              <w:bidi w:val="0"/>
              <w:spacing w:before="0" w:after="283"/>
              <w:jc w:val="right"/>
              <w:rPr/>
            </w:pPr>
            <w:r>
              <w:rPr/>
              <w:t>3,801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95" w:type="dxa"/>
            <w:tcBorders>
              <w:bottom w:val="single" w:sz="8" w:space="0" w:color="000000"/>
            </w:tcBorders>
            <w:shd w:fill="CCEEFF" w:val="clear"/>
            <w:vAlign w:val="center"/>
          </w:tcPr>
          <w:p>
            <w:pPr>
              <w:pStyle w:val="TableContents"/>
              <w:bidi w:val="0"/>
              <w:spacing w:before="0" w:after="283"/>
              <w:jc w:val="right"/>
              <w:rPr/>
            </w:pPr>
            <w:r>
              <w:rPr/>
              <w:t>172 MW</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847"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693"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7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4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67" w:type="dxa"/>
            <w:tcBorders>
              <w:bottom w:val="single" w:sz="8" w:space="0" w:color="000000"/>
            </w:tcBorders>
            <w:vAlign w:val="center"/>
          </w:tcPr>
          <w:p>
            <w:pPr>
              <w:pStyle w:val="TableContents"/>
              <w:bidi w:val="0"/>
              <w:spacing w:before="0" w:after="283"/>
              <w:jc w:val="left"/>
              <w:rPr/>
            </w:pPr>
            <w:r>
              <w:rPr/>
              <w:t> </w:t>
            </w:r>
          </w:p>
        </w:tc>
        <w:tc>
          <w:tcPr>
            <w:tcW w:w="1101"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9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52"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47"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93" w:type="dxa"/>
            <w:tcBorders>
              <w:bottom w:val="single" w:sz="8" w:space="0" w:color="000000"/>
            </w:tcBorders>
            <w:vAlign w:val="center"/>
          </w:tcPr>
          <w:p>
            <w:pPr>
              <w:pStyle w:val="TableContents"/>
              <w:bidi w:val="0"/>
              <w:spacing w:before="0" w:after="283"/>
              <w:jc w:val="left"/>
              <w:rPr/>
            </w:pPr>
            <w:r>
              <w:rPr/>
              <w:t> </w:t>
            </w:r>
          </w:p>
        </w:tc>
      </w:tr>
      <w:tr>
        <w:trPr/>
        <w:tc>
          <w:tcPr>
            <w:tcW w:w="57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04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101" w:type="dxa"/>
            <w:tcBorders>
              <w:bottom w:val="single" w:sz="12" w:space="0" w:color="000000"/>
            </w:tcBorders>
            <w:shd w:fill="CCEEFF" w:val="clear"/>
            <w:vAlign w:val="center"/>
          </w:tcPr>
          <w:p>
            <w:pPr>
              <w:pStyle w:val="TableContents"/>
              <w:bidi w:val="0"/>
              <w:spacing w:before="0" w:after="283"/>
              <w:jc w:val="right"/>
              <w:rPr/>
            </w:pPr>
            <w:r>
              <w:rPr/>
              <w:t>4,713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95" w:type="dxa"/>
            <w:tcBorders>
              <w:bottom w:val="single" w:sz="12" w:space="0" w:color="000000"/>
            </w:tcBorders>
            <w:shd w:fill="CCEEFF" w:val="clear"/>
            <w:vAlign w:val="center"/>
          </w:tcPr>
          <w:p>
            <w:pPr>
              <w:pStyle w:val="TableContents"/>
              <w:bidi w:val="0"/>
              <w:spacing w:before="0" w:after="283"/>
              <w:jc w:val="right"/>
              <w:rPr/>
            </w:pPr>
            <w:r>
              <w:rPr/>
              <w:t>178 MW</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47"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693"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In November 2023, the Company finalized an amendment to the existing contract for an additional 20 MW of energy capacity for a total capacity of 70 MW.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8"/>
        <w:gridCol w:w="9889"/>
      </w:tblGrid>
      <w:tr>
        <w:trPr/>
        <w:tc>
          <w:tcPr>
            <w:tcW w:w="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889" w:type="dxa"/>
            <w:tcBorders/>
            <w:vAlign w:val="center"/>
          </w:tcPr>
          <w:p>
            <w:pPr>
              <w:pStyle w:val="TableContents"/>
              <w:bidi w:val="0"/>
              <w:spacing w:before="0" w:after="283"/>
              <w:jc w:val="both"/>
              <w:rPr/>
            </w:pPr>
            <w:r>
              <w:rPr/>
              <w:t>In May 2024, the Company finalized an amendment to the existing contract for an additional 100 MW of energy capacity for a total capacity of 200 MW.</w:t>
            </w:r>
          </w:p>
        </w:tc>
      </w:tr>
    </w:tbl>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47 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49" w:name="a_022"/>
      <w:bookmarkStart w:id="50" w:name="a_022"/>
      <w:bookmarkEnd w:id="50"/>
    </w:p>
    <w:tbl>
      <w:tblPr>
        <w:tblW w:w="9138" w:type="dxa"/>
        <w:jc w:val="left"/>
        <w:tblInd w:w="0" w:type="dxa"/>
        <w:tblLayout w:type="fixed"/>
        <w:tblCellMar>
          <w:top w:w="0" w:type="dxa"/>
          <w:left w:w="0" w:type="dxa"/>
          <w:bottom w:w="0" w:type="dxa"/>
          <w:right w:w="0" w:type="dxa"/>
        </w:tblCellMar>
      </w:tblPr>
      <w:tblGrid>
        <w:gridCol w:w="68"/>
        <w:gridCol w:w="1115"/>
        <w:gridCol w:w="795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14:</w:t>
            </w:r>
          </w:p>
        </w:tc>
        <w:tc>
          <w:tcPr>
            <w:tcW w:w="7955" w:type="dxa"/>
            <w:tcBorders/>
            <w:vAlign w:val="center"/>
          </w:tcPr>
          <w:p>
            <w:pPr>
              <w:pStyle w:val="TableContents"/>
              <w:bidi w:val="0"/>
              <w:spacing w:before="0" w:after="283"/>
              <w:jc w:val="both"/>
              <w:rPr>
                <w:b/>
              </w:rPr>
            </w:pPr>
            <w:r>
              <w:rPr>
                <w:b/>
              </w:rPr>
              <w:t>LONG-TERM DEPOSITS, EQUIPMENT PREPAYMENTS AND OTHER</w:t>
            </w:r>
          </w:p>
        </w:tc>
      </w:tr>
    </w:tbl>
    <w:p>
      <w:pPr>
        <w:pStyle w:val="TextBody"/>
        <w:bidi w:val="0"/>
        <w:spacing w:before="0" w:after="0"/>
        <w:ind w:left="0" w:right="0" w:hanging="11"/>
        <w:jc w:val="both"/>
        <w:rPr>
          <w:caps w:val="false"/>
          <w:smallCaps w:val="false"/>
        </w:rPr>
      </w:pPr>
      <w:r>
        <w:rPr>
          <w:caps w:val="false"/>
          <w:smallCaps w:val="false"/>
        </w:rPr>
        <w:t> </w:t>
      </w:r>
    </w:p>
    <w:tbl>
      <w:tblPr>
        <w:tblW w:w="8383" w:type="dxa"/>
        <w:jc w:val="left"/>
        <w:tblInd w:w="0" w:type="dxa"/>
        <w:tblLayout w:type="fixed"/>
        <w:tblCellMar>
          <w:top w:w="0" w:type="dxa"/>
          <w:left w:w="0" w:type="dxa"/>
          <w:bottom w:w="28" w:type="dxa"/>
          <w:right w:w="0" w:type="dxa"/>
        </w:tblCellMar>
      </w:tblPr>
      <w:tblGrid>
        <w:gridCol w:w="3980"/>
        <w:gridCol w:w="90"/>
        <w:gridCol w:w="228"/>
        <w:gridCol w:w="1801"/>
        <w:gridCol w:w="90"/>
        <w:gridCol w:w="90"/>
        <w:gridCol w:w="221"/>
        <w:gridCol w:w="1748"/>
        <w:gridCol w:w="135"/>
      </w:tblGrid>
      <w:tr>
        <w:trPr/>
        <w:tc>
          <w:tcPr>
            <w:tcW w:w="398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As of December 31,</w:t>
            </w:r>
          </w:p>
        </w:tc>
        <w:tc>
          <w:tcPr>
            <w:tcW w:w="135" w:type="dxa"/>
            <w:tcBorders>
              <w:bottom w:val="single" w:sz="8" w:space="0" w:color="000000"/>
            </w:tcBorders>
            <w:vAlign w:val="center"/>
          </w:tcPr>
          <w:p>
            <w:pPr>
              <w:pStyle w:val="TableContents"/>
              <w:bidi w:val="0"/>
              <w:spacing w:before="0" w:after="283"/>
              <w:jc w:val="right"/>
              <w:rPr/>
            </w:pPr>
            <w:r>
              <w:rPr/>
              <w:t> </w:t>
            </w:r>
          </w:p>
        </w:tc>
      </w:tr>
      <w:tr>
        <w:trPr/>
        <w:tc>
          <w:tcPr>
            <w:tcW w:w="398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283"/>
              <w:jc w:val="left"/>
              <w:rPr/>
            </w:pPr>
            <w:r>
              <w:rPr/>
              <w:t>Security deposits for insurance and 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801" w:type="dxa"/>
            <w:tcBorders/>
            <w:shd w:fill="CCEEFF" w:val="clear"/>
            <w:tcMar>
              <w:bottom w:w="0" w:type="dxa"/>
            </w:tcMar>
            <w:vAlign w:val="center"/>
          </w:tcPr>
          <w:p>
            <w:pPr>
              <w:pStyle w:val="TableContents"/>
              <w:bidi w:val="0"/>
              <w:spacing w:before="0" w:after="283"/>
              <w:jc w:val="right"/>
              <w:rPr>
                <w:b/>
              </w:rPr>
            </w:pPr>
            <w:r>
              <w:rPr>
                <w:b/>
              </w:rPr>
              <w:t>4,513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right"/>
              <w:rPr/>
            </w:pPr>
            <w:r>
              <w:rPr/>
              <w:t>4,624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980" w:type="dxa"/>
            <w:tcBorders>
              <w:bottom w:val="single" w:sz="8" w:space="0" w:color="000000"/>
            </w:tcBorders>
            <w:vAlign w:val="center"/>
          </w:tcPr>
          <w:p>
            <w:pPr>
              <w:pStyle w:val="TableContents"/>
              <w:bidi w:val="0"/>
              <w:spacing w:before="0" w:after="283"/>
              <w:jc w:val="left"/>
              <w:rPr/>
            </w:pPr>
            <w:r>
              <w:rPr/>
              <w:t>Equipment and construction prepayments</w:t>
            </w:r>
          </w:p>
        </w:tc>
        <w:tc>
          <w:tcPr>
            <w:tcW w:w="90" w:type="dxa"/>
            <w:tcBorders>
              <w:bottom w:val="single" w:sz="8" w:space="0" w:color="000000"/>
            </w:tcBorders>
            <w:vAlign w:val="center"/>
          </w:tcPr>
          <w:p>
            <w:pPr>
              <w:pStyle w:val="TableContents"/>
              <w:bidi w:val="0"/>
              <w:spacing w:before="0" w:after="283"/>
              <w:jc w:val="left"/>
              <w:rPr/>
            </w:pPr>
            <w:r>
              <w:rPr/>
              <w:t> </w:t>
            </w:r>
          </w:p>
        </w:tc>
        <w:tc>
          <w:tcPr>
            <w:tcW w:w="228" w:type="dxa"/>
            <w:tcBorders>
              <w:bottom w:val="single" w:sz="8" w:space="0" w:color="000000"/>
            </w:tcBorders>
            <w:vAlign w:val="center"/>
          </w:tcPr>
          <w:p>
            <w:pPr>
              <w:pStyle w:val="TableContents"/>
              <w:bidi w:val="0"/>
              <w:spacing w:before="0" w:after="283"/>
              <w:jc w:val="left"/>
              <w:rPr/>
            </w:pPr>
            <w:r>
              <w:rPr/>
              <w:t> </w:t>
            </w:r>
          </w:p>
        </w:tc>
        <w:tc>
          <w:tcPr>
            <w:tcW w:w="1801" w:type="dxa"/>
            <w:tcBorders>
              <w:bottom w:val="single" w:sz="8" w:space="0" w:color="000000"/>
            </w:tcBorders>
            <w:vAlign w:val="center"/>
          </w:tcPr>
          <w:p>
            <w:pPr>
              <w:pStyle w:val="TableContents"/>
              <w:bidi w:val="0"/>
              <w:spacing w:before="0" w:after="283"/>
              <w:jc w:val="right"/>
              <w:rPr>
                <w:b/>
              </w:rPr>
            </w:pPr>
            <w:r>
              <w:rPr>
                <w:b/>
              </w:rPr>
              <w:t>51,854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21" w:type="dxa"/>
            <w:tcBorders>
              <w:bottom w:val="single" w:sz="8" w:space="0" w:color="000000"/>
            </w:tcBorders>
            <w:vAlign w:val="center"/>
          </w:tcPr>
          <w:p>
            <w:pPr>
              <w:pStyle w:val="TableContents"/>
              <w:bidi w:val="0"/>
              <w:spacing w:before="0" w:after="283"/>
              <w:jc w:val="left"/>
              <w:rPr/>
            </w:pPr>
            <w:r>
              <w:rPr/>
              <w:t> </w:t>
            </w:r>
          </w:p>
        </w:tc>
        <w:tc>
          <w:tcPr>
            <w:tcW w:w="1748" w:type="dxa"/>
            <w:tcBorders>
              <w:bottom w:val="single" w:sz="8" w:space="0" w:color="000000"/>
            </w:tcBorders>
            <w:vAlign w:val="center"/>
          </w:tcPr>
          <w:p>
            <w:pPr>
              <w:pStyle w:val="TableContents"/>
              <w:bidi w:val="0"/>
              <w:spacing w:before="0" w:after="283"/>
              <w:jc w:val="right"/>
              <w:rPr/>
            </w:pPr>
            <w:r>
              <w:rPr/>
              <w:t>39,813</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398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vAlign w:val="center"/>
          </w:tcPr>
          <w:p>
            <w:pPr>
              <w:pStyle w:val="TableContents"/>
              <w:bidi w:val="0"/>
              <w:spacing w:before="0" w:after="283"/>
              <w:jc w:val="left"/>
              <w:rPr/>
            </w:pPr>
            <w:r>
              <w:rPr/>
              <w:t> </w:t>
            </w:r>
          </w:p>
        </w:tc>
        <w:tc>
          <w:tcPr>
            <w:tcW w:w="1801" w:type="dxa"/>
            <w:tcBorders>
              <w:bottom w:val="single" w:sz="12" w:space="0" w:color="000000"/>
            </w:tcBorders>
            <w:shd w:fill="CCEEFF" w:val="clear"/>
            <w:vAlign w:val="center"/>
          </w:tcPr>
          <w:p>
            <w:pPr>
              <w:pStyle w:val="TableContents"/>
              <w:bidi w:val="0"/>
              <w:spacing w:before="0" w:after="283"/>
              <w:jc w:val="right"/>
              <w:rPr>
                <w:b/>
              </w:rPr>
            </w:pPr>
            <w:r>
              <w:rPr>
                <w:b/>
              </w:rPr>
              <w:t>56,367</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vAlign w:val="center"/>
          </w:tcPr>
          <w:p>
            <w:pPr>
              <w:pStyle w:val="TableContents"/>
              <w:bidi w:val="0"/>
              <w:spacing w:before="0" w:after="283"/>
              <w:jc w:val="left"/>
              <w:rPr/>
            </w:pPr>
            <w:r>
              <w:rPr/>
              <w:t> </w:t>
            </w:r>
          </w:p>
        </w:tc>
        <w:tc>
          <w:tcPr>
            <w:tcW w:w="1748" w:type="dxa"/>
            <w:tcBorders>
              <w:bottom w:val="single" w:sz="12" w:space="0" w:color="000000"/>
            </w:tcBorders>
            <w:shd w:fill="CCEEFF" w:val="clear"/>
            <w:vAlign w:val="center"/>
          </w:tcPr>
          <w:p>
            <w:pPr>
              <w:pStyle w:val="TableContents"/>
              <w:bidi w:val="0"/>
              <w:spacing w:before="0" w:after="283"/>
              <w:jc w:val="right"/>
              <w:rPr/>
            </w:pPr>
            <w:r>
              <w:rPr/>
              <w:t>44,437</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Equipment and construction prepayments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equipment and construction prepayments: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13"/>
        <w:gridCol w:w="90"/>
        <w:gridCol w:w="90"/>
        <w:gridCol w:w="275"/>
        <w:gridCol w:w="90"/>
        <w:gridCol w:w="90"/>
        <w:gridCol w:w="208"/>
        <w:gridCol w:w="1642"/>
        <w:gridCol w:w="90"/>
        <w:gridCol w:w="90"/>
        <w:gridCol w:w="201"/>
        <w:gridCol w:w="1589"/>
        <w:gridCol w:w="137"/>
      </w:tblGrid>
      <w:tr>
        <w:trPr/>
        <w:tc>
          <w:tcPr>
            <w:tcW w:w="5613"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365" w:type="dxa"/>
            <w:gridSpan w:val="2"/>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850"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790" w:type="dxa"/>
            <w:gridSpan w:val="2"/>
            <w:tcBorders>
              <w:bottom w:val="single" w:sz="8" w:space="0" w:color="000000"/>
            </w:tcBorders>
            <w:vAlign w:val="center"/>
          </w:tcPr>
          <w:p>
            <w:pPr>
              <w:pStyle w:val="TableContents"/>
              <w:bidi w:val="0"/>
              <w:spacing w:before="0" w:after="283"/>
              <w:jc w:val="right"/>
              <w:rPr/>
            </w:pPr>
            <w:r>
              <w:rPr/>
              <w:t>As of December 31,</w:t>
            </w:r>
          </w:p>
        </w:tc>
        <w:tc>
          <w:tcPr>
            <w:tcW w:w="137" w:type="dxa"/>
            <w:tcBorders>
              <w:bottom w:val="single" w:sz="8" w:space="0" w:color="000000"/>
            </w:tcBorders>
            <w:vAlign w:val="center"/>
          </w:tcPr>
          <w:p>
            <w:pPr>
              <w:pStyle w:val="TableContents"/>
              <w:bidi w:val="0"/>
              <w:spacing w:before="0" w:after="283"/>
              <w:jc w:val="right"/>
              <w:rPr/>
            </w:pPr>
            <w:r>
              <w:rPr/>
              <w:t> </w:t>
            </w:r>
          </w:p>
        </w:tc>
      </w:tr>
      <w:tr>
        <w:trPr/>
        <w:tc>
          <w:tcPr>
            <w:tcW w:w="5613"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65" w:type="dxa"/>
            <w:gridSpan w:val="2"/>
            <w:tcBorders>
              <w:bottom w:val="single" w:sz="8" w:space="0" w:color="000000"/>
            </w:tcBorders>
            <w:vAlign w:val="center"/>
          </w:tcPr>
          <w:p>
            <w:pPr>
              <w:pStyle w:val="TableContents"/>
              <w:bidi w:val="0"/>
              <w:spacing w:before="0" w:after="283"/>
              <w:jc w:val="center"/>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50" w:type="dxa"/>
            <w:gridSpan w:val="2"/>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790" w:type="dxa"/>
            <w:gridSpan w:val="2"/>
            <w:tcBorders>
              <w:bottom w:val="single" w:sz="8" w:space="0" w:color="000000"/>
            </w:tcBorders>
            <w:vAlign w:val="center"/>
          </w:tcPr>
          <w:p>
            <w:pPr>
              <w:pStyle w:val="TableContents"/>
              <w:bidi w:val="0"/>
              <w:spacing w:before="0" w:after="283"/>
              <w:jc w:val="right"/>
              <w:rPr/>
            </w:pPr>
            <w:r>
              <w:rPr/>
              <w:t>2023</w:t>
            </w:r>
          </w:p>
        </w:tc>
        <w:tc>
          <w:tcPr>
            <w:tcW w:w="137" w:type="dxa"/>
            <w:tcBorders>
              <w:bottom w:val="single" w:sz="8" w:space="0" w:color="000000"/>
            </w:tcBorders>
            <w:vAlign w:val="center"/>
          </w:tcPr>
          <w:p>
            <w:pPr>
              <w:pStyle w:val="TableContents"/>
              <w:bidi w:val="0"/>
              <w:spacing w:before="0" w:after="283"/>
              <w:jc w:val="left"/>
              <w:rPr/>
            </w:pPr>
            <w:r>
              <w:rPr/>
              <w:t> </w:t>
            </w:r>
          </w:p>
        </w:tc>
      </w:tr>
      <w:tr>
        <w:trPr/>
        <w:tc>
          <w:tcPr>
            <w:tcW w:w="5613" w:type="dxa"/>
            <w:tcBorders/>
            <w:shd w:fill="CCEEFF" w:val="clear"/>
            <w:tcMar>
              <w:bottom w:w="0" w:type="dxa"/>
            </w:tcMar>
            <w:vAlign w:val="center"/>
          </w:tcPr>
          <w:p>
            <w:pPr>
              <w:pStyle w:val="TableContents"/>
              <w:bidi w:val="0"/>
              <w:spacing w:before="0" w:after="283"/>
              <w:jc w:val="both"/>
              <w:rPr/>
            </w:pPr>
            <w:r>
              <w:rPr/>
              <w:t>Miner credits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642"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589" w:type="dxa"/>
            <w:tcBorders/>
            <w:shd w:fill="CCEEFF" w:val="clear"/>
            <w:tcMar>
              <w:bottom w:w="0" w:type="dxa"/>
            </w:tcMar>
            <w:vAlign w:val="center"/>
          </w:tcPr>
          <w:p>
            <w:pPr>
              <w:pStyle w:val="TableContents"/>
              <w:bidi w:val="0"/>
              <w:spacing w:before="0" w:after="283"/>
              <w:jc w:val="right"/>
              <w:rPr/>
            </w:pPr>
            <w:r>
              <w:rPr/>
              <w:t>11,330</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613" w:type="dxa"/>
            <w:tcBorders/>
            <w:tcMar>
              <w:bottom w:w="0" w:type="dxa"/>
            </w:tcMar>
            <w:vAlign w:val="center"/>
          </w:tcPr>
          <w:p>
            <w:pPr>
              <w:pStyle w:val="TableContents"/>
              <w:bidi w:val="0"/>
              <w:spacing w:before="0" w:after="283"/>
              <w:jc w:val="both"/>
              <w:rPr/>
            </w:pPr>
            <w:r>
              <w:rPr/>
              <w:t>Bitmain T21 &amp; S21 Pro Miners Purchase Order and Purchase Option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1642"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1" w:type="dxa"/>
            <w:tcBorders/>
            <w:tcMar>
              <w:bottom w:w="0" w:type="dxa"/>
            </w:tcMar>
            <w:vAlign w:val="center"/>
          </w:tcPr>
          <w:p>
            <w:pPr>
              <w:pStyle w:val="TableContents"/>
              <w:bidi w:val="0"/>
              <w:spacing w:before="0" w:after="283"/>
              <w:jc w:val="left"/>
              <w:rPr/>
            </w:pPr>
            <w:r>
              <w:rPr/>
              <w:t> </w:t>
            </w:r>
          </w:p>
        </w:tc>
        <w:tc>
          <w:tcPr>
            <w:tcW w:w="1589" w:type="dxa"/>
            <w:tcBorders/>
            <w:tcMar>
              <w:bottom w:w="0" w:type="dxa"/>
            </w:tcMar>
            <w:vAlign w:val="center"/>
          </w:tcPr>
          <w:p>
            <w:pPr>
              <w:pStyle w:val="TableContents"/>
              <w:bidi w:val="0"/>
              <w:spacing w:before="0" w:after="283"/>
              <w:jc w:val="right"/>
              <w:rPr/>
            </w:pPr>
            <w:r>
              <w:rPr/>
              <w:t>16,912</w:t>
            </w:r>
          </w:p>
        </w:tc>
        <w:tc>
          <w:tcPr>
            <w:tcW w:w="137" w:type="dxa"/>
            <w:tcBorders/>
            <w:tcMar>
              <w:bottom w:w="0" w:type="dxa"/>
            </w:tcMar>
            <w:vAlign w:val="center"/>
          </w:tcPr>
          <w:p>
            <w:pPr>
              <w:pStyle w:val="TableContents"/>
              <w:bidi w:val="0"/>
              <w:spacing w:before="0" w:after="283"/>
              <w:jc w:val="left"/>
              <w:rPr/>
            </w:pPr>
            <w:r>
              <w:rPr/>
              <w:t> </w:t>
            </w:r>
          </w:p>
        </w:tc>
      </w:tr>
      <w:tr>
        <w:trPr/>
        <w:tc>
          <w:tcPr>
            <w:tcW w:w="5613" w:type="dxa"/>
            <w:tcBorders/>
            <w:shd w:fill="CCEEFF" w:val="clear"/>
            <w:tcMar>
              <w:bottom w:w="0" w:type="dxa"/>
            </w:tcMar>
            <w:vAlign w:val="center"/>
          </w:tcPr>
          <w:p>
            <w:pPr>
              <w:pStyle w:val="TableContents"/>
              <w:bidi w:val="0"/>
              <w:spacing w:before="0" w:after="283"/>
              <w:jc w:val="both"/>
              <w:rPr/>
            </w:pPr>
            <w:r>
              <w:rPr/>
              <w:t>March 2024 Purchase Order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2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642" w:type="dxa"/>
            <w:tcBorders/>
            <w:shd w:fill="CCEEFF" w:val="clear"/>
            <w:tcMar>
              <w:bottom w:w="0" w:type="dxa"/>
            </w:tcMar>
            <w:vAlign w:val="center"/>
          </w:tcPr>
          <w:p>
            <w:pPr>
              <w:pStyle w:val="TableContents"/>
              <w:bidi w:val="0"/>
              <w:spacing w:before="0" w:after="283"/>
              <w:jc w:val="right"/>
              <w:rPr>
                <w:b/>
              </w:rPr>
            </w:pPr>
            <w:r>
              <w:rPr>
                <w:b/>
              </w:rPr>
              <w:t>34,791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589" w:type="dxa"/>
            <w:tcBorders/>
            <w:shd w:fill="CCEEFF" w:val="clear"/>
            <w:tcMar>
              <w:bottom w:w="0" w:type="dxa"/>
            </w:tcMar>
            <w:vAlign w:val="center"/>
          </w:tcPr>
          <w:p>
            <w:pPr>
              <w:pStyle w:val="TableContents"/>
              <w:bidi w:val="0"/>
              <w:spacing w:before="0" w:after="0"/>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613" w:type="dxa"/>
            <w:tcBorders/>
            <w:tcMar>
              <w:bottom w:w="0" w:type="dxa"/>
            </w:tcMar>
            <w:vAlign w:val="center"/>
          </w:tcPr>
          <w:p>
            <w:pPr>
              <w:pStyle w:val="TableContents"/>
              <w:bidi w:val="0"/>
              <w:spacing w:before="0" w:after="283"/>
              <w:jc w:val="left"/>
              <w:rPr/>
            </w:pPr>
            <w:r>
              <w:rPr/>
              <w:t>Other BVVE and electrical components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1642" w:type="dxa"/>
            <w:tcBorders/>
            <w:tcMar>
              <w:bottom w:w="0" w:type="dxa"/>
            </w:tcMar>
            <w:vAlign w:val="center"/>
          </w:tcPr>
          <w:p>
            <w:pPr>
              <w:pStyle w:val="TableContents"/>
              <w:bidi w:val="0"/>
              <w:spacing w:before="0" w:after="283"/>
              <w:jc w:val="right"/>
              <w:rPr>
                <w:b/>
              </w:rPr>
            </w:pPr>
            <w:r>
              <w:rPr>
                <w:b/>
              </w:rPr>
              <w:t>3,499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1" w:type="dxa"/>
            <w:tcBorders/>
            <w:tcMar>
              <w:bottom w:w="0" w:type="dxa"/>
            </w:tcMar>
            <w:vAlign w:val="center"/>
          </w:tcPr>
          <w:p>
            <w:pPr>
              <w:pStyle w:val="TableContents"/>
              <w:bidi w:val="0"/>
              <w:spacing w:before="0" w:after="283"/>
              <w:jc w:val="left"/>
              <w:rPr/>
            </w:pPr>
            <w:r>
              <w:rPr/>
              <w:t> </w:t>
            </w:r>
          </w:p>
        </w:tc>
        <w:tc>
          <w:tcPr>
            <w:tcW w:w="1589" w:type="dxa"/>
            <w:tcBorders/>
            <w:tcMar>
              <w:bottom w:w="0" w:type="dxa"/>
            </w:tcMar>
            <w:vAlign w:val="center"/>
          </w:tcPr>
          <w:p>
            <w:pPr>
              <w:pStyle w:val="TableContents"/>
              <w:bidi w:val="0"/>
              <w:spacing w:before="0" w:after="283"/>
              <w:jc w:val="right"/>
              <w:rPr/>
            </w:pPr>
            <w:r>
              <w:rPr/>
              <w:t>4,400</w:t>
            </w:r>
          </w:p>
        </w:tc>
        <w:tc>
          <w:tcPr>
            <w:tcW w:w="137" w:type="dxa"/>
            <w:tcBorders/>
            <w:tcMar>
              <w:bottom w:w="0" w:type="dxa"/>
            </w:tcMar>
            <w:vAlign w:val="center"/>
          </w:tcPr>
          <w:p>
            <w:pPr>
              <w:pStyle w:val="TableContents"/>
              <w:bidi w:val="0"/>
              <w:spacing w:before="0" w:after="283"/>
              <w:jc w:val="left"/>
              <w:rPr/>
            </w:pPr>
            <w:r>
              <w:rPr/>
              <w:t> </w:t>
            </w:r>
          </w:p>
        </w:tc>
      </w:tr>
      <w:tr>
        <w:trPr/>
        <w:tc>
          <w:tcPr>
            <w:tcW w:w="5613" w:type="dxa"/>
            <w:tcBorders>
              <w:bottom w:val="single" w:sz="8" w:space="0" w:color="000000"/>
            </w:tcBorders>
            <w:shd w:fill="CCEEFF" w:val="clear"/>
            <w:vAlign w:val="center"/>
          </w:tcPr>
          <w:p>
            <w:pPr>
              <w:pStyle w:val="TableContents"/>
              <w:bidi w:val="0"/>
              <w:spacing w:before="0" w:after="283"/>
              <w:jc w:val="both"/>
              <w:rPr/>
            </w:pPr>
            <w:r>
              <w:rPr/>
              <w:t>Construction work and materials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center"/>
              <w:rPr/>
            </w:pPr>
            <w:r>
              <w:rPr/>
              <w:t> </w:t>
            </w:r>
          </w:p>
        </w:tc>
        <w:tc>
          <w:tcPr>
            <w:tcW w:w="275" w:type="dxa"/>
            <w:tcBorders>
              <w:bottom w:val="single" w:sz="8" w:space="0" w:color="000000"/>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1642" w:type="dxa"/>
            <w:tcBorders>
              <w:bottom w:val="single" w:sz="8" w:space="0" w:color="000000"/>
            </w:tcBorders>
            <w:shd w:fill="CCEEFF" w:val="clear"/>
            <w:vAlign w:val="center"/>
          </w:tcPr>
          <w:p>
            <w:pPr>
              <w:pStyle w:val="TableContents"/>
              <w:bidi w:val="0"/>
              <w:spacing w:before="0" w:after="283"/>
              <w:jc w:val="right"/>
              <w:rPr>
                <w:b/>
              </w:rPr>
            </w:pPr>
            <w:r>
              <w:rPr>
                <w:b/>
              </w:rPr>
              <w:t>13,564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vAlign w:val="center"/>
          </w:tcPr>
          <w:p>
            <w:pPr>
              <w:pStyle w:val="TableContents"/>
              <w:bidi w:val="0"/>
              <w:spacing w:before="0" w:after="283"/>
              <w:jc w:val="left"/>
              <w:rPr/>
            </w:pPr>
            <w:r>
              <w:rPr/>
              <w:t> </w:t>
            </w:r>
          </w:p>
        </w:tc>
        <w:tc>
          <w:tcPr>
            <w:tcW w:w="1589" w:type="dxa"/>
            <w:tcBorders>
              <w:bottom w:val="single" w:sz="8" w:space="0" w:color="000000"/>
            </w:tcBorders>
            <w:shd w:fill="CCEEFF" w:val="clear"/>
            <w:vAlign w:val="center"/>
          </w:tcPr>
          <w:p>
            <w:pPr>
              <w:pStyle w:val="TableContents"/>
              <w:bidi w:val="0"/>
              <w:spacing w:before="0" w:after="283"/>
              <w:jc w:val="right"/>
              <w:rPr/>
            </w:pPr>
            <w:r>
              <w:rPr/>
              <w:t>7,171</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613"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center"/>
              <w:rPr/>
            </w:pPr>
            <w:r>
              <w:rPr/>
              <w:t> </w:t>
            </w:r>
          </w:p>
        </w:tc>
        <w:tc>
          <w:tcPr>
            <w:tcW w:w="275" w:type="dxa"/>
            <w:tcBorders>
              <w:bottom w:val="single" w:sz="12" w:space="0" w:color="000000"/>
            </w:tcBorders>
            <w:vAlign w:val="center"/>
          </w:tcPr>
          <w:p>
            <w:pPr>
              <w:pStyle w:val="TableContents"/>
              <w:bidi w:val="0"/>
              <w:spacing w:before="0" w:after="283"/>
              <w:jc w:val="center"/>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08" w:type="dxa"/>
            <w:tcBorders>
              <w:bottom w:val="single" w:sz="12" w:space="0" w:color="000000"/>
            </w:tcBorders>
            <w:vAlign w:val="center"/>
          </w:tcPr>
          <w:p>
            <w:pPr>
              <w:pStyle w:val="TableContents"/>
              <w:bidi w:val="0"/>
              <w:spacing w:before="0" w:after="283"/>
              <w:jc w:val="left"/>
              <w:rPr/>
            </w:pPr>
            <w:r>
              <w:rPr/>
              <w:t> </w:t>
            </w:r>
          </w:p>
        </w:tc>
        <w:tc>
          <w:tcPr>
            <w:tcW w:w="1642" w:type="dxa"/>
            <w:tcBorders>
              <w:bottom w:val="single" w:sz="12" w:space="0" w:color="000000"/>
            </w:tcBorders>
            <w:vAlign w:val="center"/>
          </w:tcPr>
          <w:p>
            <w:pPr>
              <w:pStyle w:val="TableContents"/>
              <w:bidi w:val="0"/>
              <w:spacing w:before="0" w:after="283"/>
              <w:jc w:val="right"/>
              <w:rPr>
                <w:b/>
              </w:rPr>
            </w:pPr>
            <w:r>
              <w:rPr>
                <w:b/>
              </w:rPr>
              <w:t>51,854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01" w:type="dxa"/>
            <w:tcBorders>
              <w:bottom w:val="single" w:sz="12" w:space="0" w:color="000000"/>
            </w:tcBorders>
            <w:vAlign w:val="center"/>
          </w:tcPr>
          <w:p>
            <w:pPr>
              <w:pStyle w:val="TableContents"/>
              <w:bidi w:val="0"/>
              <w:spacing w:before="0" w:after="283"/>
              <w:jc w:val="left"/>
              <w:rPr/>
            </w:pPr>
            <w:r>
              <w:rPr/>
              <w:t> </w:t>
            </w:r>
          </w:p>
        </w:tc>
        <w:tc>
          <w:tcPr>
            <w:tcW w:w="1589" w:type="dxa"/>
            <w:tcBorders>
              <w:bottom w:val="single" w:sz="12" w:space="0" w:color="000000"/>
            </w:tcBorders>
            <w:vAlign w:val="center"/>
          </w:tcPr>
          <w:p>
            <w:pPr>
              <w:pStyle w:val="TableContents"/>
              <w:bidi w:val="0"/>
              <w:spacing w:before="0" w:after="283"/>
              <w:jc w:val="right"/>
              <w:rPr/>
            </w:pPr>
            <w:r>
              <w:rPr/>
              <w:t>39,813</w:t>
            </w:r>
          </w:p>
        </w:tc>
        <w:tc>
          <w:tcPr>
            <w:tcW w:w="137"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5"/>
        <w:gridCol w:w="1089"/>
        <w:gridCol w:w="8681"/>
      </w:tblGrid>
      <w:tr>
        <w:trPr/>
        <w:tc>
          <w:tcPr>
            <w:tcW w:w="43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i/>
              </w:rPr>
            </w:pPr>
            <w:r>
              <w:rPr>
                <w:i/>
              </w:rPr>
              <w:t>i.</w:t>
            </w:r>
          </w:p>
        </w:tc>
        <w:tc>
          <w:tcPr>
            <w:tcW w:w="8681" w:type="dxa"/>
            <w:tcBorders/>
            <w:vAlign w:val="center"/>
          </w:tcPr>
          <w:p>
            <w:pPr>
              <w:pStyle w:val="TableContents"/>
              <w:bidi w:val="0"/>
              <w:spacing w:before="0" w:after="283"/>
              <w:jc w:val="both"/>
              <w:rPr>
                <w:i/>
              </w:rPr>
            </w:pPr>
            <w:r>
              <w:rPr>
                <w:i/>
              </w:rPr>
              <w:t>Miner credits</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Company renegotiated its previous purchase agreements for 48,000 Miners by extinguishing the outstanding commitments of $45,350 without penalty and establishing a $22,376 credit for deposits previously made. The Company received $3,279 of Miners, reducing the outstanding credit balance to $19,097 at December 31, 2022, which was fully utilized during 2023 for the acquisition of Hydro Miners and hydro containers. These items were received during the year ended December 31, 2024 and the long-term deposit balance was reduced to nil upon the transfer to property, plant and equipment.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332"/>
        <w:gridCol w:w="9776"/>
      </w:tblGrid>
      <w:tr>
        <w:trPr/>
        <w:tc>
          <w:tcPr>
            <w:tcW w:w="9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i/>
              </w:rPr>
            </w:pPr>
            <w:r>
              <w:rPr>
                <w:i/>
              </w:rPr>
              <w:t>ii.</w:t>
            </w:r>
          </w:p>
        </w:tc>
        <w:tc>
          <w:tcPr>
            <w:tcW w:w="9776" w:type="dxa"/>
            <w:tcBorders/>
            <w:vAlign w:val="center"/>
          </w:tcPr>
          <w:p>
            <w:pPr>
              <w:pStyle w:val="TableContents"/>
              <w:bidi w:val="0"/>
              <w:spacing w:before="0" w:after="283"/>
              <w:jc w:val="both"/>
              <w:rPr>
                <w:i/>
              </w:rPr>
            </w:pPr>
            <w:r>
              <w:rPr>
                <w:i/>
              </w:rPr>
              <w:t>Bitmain T21 &amp; S21 Pro Miners Purchase Order and Purchase Option</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2023, the Company placed a firm purchase order for approximately 35,888 Bitmain T21 Miners (the “Purchase Order”) totaling $95,462 with deliveries scheduled from March 2024 to June 2024 and made a non-refundable deposit of $9,464. In addition, the Company secured a purchase option for approximately an additional 28,000 Bitmain T21 Miners (the “Purchase Option”) totaling $74,480 and made a non-refundable deposit of $7,448. This Purchase Option gives the Company the right, exercisable until December 31, 2024, but not the obligation, to purchase up to 28,000 additional Bitmain T21 Miners. The total hashrate from the Miners received should correspond to the total hashrate specified in the initial agreements. The quantity of Miners received may vary based on the individual specifications of each Miner.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the Company fully exercised the Purchase Option with deliveries initially scheduled for September and October 2024. In November 2024, the Company amended the Purchase Option and upgraded 6,000 Bitmain T21 Miners to 6,000 Bitmain S21 Pro Miners for $10,576.</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48 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108"/>
        <w:gridCol w:w="9029"/>
      </w:tblGrid>
      <w:tr>
        <w:trPr/>
        <w:tc>
          <w:tcPr>
            <w:tcW w:w="6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b/>
              </w:rPr>
            </w:pPr>
            <w:r>
              <w:rPr>
                <w:b/>
              </w:rPr>
              <w:t>NOTE 14:</w:t>
            </w:r>
          </w:p>
        </w:tc>
        <w:tc>
          <w:tcPr>
            <w:tcW w:w="9029" w:type="dxa"/>
            <w:tcBorders/>
            <w:vAlign w:val="center"/>
          </w:tcPr>
          <w:p>
            <w:pPr>
              <w:pStyle w:val="TableContents"/>
              <w:bidi w:val="0"/>
              <w:spacing w:before="0" w:after="283"/>
              <w:jc w:val="both"/>
              <w:rPr/>
            </w:pPr>
            <w:r>
              <w:rPr>
                <w:b/>
              </w:rPr>
              <w:t xml:space="preserve">LONG-TERM DEPOSITS, EQUIPMENT PREPAYMENTS AND OTHER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Equipment and construction prepayments </w:t>
      </w:r>
      <w:r>
        <w:rPr>
          <w:rFonts w:ascii="Times New Roman;Times;Serif" w:hAnsi="Times New Roman;Times;Serif"/>
          <w:b w:val="false"/>
          <w:i w:val="false"/>
          <w:caps w:val="false"/>
          <w:smallCaps w:val="false"/>
          <w:sz w:val="20"/>
        </w:rPr>
        <w:t>(Continued)</w:t>
      </w:r>
    </w:p>
    <w:tbl>
      <w:tblPr>
        <w:tblW w:w="5000" w:type="pct"/>
        <w:jc w:val="left"/>
        <w:tblInd w:w="0" w:type="dxa"/>
        <w:tblLayout w:type="fixed"/>
        <w:tblCellMar>
          <w:top w:w="0" w:type="dxa"/>
          <w:left w:w="0" w:type="dxa"/>
          <w:bottom w:w="0" w:type="dxa"/>
          <w:right w:w="0" w:type="dxa"/>
        </w:tblCellMar>
      </w:tblPr>
      <w:tblGrid>
        <w:gridCol w:w="83"/>
        <w:gridCol w:w="284"/>
        <w:gridCol w:w="9838"/>
      </w:tblGrid>
      <w:tr>
        <w:trPr/>
        <w:tc>
          <w:tcPr>
            <w:tcW w:w="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i/>
              </w:rPr>
            </w:pPr>
            <w:r>
              <w:rPr>
                <w:i/>
              </w:rPr>
              <w:t>ii.</w:t>
            </w:r>
          </w:p>
        </w:tc>
        <w:tc>
          <w:tcPr>
            <w:tcW w:w="9838" w:type="dxa"/>
            <w:tcBorders/>
            <w:vAlign w:val="center"/>
          </w:tcPr>
          <w:p>
            <w:pPr>
              <w:pStyle w:val="TableContents"/>
              <w:bidi w:val="0"/>
              <w:spacing w:before="0" w:after="283"/>
              <w:jc w:val="both"/>
              <w:rPr/>
            </w:pPr>
            <w:r>
              <w:rPr>
                <w:i/>
              </w:rPr>
              <w:t xml:space="preserve">Bitmain T21 &amp; S21 Pro Miners Purchase Order and Purchase Option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made additional deposits of $153,030 towards the Purchase Order and the Purchase Option, of which approximately 58,123 Bitmain T21 Miners with a cost of $153,987 were received and 3,604 Bitmain S21 Pro Miners with a cost of $15,955 were received or in transit.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deposit balance for the Purchase Order and the Purchase Option is detailed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52"/>
        <w:gridCol w:w="90"/>
        <w:gridCol w:w="179"/>
        <w:gridCol w:w="1812"/>
        <w:gridCol w:w="172"/>
      </w:tblGrid>
      <w:tr>
        <w:trPr/>
        <w:tc>
          <w:tcPr>
            <w:tcW w:w="7952"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991"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172" w:type="dxa"/>
            <w:tcBorders>
              <w:bottom w:val="single" w:sz="8" w:space="0" w:color="000000"/>
            </w:tcBorders>
            <w:vAlign w:val="center"/>
          </w:tcPr>
          <w:p>
            <w:pPr>
              <w:pStyle w:val="TableContents"/>
              <w:bidi w:val="0"/>
              <w:spacing w:before="0" w:after="283"/>
              <w:jc w:val="right"/>
              <w:rPr/>
            </w:pPr>
            <w:r>
              <w:rPr/>
              <w:t> </w:t>
            </w:r>
          </w:p>
        </w:tc>
      </w:tr>
      <w:tr>
        <w:trPr/>
        <w:tc>
          <w:tcPr>
            <w:tcW w:w="7952"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991" w:type="dxa"/>
            <w:gridSpan w:val="2"/>
            <w:tcBorders>
              <w:bottom w:val="single" w:sz="8" w:space="0" w:color="000000"/>
            </w:tcBorders>
            <w:vAlign w:val="center"/>
          </w:tcPr>
          <w:p>
            <w:pPr>
              <w:pStyle w:val="TableContents"/>
              <w:bidi w:val="0"/>
              <w:spacing w:before="0" w:after="283"/>
              <w:jc w:val="right"/>
              <w:rPr>
                <w:b/>
              </w:rPr>
            </w:pPr>
            <w:r>
              <w:rPr>
                <w:b/>
              </w:rPr>
              <w:t>2024</w:t>
            </w:r>
          </w:p>
        </w:tc>
        <w:tc>
          <w:tcPr>
            <w:tcW w:w="172" w:type="dxa"/>
            <w:tcBorders>
              <w:bottom w:val="single" w:sz="8" w:space="0" w:color="000000"/>
            </w:tcBorders>
            <w:vAlign w:val="center"/>
          </w:tcPr>
          <w:p>
            <w:pPr>
              <w:pStyle w:val="TableContents"/>
              <w:bidi w:val="0"/>
              <w:spacing w:before="0" w:after="283"/>
              <w:jc w:val="right"/>
              <w:rPr/>
            </w:pPr>
            <w:r>
              <w:rPr/>
              <w:t> </w:t>
            </w:r>
          </w:p>
        </w:tc>
      </w:tr>
      <w:tr>
        <w:trPr/>
        <w:tc>
          <w:tcPr>
            <w:tcW w:w="7952" w:type="dxa"/>
            <w:tcBorders/>
            <w:shd w:fill="CCEEFF" w:val="clear"/>
            <w:tcMar>
              <w:bottom w:w="0" w:type="dxa"/>
            </w:tcMar>
            <w:vAlign w:val="center"/>
          </w:tcPr>
          <w:p>
            <w:pPr>
              <w:pStyle w:val="TableContents"/>
              <w:bidi w:val="0"/>
              <w:spacing w:before="0" w:after="283"/>
              <w:jc w:val="both"/>
              <w:rPr/>
            </w:pPr>
            <w:r>
              <w:rPr/>
              <w:t>Non-refundable deposit on the Purchase Order made in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812" w:type="dxa"/>
            <w:tcBorders/>
            <w:shd w:fill="CCEEFF" w:val="clear"/>
            <w:tcMar>
              <w:bottom w:w="0" w:type="dxa"/>
            </w:tcMar>
            <w:vAlign w:val="center"/>
          </w:tcPr>
          <w:p>
            <w:pPr>
              <w:pStyle w:val="TableContents"/>
              <w:bidi w:val="0"/>
              <w:spacing w:before="0" w:after="283"/>
              <w:jc w:val="right"/>
              <w:rPr>
                <w:b/>
              </w:rPr>
            </w:pPr>
            <w:r>
              <w:rPr>
                <w:b/>
              </w:rPr>
              <w:t>9,464</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7952" w:type="dxa"/>
            <w:tcBorders/>
            <w:tcMar>
              <w:bottom w:w="0" w:type="dxa"/>
            </w:tcMar>
            <w:vAlign w:val="center"/>
          </w:tcPr>
          <w:p>
            <w:pPr>
              <w:pStyle w:val="TableContents"/>
              <w:bidi w:val="0"/>
              <w:spacing w:before="0" w:after="283"/>
              <w:jc w:val="both"/>
              <w:rPr/>
            </w:pPr>
            <w:r>
              <w:rPr/>
              <w:t>Non-refundable deposit on the Purchase Option made in 2023</w:t>
            </w:r>
          </w:p>
        </w:tc>
        <w:tc>
          <w:tcPr>
            <w:tcW w:w="90" w:type="dxa"/>
            <w:tcBorders/>
            <w:tcMar>
              <w:bottom w:w="0" w:type="dxa"/>
            </w:tcMar>
            <w:vAlign w:val="center"/>
          </w:tcPr>
          <w:p>
            <w:pPr>
              <w:pStyle w:val="TableContents"/>
              <w:bidi w:val="0"/>
              <w:spacing w:before="0" w:after="283"/>
              <w:jc w:val="left"/>
              <w:rPr/>
            </w:pPr>
            <w:r>
              <w:rPr/>
              <w:t> </w:t>
            </w:r>
          </w:p>
        </w:tc>
        <w:tc>
          <w:tcPr>
            <w:tcW w:w="179" w:type="dxa"/>
            <w:tcBorders/>
            <w:tcMar>
              <w:bottom w:w="0" w:type="dxa"/>
            </w:tcMar>
            <w:vAlign w:val="center"/>
          </w:tcPr>
          <w:p>
            <w:pPr>
              <w:pStyle w:val="TableContents"/>
              <w:bidi w:val="0"/>
              <w:spacing w:before="0" w:after="283"/>
              <w:jc w:val="left"/>
              <w:rPr/>
            </w:pPr>
            <w:r>
              <w:rPr/>
              <w:t> </w:t>
            </w:r>
          </w:p>
        </w:tc>
        <w:tc>
          <w:tcPr>
            <w:tcW w:w="1812" w:type="dxa"/>
            <w:tcBorders/>
            <w:tcMar>
              <w:bottom w:w="0" w:type="dxa"/>
            </w:tcMar>
            <w:vAlign w:val="center"/>
          </w:tcPr>
          <w:p>
            <w:pPr>
              <w:pStyle w:val="TableContents"/>
              <w:bidi w:val="0"/>
              <w:spacing w:before="0" w:after="283"/>
              <w:jc w:val="right"/>
              <w:rPr>
                <w:b/>
              </w:rPr>
            </w:pPr>
            <w:r>
              <w:rPr>
                <w:b/>
              </w:rPr>
              <w:t>7,448</w:t>
            </w:r>
          </w:p>
        </w:tc>
        <w:tc>
          <w:tcPr>
            <w:tcW w:w="172" w:type="dxa"/>
            <w:tcBorders/>
            <w:tcMar>
              <w:bottom w:w="0" w:type="dxa"/>
            </w:tcMar>
            <w:vAlign w:val="center"/>
          </w:tcPr>
          <w:p>
            <w:pPr>
              <w:pStyle w:val="TableContents"/>
              <w:bidi w:val="0"/>
              <w:spacing w:before="0" w:after="283"/>
              <w:jc w:val="left"/>
              <w:rPr/>
            </w:pPr>
            <w:r>
              <w:rPr/>
              <w:t> </w:t>
            </w:r>
          </w:p>
        </w:tc>
      </w:tr>
      <w:tr>
        <w:trPr/>
        <w:tc>
          <w:tcPr>
            <w:tcW w:w="7952" w:type="dxa"/>
            <w:tcBorders/>
            <w:shd w:fill="CCEEFF" w:val="clear"/>
            <w:tcMar>
              <w:bottom w:w="0" w:type="dxa"/>
            </w:tcMar>
            <w:vAlign w:val="center"/>
          </w:tcPr>
          <w:p>
            <w:pPr>
              <w:pStyle w:val="TableContents"/>
              <w:bidi w:val="0"/>
              <w:spacing w:before="0" w:after="283"/>
              <w:jc w:val="both"/>
              <w:rPr/>
            </w:pPr>
            <w:r>
              <w:rPr/>
              <w:t>Non-refundable deposit on the Purchase Order and the Purchase Option made in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812" w:type="dxa"/>
            <w:tcBorders/>
            <w:shd w:fill="CCEEFF" w:val="clear"/>
            <w:tcMar>
              <w:bottom w:w="0" w:type="dxa"/>
            </w:tcMar>
            <w:vAlign w:val="center"/>
          </w:tcPr>
          <w:p>
            <w:pPr>
              <w:pStyle w:val="TableContents"/>
              <w:bidi w:val="0"/>
              <w:spacing w:before="0" w:after="283"/>
              <w:jc w:val="right"/>
              <w:rPr>
                <w:b/>
              </w:rPr>
            </w:pPr>
            <w:r>
              <w:rPr>
                <w:b/>
              </w:rPr>
              <w:t>153,030</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7952" w:type="dxa"/>
            <w:tcBorders/>
            <w:tcMar>
              <w:bottom w:w="0" w:type="dxa"/>
            </w:tcMar>
            <w:vAlign w:val="center"/>
          </w:tcPr>
          <w:p>
            <w:pPr>
              <w:pStyle w:val="TableContents"/>
              <w:bidi w:val="0"/>
              <w:spacing w:before="0" w:after="283"/>
              <w:jc w:val="both"/>
              <w:rPr/>
            </w:pPr>
            <w:r>
              <w:rPr/>
              <w:t>Bitmain T21 Miners received</w:t>
            </w:r>
          </w:p>
        </w:tc>
        <w:tc>
          <w:tcPr>
            <w:tcW w:w="90" w:type="dxa"/>
            <w:tcBorders/>
            <w:tcMar>
              <w:bottom w:w="0" w:type="dxa"/>
            </w:tcMar>
            <w:vAlign w:val="center"/>
          </w:tcPr>
          <w:p>
            <w:pPr>
              <w:pStyle w:val="TableContents"/>
              <w:bidi w:val="0"/>
              <w:spacing w:before="0" w:after="283"/>
              <w:jc w:val="left"/>
              <w:rPr/>
            </w:pPr>
            <w:r>
              <w:rPr/>
              <w:t> </w:t>
            </w:r>
          </w:p>
        </w:tc>
        <w:tc>
          <w:tcPr>
            <w:tcW w:w="179" w:type="dxa"/>
            <w:tcBorders/>
            <w:tcMar>
              <w:bottom w:w="0" w:type="dxa"/>
            </w:tcMar>
            <w:vAlign w:val="center"/>
          </w:tcPr>
          <w:p>
            <w:pPr>
              <w:pStyle w:val="TableContents"/>
              <w:bidi w:val="0"/>
              <w:spacing w:before="0" w:after="283"/>
              <w:jc w:val="left"/>
              <w:rPr/>
            </w:pPr>
            <w:r>
              <w:rPr/>
              <w:t> </w:t>
            </w:r>
          </w:p>
        </w:tc>
        <w:tc>
          <w:tcPr>
            <w:tcW w:w="1812" w:type="dxa"/>
            <w:tcBorders/>
            <w:tcMar>
              <w:bottom w:w="0" w:type="dxa"/>
            </w:tcMar>
            <w:vAlign w:val="center"/>
          </w:tcPr>
          <w:p>
            <w:pPr>
              <w:pStyle w:val="TableContents"/>
              <w:bidi w:val="0"/>
              <w:spacing w:before="0" w:after="283"/>
              <w:jc w:val="right"/>
              <w:rPr>
                <w:b/>
              </w:rPr>
            </w:pPr>
            <w:r>
              <w:rPr>
                <w:b/>
              </w:rPr>
              <w:t>(153,987</w:t>
            </w:r>
          </w:p>
        </w:tc>
        <w:tc>
          <w:tcPr>
            <w:tcW w:w="172" w:type="dxa"/>
            <w:tcBorders/>
            <w:tcMar>
              <w:bottom w:w="0" w:type="dxa"/>
            </w:tcMar>
            <w:vAlign w:val="center"/>
          </w:tcPr>
          <w:p>
            <w:pPr>
              <w:pStyle w:val="TableContents"/>
              <w:bidi w:val="0"/>
              <w:spacing w:before="0" w:after="283"/>
              <w:jc w:val="left"/>
              <w:rPr>
                <w:b/>
              </w:rPr>
            </w:pPr>
            <w:r>
              <w:rPr>
                <w:b/>
              </w:rPr>
              <w:t>)</w:t>
            </w:r>
          </w:p>
        </w:tc>
      </w:tr>
      <w:tr>
        <w:trPr/>
        <w:tc>
          <w:tcPr>
            <w:tcW w:w="7952" w:type="dxa"/>
            <w:tcBorders>
              <w:bottom w:val="single" w:sz="8" w:space="0" w:color="000000"/>
            </w:tcBorders>
            <w:shd w:fill="CCEEFF" w:val="clear"/>
            <w:vAlign w:val="center"/>
          </w:tcPr>
          <w:p>
            <w:pPr>
              <w:pStyle w:val="TableContents"/>
              <w:bidi w:val="0"/>
              <w:spacing w:before="0" w:after="283"/>
              <w:jc w:val="left"/>
              <w:rPr/>
            </w:pPr>
            <w:r>
              <w:rPr/>
              <w:t>Bitmain S21 Pro Miners received or in transit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vAlign w:val="center"/>
          </w:tcPr>
          <w:p>
            <w:pPr>
              <w:pStyle w:val="TableContents"/>
              <w:bidi w:val="0"/>
              <w:spacing w:before="0" w:after="283"/>
              <w:jc w:val="left"/>
              <w:rPr/>
            </w:pPr>
            <w:r>
              <w:rPr/>
              <w:t> </w:t>
            </w:r>
          </w:p>
        </w:tc>
        <w:tc>
          <w:tcPr>
            <w:tcW w:w="1812" w:type="dxa"/>
            <w:tcBorders>
              <w:bottom w:val="single" w:sz="8" w:space="0" w:color="000000"/>
            </w:tcBorders>
            <w:shd w:fill="CCEEFF" w:val="clear"/>
            <w:vAlign w:val="center"/>
          </w:tcPr>
          <w:p>
            <w:pPr>
              <w:pStyle w:val="TableContents"/>
              <w:bidi w:val="0"/>
              <w:spacing w:before="0" w:after="283"/>
              <w:jc w:val="right"/>
              <w:rPr>
                <w:b/>
              </w:rPr>
            </w:pPr>
            <w:r>
              <w:rPr>
                <w:b/>
              </w:rPr>
              <w:t>(15,955</w:t>
            </w:r>
          </w:p>
        </w:tc>
        <w:tc>
          <w:tcPr>
            <w:tcW w:w="172" w:type="dxa"/>
            <w:tcBorders>
              <w:bottom w:val="single" w:sz="8" w:space="0" w:color="000000"/>
            </w:tcBorders>
            <w:shd w:fill="CCEEFF" w:val="clear"/>
            <w:vAlign w:val="center"/>
          </w:tcPr>
          <w:p>
            <w:pPr>
              <w:pStyle w:val="TableContents"/>
              <w:bidi w:val="0"/>
              <w:spacing w:before="0" w:after="283"/>
              <w:jc w:val="left"/>
              <w:rPr>
                <w:b/>
              </w:rPr>
            </w:pPr>
            <w:r>
              <w:rPr>
                <w:b/>
              </w:rPr>
              <w:t>)</w:t>
            </w:r>
          </w:p>
        </w:tc>
      </w:tr>
      <w:tr>
        <w:trPr/>
        <w:tc>
          <w:tcPr>
            <w:tcW w:w="7952"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9" w:type="dxa"/>
            <w:tcBorders>
              <w:bottom w:val="single" w:sz="12" w:space="0" w:color="000000"/>
            </w:tcBorders>
            <w:vAlign w:val="center"/>
          </w:tcPr>
          <w:p>
            <w:pPr>
              <w:pStyle w:val="TableContents"/>
              <w:bidi w:val="0"/>
              <w:spacing w:before="0" w:after="283"/>
              <w:jc w:val="left"/>
              <w:rPr/>
            </w:pPr>
            <w:r>
              <w:rPr/>
              <w:t> </w:t>
            </w:r>
          </w:p>
        </w:tc>
        <w:tc>
          <w:tcPr>
            <w:tcW w:w="1812" w:type="dxa"/>
            <w:tcBorders>
              <w:bottom w:val="single" w:sz="12" w:space="0" w:color="000000"/>
            </w:tcBorders>
            <w:vAlign w:val="center"/>
          </w:tcPr>
          <w:p>
            <w:pPr>
              <w:pStyle w:val="TableContents"/>
              <w:bidi w:val="0"/>
              <w:spacing w:before="0" w:after="0"/>
              <w:jc w:val="right"/>
              <w:rPr/>
            </w:pPr>
            <w:r>
              <w:rPr/>
              <w:t>—</w:t>
            </w:r>
          </w:p>
        </w:tc>
        <w:tc>
          <w:tcPr>
            <w:tcW w:w="172"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4"/>
        <w:gridCol w:w="917"/>
        <w:gridCol w:w="9074"/>
      </w:tblGrid>
      <w:tr>
        <w:trPr/>
        <w:tc>
          <w:tcPr>
            <w:tcW w:w="2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i/>
              </w:rPr>
            </w:pPr>
            <w:r>
              <w:rPr>
                <w:i/>
              </w:rPr>
              <w:t>iii.</w:t>
            </w:r>
          </w:p>
        </w:tc>
        <w:tc>
          <w:tcPr>
            <w:tcW w:w="9074" w:type="dxa"/>
            <w:tcBorders/>
            <w:vAlign w:val="center"/>
          </w:tcPr>
          <w:p>
            <w:pPr>
              <w:pStyle w:val="TableContents"/>
              <w:bidi w:val="0"/>
              <w:spacing w:before="0" w:after="283"/>
              <w:jc w:val="both"/>
              <w:rPr>
                <w:i/>
              </w:rPr>
            </w:pPr>
            <w:r>
              <w:rPr>
                <w:i/>
              </w:rPr>
              <w:t>March 2024 Purchase Order</w:t>
            </w:r>
          </w:p>
        </w:tc>
      </w:tr>
    </w:tbl>
    <w:p>
      <w:pPr>
        <w:pStyle w:val="TextBody"/>
        <w:bidi w:val="0"/>
        <w:spacing w:before="0" w:after="0"/>
        <w:ind w:left="0"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the Company purchased approximately an additional 19,280 Bitmain T21 Miners, 3,888 Bitmain S21 Miners and 740 Bitmain S21 Hydro Miners (collectively defined as the “March 2024 Purchase Order”) for $51,285, $13,608 and $4,338, respectively, with deliveries scheduled from April 2024 to November 2024. In November 2024, the Company amended the March 2024 Purchase Order and upgraded approximately 12,853 Bitmain T21 Miners to 12,853 S21 Pro Miners for $22,654. The amendment had an embedded derivative for the BTC Redemption Option, as described in Note 9. The BTC Redemption Option was initially recognized at a fair value of $1,349 reducing the Company’s Long-term deposits, equipment prepayments and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made deposits of $91,886 towards the March 2024 Purchase Order, of which approximately 4,317 Bitmain T21 Miners with a cost $11,072, 3,975 Bitmain S21 Miners with a cost of $13,608, 919 Bitmain S21 Pro Miners with a cost of $4,068 and 762 Bitmain S21 Hydro Miners with a cost of $4,338 were received or in transit.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deposit balance for the March 2024 Purchase Order was $34,791. The total hashrate from the Miners received should correspond to the total hashrate specified in the initial agreements. The quantity of Miners received may vary based on the individual specifications of each Miner. As of December 31, 2024, the deposit balance for the March 2024 Purchase Order is detailed as follows:</w:t>
      </w:r>
    </w:p>
    <w:p>
      <w:pPr>
        <w:pStyle w:val="TextBody"/>
        <w:bidi w:val="0"/>
        <w:spacing w:before="0" w:after="0"/>
        <w:ind w:left="0" w:right="0" w:hanging="0"/>
        <w:jc w:val="both"/>
        <w:rPr>
          <w:caps w:val="false"/>
          <w:smallCaps w:val="false"/>
        </w:rPr>
      </w:pPr>
      <w:r>
        <w:rPr>
          <w:caps w:val="false"/>
          <w:smallCaps w:val="false"/>
        </w:rPr>
        <w:t> </w:t>
      </w:r>
    </w:p>
    <w:tbl>
      <w:tblPr>
        <w:tblW w:w="7979" w:type="dxa"/>
        <w:jc w:val="left"/>
        <w:tblInd w:w="0" w:type="dxa"/>
        <w:tblLayout w:type="fixed"/>
        <w:tblCellMar>
          <w:top w:w="0" w:type="dxa"/>
          <w:left w:w="0" w:type="dxa"/>
          <w:bottom w:w="28" w:type="dxa"/>
          <w:right w:w="0" w:type="dxa"/>
        </w:tblCellMar>
      </w:tblPr>
      <w:tblGrid>
        <w:gridCol w:w="5690"/>
        <w:gridCol w:w="90"/>
        <w:gridCol w:w="207"/>
        <w:gridCol w:w="1822"/>
        <w:gridCol w:w="170"/>
      </w:tblGrid>
      <w:tr>
        <w:trPr/>
        <w:tc>
          <w:tcPr>
            <w:tcW w:w="56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170" w:type="dxa"/>
            <w:tcBorders>
              <w:bottom w:val="single" w:sz="8" w:space="0" w:color="000000"/>
            </w:tcBorders>
            <w:vAlign w:val="center"/>
          </w:tcPr>
          <w:p>
            <w:pPr>
              <w:pStyle w:val="TableContents"/>
              <w:bidi w:val="0"/>
              <w:spacing w:before="0" w:after="283"/>
              <w:jc w:val="right"/>
              <w:rPr/>
            </w:pPr>
            <w:r>
              <w:rPr/>
              <w:t> </w:t>
            </w:r>
          </w:p>
        </w:tc>
      </w:tr>
      <w:tr>
        <w:trPr/>
        <w:tc>
          <w:tcPr>
            <w:tcW w:w="56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170" w:type="dxa"/>
            <w:tcBorders>
              <w:bottom w:val="single" w:sz="8" w:space="0" w:color="000000"/>
            </w:tcBorders>
            <w:vAlign w:val="center"/>
          </w:tcPr>
          <w:p>
            <w:pPr>
              <w:pStyle w:val="TableContents"/>
              <w:bidi w:val="0"/>
              <w:spacing w:before="0" w:after="283"/>
              <w:jc w:val="right"/>
              <w:rPr/>
            </w:pPr>
            <w:r>
              <w:rPr/>
              <w:t> </w:t>
            </w:r>
          </w:p>
        </w:tc>
      </w:tr>
      <w:tr>
        <w:trPr/>
        <w:tc>
          <w:tcPr>
            <w:tcW w:w="5690" w:type="dxa"/>
            <w:tcBorders/>
            <w:shd w:fill="CCEEFF" w:val="clear"/>
            <w:tcMar>
              <w:bottom w:w="0" w:type="dxa"/>
            </w:tcMar>
            <w:vAlign w:val="center"/>
          </w:tcPr>
          <w:p>
            <w:pPr>
              <w:pStyle w:val="TableContents"/>
              <w:bidi w:val="0"/>
              <w:spacing w:before="0" w:after="283"/>
              <w:jc w:val="both"/>
              <w:rPr/>
            </w:pPr>
            <w:r>
              <w:rPr/>
              <w:t>Non-refundable deposit on the March 2024 Purchase Order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822" w:type="dxa"/>
            <w:tcBorders/>
            <w:shd w:fill="CCEEFF" w:val="clear"/>
            <w:tcMar>
              <w:bottom w:w="0" w:type="dxa"/>
            </w:tcMar>
            <w:vAlign w:val="center"/>
          </w:tcPr>
          <w:p>
            <w:pPr>
              <w:pStyle w:val="TableContents"/>
              <w:bidi w:val="0"/>
              <w:spacing w:before="0" w:after="283"/>
              <w:jc w:val="right"/>
              <w:rPr>
                <w:b/>
              </w:rPr>
            </w:pPr>
            <w:r>
              <w:rPr>
                <w:b/>
              </w:rPr>
              <w:t>69,231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690" w:type="dxa"/>
            <w:tcBorders/>
            <w:tcMar>
              <w:bottom w:w="0" w:type="dxa"/>
            </w:tcMar>
            <w:vAlign w:val="center"/>
          </w:tcPr>
          <w:p>
            <w:pPr>
              <w:pStyle w:val="TableContents"/>
              <w:bidi w:val="0"/>
              <w:spacing w:before="0" w:after="283"/>
              <w:jc w:val="both"/>
              <w:rPr/>
            </w:pPr>
            <w:r>
              <w:rPr/>
              <w:t>Bitmain T21 Miners received or in transit</w:t>
            </w:r>
          </w:p>
        </w:tc>
        <w:tc>
          <w:tcPr>
            <w:tcW w:w="90" w:type="dxa"/>
            <w:tcBorders/>
            <w:tcMar>
              <w:bottom w:w="0" w:type="dxa"/>
            </w:tcMar>
            <w:vAlign w:val="center"/>
          </w:tcPr>
          <w:p>
            <w:pPr>
              <w:pStyle w:val="TableContents"/>
              <w:bidi w:val="0"/>
              <w:spacing w:before="0" w:after="283"/>
              <w:jc w:val="left"/>
              <w:rPr/>
            </w:pPr>
            <w:r>
              <w:rPr/>
              <w:t> </w:t>
            </w:r>
          </w:p>
        </w:tc>
        <w:tc>
          <w:tcPr>
            <w:tcW w:w="207" w:type="dxa"/>
            <w:tcBorders/>
            <w:tcMar>
              <w:bottom w:w="0" w:type="dxa"/>
            </w:tcMar>
            <w:vAlign w:val="center"/>
          </w:tcPr>
          <w:p>
            <w:pPr>
              <w:pStyle w:val="TableContents"/>
              <w:bidi w:val="0"/>
              <w:spacing w:before="0" w:after="283"/>
              <w:jc w:val="left"/>
              <w:rPr/>
            </w:pPr>
            <w:r>
              <w:rPr/>
              <w:t> </w:t>
            </w:r>
          </w:p>
        </w:tc>
        <w:tc>
          <w:tcPr>
            <w:tcW w:w="1822" w:type="dxa"/>
            <w:tcBorders/>
            <w:tcMar>
              <w:bottom w:w="0" w:type="dxa"/>
            </w:tcMar>
            <w:vAlign w:val="center"/>
          </w:tcPr>
          <w:p>
            <w:pPr>
              <w:pStyle w:val="TableContents"/>
              <w:bidi w:val="0"/>
              <w:spacing w:before="0" w:after="283"/>
              <w:jc w:val="right"/>
              <w:rPr>
                <w:b/>
              </w:rPr>
            </w:pPr>
            <w:r>
              <w:rPr>
                <w:b/>
              </w:rPr>
              <w:t>(11,077</w:t>
            </w:r>
          </w:p>
        </w:tc>
        <w:tc>
          <w:tcPr>
            <w:tcW w:w="170" w:type="dxa"/>
            <w:tcBorders/>
            <w:tcMar>
              <w:bottom w:w="0" w:type="dxa"/>
            </w:tcMar>
            <w:vAlign w:val="center"/>
          </w:tcPr>
          <w:p>
            <w:pPr>
              <w:pStyle w:val="TableContents"/>
              <w:bidi w:val="0"/>
              <w:spacing w:before="0" w:after="283"/>
              <w:jc w:val="left"/>
              <w:rPr>
                <w:b/>
              </w:rPr>
            </w:pPr>
            <w:r>
              <w:rPr>
                <w:b/>
              </w:rPr>
              <w:t>)</w:t>
            </w:r>
          </w:p>
        </w:tc>
      </w:tr>
      <w:tr>
        <w:trPr/>
        <w:tc>
          <w:tcPr>
            <w:tcW w:w="5690" w:type="dxa"/>
            <w:tcBorders/>
            <w:shd w:fill="CCEEFF" w:val="clear"/>
            <w:tcMar>
              <w:bottom w:w="0" w:type="dxa"/>
            </w:tcMar>
            <w:vAlign w:val="center"/>
          </w:tcPr>
          <w:p>
            <w:pPr>
              <w:pStyle w:val="TableContents"/>
              <w:bidi w:val="0"/>
              <w:spacing w:before="0" w:after="283"/>
              <w:jc w:val="both"/>
              <w:rPr/>
            </w:pPr>
            <w:r>
              <w:rPr/>
              <w:t>Bitmain S21 Miners received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822" w:type="dxa"/>
            <w:tcBorders/>
            <w:shd w:fill="CCEEFF" w:val="clear"/>
            <w:tcMar>
              <w:bottom w:w="0" w:type="dxa"/>
            </w:tcMar>
            <w:vAlign w:val="center"/>
          </w:tcPr>
          <w:p>
            <w:pPr>
              <w:pStyle w:val="TableContents"/>
              <w:bidi w:val="0"/>
              <w:spacing w:before="0" w:after="283"/>
              <w:jc w:val="right"/>
              <w:rPr>
                <w:b/>
              </w:rPr>
            </w:pPr>
            <w:r>
              <w:rPr>
                <w:b/>
              </w:rPr>
              <w:t>(13,608</w:t>
            </w:r>
          </w:p>
        </w:tc>
        <w:tc>
          <w:tcPr>
            <w:tcW w:w="170" w:type="dxa"/>
            <w:tcBorders/>
            <w:shd w:fill="CCEEFF" w:val="clear"/>
            <w:tcMar>
              <w:bottom w:w="0" w:type="dxa"/>
            </w:tcMar>
            <w:vAlign w:val="center"/>
          </w:tcPr>
          <w:p>
            <w:pPr>
              <w:pStyle w:val="TableContents"/>
              <w:bidi w:val="0"/>
              <w:spacing w:before="0" w:after="283"/>
              <w:jc w:val="left"/>
              <w:rPr>
                <w:b/>
              </w:rPr>
            </w:pPr>
            <w:r>
              <w:rPr>
                <w:b/>
              </w:rPr>
              <w:t>)</w:t>
            </w:r>
          </w:p>
        </w:tc>
      </w:tr>
      <w:tr>
        <w:trPr/>
        <w:tc>
          <w:tcPr>
            <w:tcW w:w="5690" w:type="dxa"/>
            <w:tcBorders/>
            <w:tcMar>
              <w:bottom w:w="0" w:type="dxa"/>
            </w:tcMar>
            <w:vAlign w:val="center"/>
          </w:tcPr>
          <w:p>
            <w:pPr>
              <w:pStyle w:val="TableContents"/>
              <w:bidi w:val="0"/>
              <w:spacing w:before="0" w:after="283"/>
              <w:jc w:val="left"/>
              <w:rPr/>
            </w:pPr>
            <w:r>
              <w:rPr/>
              <w:t>Bitmain S21 Pro Miners received or in transit</w:t>
            </w:r>
          </w:p>
        </w:tc>
        <w:tc>
          <w:tcPr>
            <w:tcW w:w="90" w:type="dxa"/>
            <w:tcBorders/>
            <w:tcMar>
              <w:bottom w:w="0" w:type="dxa"/>
            </w:tcMar>
            <w:vAlign w:val="center"/>
          </w:tcPr>
          <w:p>
            <w:pPr>
              <w:pStyle w:val="TableContents"/>
              <w:bidi w:val="0"/>
              <w:spacing w:before="0" w:after="283"/>
              <w:jc w:val="left"/>
              <w:rPr/>
            </w:pPr>
            <w:r>
              <w:rPr/>
              <w:t> </w:t>
            </w:r>
          </w:p>
        </w:tc>
        <w:tc>
          <w:tcPr>
            <w:tcW w:w="207" w:type="dxa"/>
            <w:tcBorders/>
            <w:tcMar>
              <w:bottom w:w="0" w:type="dxa"/>
            </w:tcMar>
            <w:vAlign w:val="center"/>
          </w:tcPr>
          <w:p>
            <w:pPr>
              <w:pStyle w:val="TableContents"/>
              <w:bidi w:val="0"/>
              <w:spacing w:before="0" w:after="283"/>
              <w:jc w:val="left"/>
              <w:rPr/>
            </w:pPr>
            <w:r>
              <w:rPr/>
              <w:t> </w:t>
            </w:r>
          </w:p>
        </w:tc>
        <w:tc>
          <w:tcPr>
            <w:tcW w:w="1822" w:type="dxa"/>
            <w:tcBorders/>
            <w:tcMar>
              <w:bottom w:w="0" w:type="dxa"/>
            </w:tcMar>
            <w:vAlign w:val="center"/>
          </w:tcPr>
          <w:p>
            <w:pPr>
              <w:pStyle w:val="TableContents"/>
              <w:bidi w:val="0"/>
              <w:spacing w:before="0" w:after="283"/>
              <w:jc w:val="right"/>
              <w:rPr>
                <w:b/>
              </w:rPr>
            </w:pPr>
            <w:r>
              <w:rPr>
                <w:b/>
              </w:rPr>
              <w:t>(4,068</w:t>
            </w:r>
          </w:p>
        </w:tc>
        <w:tc>
          <w:tcPr>
            <w:tcW w:w="170" w:type="dxa"/>
            <w:tcBorders/>
            <w:tcMar>
              <w:bottom w:w="0" w:type="dxa"/>
            </w:tcMar>
            <w:vAlign w:val="center"/>
          </w:tcPr>
          <w:p>
            <w:pPr>
              <w:pStyle w:val="TableContents"/>
              <w:bidi w:val="0"/>
              <w:spacing w:before="0" w:after="283"/>
              <w:jc w:val="left"/>
              <w:rPr>
                <w:b/>
              </w:rPr>
            </w:pPr>
            <w:r>
              <w:rPr>
                <w:b/>
              </w:rPr>
              <w:t>)</w:t>
            </w:r>
          </w:p>
        </w:tc>
      </w:tr>
      <w:tr>
        <w:trPr/>
        <w:tc>
          <w:tcPr>
            <w:tcW w:w="5690" w:type="dxa"/>
            <w:tcBorders/>
            <w:shd w:fill="CCEEFF" w:val="clear"/>
            <w:tcMar>
              <w:bottom w:w="0" w:type="dxa"/>
            </w:tcMar>
            <w:vAlign w:val="center"/>
          </w:tcPr>
          <w:p>
            <w:pPr>
              <w:pStyle w:val="TableContents"/>
              <w:bidi w:val="0"/>
              <w:spacing w:before="0" w:after="283"/>
              <w:jc w:val="left"/>
              <w:rPr/>
            </w:pPr>
            <w:r>
              <w:rPr/>
              <w:t>Bitmain S21 Hydro Miners received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jc w:val="left"/>
              <w:rPr/>
            </w:pPr>
            <w:r>
              <w:rPr/>
              <w:t> </w:t>
            </w:r>
          </w:p>
        </w:tc>
        <w:tc>
          <w:tcPr>
            <w:tcW w:w="1822" w:type="dxa"/>
            <w:tcBorders/>
            <w:shd w:fill="CCEEFF" w:val="clear"/>
            <w:tcMar>
              <w:bottom w:w="0" w:type="dxa"/>
            </w:tcMar>
            <w:vAlign w:val="center"/>
          </w:tcPr>
          <w:p>
            <w:pPr>
              <w:pStyle w:val="TableContents"/>
              <w:bidi w:val="0"/>
              <w:spacing w:before="0" w:after="283"/>
              <w:jc w:val="right"/>
              <w:rPr>
                <w:b/>
              </w:rPr>
            </w:pPr>
            <w:r>
              <w:rPr>
                <w:b/>
              </w:rPr>
              <w:t>(4,338</w:t>
            </w:r>
          </w:p>
        </w:tc>
        <w:tc>
          <w:tcPr>
            <w:tcW w:w="170" w:type="dxa"/>
            <w:tcBorders/>
            <w:shd w:fill="CCEEFF" w:val="clear"/>
            <w:tcMar>
              <w:bottom w:w="0" w:type="dxa"/>
            </w:tcMar>
            <w:vAlign w:val="center"/>
          </w:tcPr>
          <w:p>
            <w:pPr>
              <w:pStyle w:val="TableContents"/>
              <w:bidi w:val="0"/>
              <w:spacing w:before="0" w:after="283"/>
              <w:jc w:val="left"/>
              <w:rPr>
                <w:b/>
              </w:rPr>
            </w:pPr>
            <w:r>
              <w:rPr>
                <w:b/>
              </w:rPr>
              <w:t>)</w:t>
            </w:r>
          </w:p>
        </w:tc>
      </w:tr>
      <w:tr>
        <w:trPr/>
        <w:tc>
          <w:tcPr>
            <w:tcW w:w="5690" w:type="dxa"/>
            <w:tcBorders>
              <w:bottom w:val="single" w:sz="8" w:space="0" w:color="000000"/>
            </w:tcBorders>
            <w:vAlign w:val="center"/>
          </w:tcPr>
          <w:p>
            <w:pPr>
              <w:pStyle w:val="TableContents"/>
              <w:bidi w:val="0"/>
              <w:spacing w:before="0" w:after="283"/>
              <w:jc w:val="left"/>
              <w:rPr/>
            </w:pPr>
            <w:r>
              <w:rPr/>
              <w:t>Initial fair value of BTC Redemption Option</w:t>
            </w:r>
          </w:p>
        </w:tc>
        <w:tc>
          <w:tcPr>
            <w:tcW w:w="90" w:type="dxa"/>
            <w:tcBorders>
              <w:bottom w:val="single" w:sz="8" w:space="0" w:color="000000"/>
            </w:tcBorders>
            <w:vAlign w:val="center"/>
          </w:tcPr>
          <w:p>
            <w:pPr>
              <w:pStyle w:val="TableContents"/>
              <w:bidi w:val="0"/>
              <w:spacing w:before="0" w:after="283"/>
              <w:jc w:val="left"/>
              <w:rPr/>
            </w:pPr>
            <w:r>
              <w:rPr/>
              <w:t> </w:t>
            </w:r>
          </w:p>
        </w:tc>
        <w:tc>
          <w:tcPr>
            <w:tcW w:w="207" w:type="dxa"/>
            <w:tcBorders>
              <w:bottom w:val="single" w:sz="8" w:space="0" w:color="000000"/>
            </w:tcBorders>
            <w:vAlign w:val="center"/>
          </w:tcPr>
          <w:p>
            <w:pPr>
              <w:pStyle w:val="TableContents"/>
              <w:bidi w:val="0"/>
              <w:spacing w:before="0" w:after="283"/>
              <w:jc w:val="left"/>
              <w:rPr/>
            </w:pPr>
            <w:r>
              <w:rPr/>
              <w:t> </w:t>
            </w:r>
          </w:p>
        </w:tc>
        <w:tc>
          <w:tcPr>
            <w:tcW w:w="1822" w:type="dxa"/>
            <w:tcBorders>
              <w:bottom w:val="single" w:sz="8" w:space="0" w:color="000000"/>
            </w:tcBorders>
            <w:vAlign w:val="center"/>
          </w:tcPr>
          <w:p>
            <w:pPr>
              <w:pStyle w:val="TableContents"/>
              <w:bidi w:val="0"/>
              <w:spacing w:before="0" w:after="283"/>
              <w:jc w:val="right"/>
              <w:rPr>
                <w:b/>
              </w:rPr>
            </w:pPr>
            <w:r>
              <w:rPr>
                <w:b/>
              </w:rPr>
              <w:t>(1,349</w:t>
            </w:r>
          </w:p>
        </w:tc>
        <w:tc>
          <w:tcPr>
            <w:tcW w:w="170" w:type="dxa"/>
            <w:tcBorders>
              <w:bottom w:val="single" w:sz="8" w:space="0" w:color="000000"/>
            </w:tcBorders>
            <w:vAlign w:val="center"/>
          </w:tcPr>
          <w:p>
            <w:pPr>
              <w:pStyle w:val="TableContents"/>
              <w:bidi w:val="0"/>
              <w:spacing w:before="0" w:after="283"/>
              <w:jc w:val="left"/>
              <w:rPr>
                <w:b/>
              </w:rPr>
            </w:pPr>
            <w:r>
              <w:rPr>
                <w:b/>
              </w:rPr>
              <w:t>)</w:t>
            </w:r>
          </w:p>
        </w:tc>
      </w:tr>
      <w:tr>
        <w:trPr/>
        <w:tc>
          <w:tcPr>
            <w:tcW w:w="56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vAlign w:val="center"/>
          </w:tcPr>
          <w:p>
            <w:pPr>
              <w:pStyle w:val="TableContents"/>
              <w:bidi w:val="0"/>
              <w:spacing w:before="0" w:after="283"/>
              <w:jc w:val="left"/>
              <w:rPr/>
            </w:pPr>
            <w:r>
              <w:rPr/>
              <w:t> </w:t>
            </w:r>
          </w:p>
        </w:tc>
        <w:tc>
          <w:tcPr>
            <w:tcW w:w="1822" w:type="dxa"/>
            <w:tcBorders>
              <w:bottom w:val="single" w:sz="12" w:space="0" w:color="000000"/>
            </w:tcBorders>
            <w:shd w:fill="CCEEFF" w:val="clear"/>
            <w:vAlign w:val="center"/>
          </w:tcPr>
          <w:p>
            <w:pPr>
              <w:pStyle w:val="TableContents"/>
              <w:bidi w:val="0"/>
              <w:spacing w:before="0" w:after="283"/>
              <w:jc w:val="right"/>
              <w:rPr>
                <w:b/>
              </w:rPr>
            </w:pPr>
            <w:r>
              <w:rPr>
                <w:b/>
              </w:rPr>
              <w:t>34,791</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49 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108"/>
        <w:gridCol w:w="9029"/>
      </w:tblGrid>
      <w:tr>
        <w:trPr/>
        <w:tc>
          <w:tcPr>
            <w:tcW w:w="6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b/>
              </w:rPr>
            </w:pPr>
            <w:r>
              <w:rPr>
                <w:b/>
              </w:rPr>
              <w:t>NOTE 14:</w:t>
            </w:r>
          </w:p>
        </w:tc>
        <w:tc>
          <w:tcPr>
            <w:tcW w:w="9029" w:type="dxa"/>
            <w:tcBorders/>
            <w:vAlign w:val="center"/>
          </w:tcPr>
          <w:p>
            <w:pPr>
              <w:pStyle w:val="TableContents"/>
              <w:bidi w:val="0"/>
              <w:spacing w:before="0" w:after="283"/>
              <w:jc w:val="both"/>
              <w:rPr/>
            </w:pPr>
            <w:r>
              <w:rPr>
                <w:b/>
              </w:rPr>
              <w:t xml:space="preserve">LONG-TERM DEPOSITS, EQUIPMENT PREPAYMENTS AND OTHER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Equipment and construction prepayments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667"/>
        <w:gridCol w:w="9373"/>
      </w:tblGrid>
      <w:tr>
        <w:trPr/>
        <w:tc>
          <w:tcPr>
            <w:tcW w:w="1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i/>
              </w:rPr>
            </w:pPr>
            <w:r>
              <w:rPr>
                <w:i/>
              </w:rPr>
              <w:t>iv.</w:t>
            </w:r>
          </w:p>
        </w:tc>
        <w:tc>
          <w:tcPr>
            <w:tcW w:w="9373" w:type="dxa"/>
            <w:tcBorders/>
            <w:vAlign w:val="center"/>
          </w:tcPr>
          <w:p>
            <w:pPr>
              <w:pStyle w:val="TableContents"/>
              <w:bidi w:val="0"/>
              <w:spacing w:before="0" w:after="283"/>
              <w:jc w:val="both"/>
              <w:rPr>
                <w:i/>
              </w:rPr>
            </w:pPr>
            <w:r>
              <w:rPr>
                <w:i/>
              </w:rPr>
              <w:t>Other BVVE and electrical components</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deposits for other BVVE and electrical components in the amount of $3,499.</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7"/>
        <w:gridCol w:w="624"/>
        <w:gridCol w:w="9384"/>
      </w:tblGrid>
      <w:tr>
        <w:trPr/>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i/>
              </w:rPr>
            </w:pPr>
            <w:r>
              <w:rPr>
                <w:i/>
              </w:rPr>
              <w:t>v.</w:t>
            </w:r>
          </w:p>
        </w:tc>
        <w:tc>
          <w:tcPr>
            <w:tcW w:w="9384" w:type="dxa"/>
            <w:tcBorders/>
            <w:vAlign w:val="center"/>
          </w:tcPr>
          <w:p>
            <w:pPr>
              <w:pStyle w:val="TableContents"/>
              <w:bidi w:val="0"/>
              <w:spacing w:before="0" w:after="283"/>
              <w:jc w:val="both"/>
              <w:rPr>
                <w:i/>
              </w:rPr>
            </w:pPr>
            <w:r>
              <w:rPr>
                <w:i/>
              </w:rPr>
              <w:t>Construction work and materials</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deposits for construction work and materials in the amount of $13,564, mainly for the Paraguay and United States expansions.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Company’s total remaining payment obligations in connection with the amended Purchase Option and the March 2024 Purchase Order was $33,200. As described in Note 8 and 9, in November 2024, the Company transferred 351 BTC which can be redeemed in four installments. The Company is not obligated to redeem all of the BTC installments. If the Company elects not to redeem one of the BTC Installments, the Company forfeits the right to redeem the remaining BTC Installments. In January 2025, the Company exercised the first BTC Installment. Refer to Note 32 for more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liability</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imported Miners into Washington State, United States,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2023 and the first quarter of 2025, the Company submitted supporting documentation to U.S. Customs and Border Protection in defense of its position that the Miners were manufactured outside China and the associated custom duties in the amount of $9,424 do not apply. While the final outcome of this matter is uncertain at this time, Management has determined it is not probable that it will result in a future cash outflow for the Company and, as such, no provision was recorded as of December 31, 2024.</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50 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51" w:name="a_023"/>
      <w:bookmarkStart w:id="52" w:name="a_023"/>
      <w:bookmarkEnd w:id="52"/>
    </w:p>
    <w:tbl>
      <w:tblPr>
        <w:tblW w:w="4248" w:type="dxa"/>
        <w:jc w:val="left"/>
        <w:tblInd w:w="0" w:type="dxa"/>
        <w:tblLayout w:type="fixed"/>
        <w:tblCellMar>
          <w:top w:w="0" w:type="dxa"/>
          <w:left w:w="0" w:type="dxa"/>
          <w:bottom w:w="0" w:type="dxa"/>
          <w:right w:w="0" w:type="dxa"/>
        </w:tblCellMar>
      </w:tblPr>
      <w:tblGrid>
        <w:gridCol w:w="68"/>
        <w:gridCol w:w="1115"/>
        <w:gridCol w:w="306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15:</w:t>
            </w:r>
          </w:p>
        </w:tc>
        <w:tc>
          <w:tcPr>
            <w:tcW w:w="3065" w:type="dxa"/>
            <w:tcBorders/>
            <w:vAlign w:val="center"/>
          </w:tcPr>
          <w:p>
            <w:pPr>
              <w:pStyle w:val="TableContents"/>
              <w:bidi w:val="0"/>
              <w:spacing w:before="0" w:after="283"/>
              <w:jc w:val="both"/>
              <w:rPr>
                <w:b/>
              </w:rPr>
            </w:pPr>
            <w:r>
              <w:rPr>
                <w:b/>
              </w:rPr>
              <w:t>REFUNDABLE DEPOSITS</w:t>
            </w:r>
          </w:p>
        </w:tc>
      </w:tr>
    </w:tbl>
    <w:p>
      <w:pPr>
        <w:pStyle w:val="TextBody"/>
        <w:bidi w:val="0"/>
        <w:spacing w:before="0" w:after="0"/>
        <w:jc w:val="both"/>
        <w:rPr>
          <w:caps w:val="false"/>
          <w:smallCaps w:val="false"/>
        </w:rPr>
      </w:pPr>
      <w:r>
        <w:rPr>
          <w:caps w:val="false"/>
          <w:smallCaps w:val="false"/>
        </w:rPr>
        <w:t> </w:t>
      </w:r>
    </w:p>
    <w:tbl>
      <w:tblPr>
        <w:tblW w:w="7258" w:type="dxa"/>
        <w:jc w:val="left"/>
        <w:tblInd w:w="0" w:type="dxa"/>
        <w:tblLayout w:type="fixed"/>
        <w:tblCellMar>
          <w:top w:w="0" w:type="dxa"/>
          <w:left w:w="0" w:type="dxa"/>
          <w:bottom w:w="28" w:type="dxa"/>
          <w:right w:w="0" w:type="dxa"/>
        </w:tblCellMar>
      </w:tblPr>
      <w:tblGrid>
        <w:gridCol w:w="2855"/>
        <w:gridCol w:w="90"/>
        <w:gridCol w:w="228"/>
        <w:gridCol w:w="1801"/>
        <w:gridCol w:w="90"/>
        <w:gridCol w:w="90"/>
        <w:gridCol w:w="353"/>
        <w:gridCol w:w="1616"/>
        <w:gridCol w:w="135"/>
      </w:tblGrid>
      <w:tr>
        <w:trPr/>
        <w:tc>
          <w:tcPr>
            <w:tcW w:w="285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As of December 31,</w:t>
            </w:r>
          </w:p>
        </w:tc>
        <w:tc>
          <w:tcPr>
            <w:tcW w:w="135" w:type="dxa"/>
            <w:tcBorders>
              <w:bottom w:val="single" w:sz="8" w:space="0" w:color="000000"/>
            </w:tcBorders>
            <w:vAlign w:val="center"/>
          </w:tcPr>
          <w:p>
            <w:pPr>
              <w:pStyle w:val="TableContents"/>
              <w:bidi w:val="0"/>
              <w:spacing w:before="0" w:after="283"/>
              <w:jc w:val="right"/>
              <w:rPr/>
            </w:pPr>
            <w:r>
              <w:rPr/>
              <w:t> </w:t>
            </w:r>
          </w:p>
        </w:tc>
      </w:tr>
      <w:tr>
        <w:trPr/>
        <w:tc>
          <w:tcPr>
            <w:tcW w:w="285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vAlign w:val="center"/>
          </w:tcPr>
          <w:p>
            <w:pPr>
              <w:pStyle w:val="TableContents"/>
              <w:bidi w:val="0"/>
              <w:spacing w:before="0" w:after="283"/>
              <w:jc w:val="right"/>
              <w:rPr/>
            </w:pPr>
            <w:r>
              <w:rPr/>
              <w:t> </w:t>
            </w:r>
          </w:p>
        </w:tc>
      </w:tr>
      <w:tr>
        <w:trPr/>
        <w:tc>
          <w:tcPr>
            <w:tcW w:w="2855" w:type="dxa"/>
            <w:tcBorders/>
            <w:shd w:fill="CCEEFF" w:val="clear"/>
            <w:tcMar>
              <w:bottom w:w="0" w:type="dxa"/>
            </w:tcMar>
            <w:vAlign w:val="center"/>
          </w:tcPr>
          <w:p>
            <w:pPr>
              <w:pStyle w:val="TableContents"/>
              <w:bidi w:val="0"/>
              <w:spacing w:before="0" w:after="283"/>
              <w:jc w:val="left"/>
              <w:rPr/>
            </w:pPr>
            <w:r>
              <w:rPr/>
              <w:t>Security deposits for energy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801" w:type="dxa"/>
            <w:tcBorders/>
            <w:shd w:fill="CCEEFF" w:val="clear"/>
            <w:tcMar>
              <w:bottom w:w="0" w:type="dxa"/>
            </w:tcMar>
            <w:vAlign w:val="center"/>
          </w:tcPr>
          <w:p>
            <w:pPr>
              <w:pStyle w:val="TableContents"/>
              <w:bidi w:val="0"/>
              <w:spacing w:before="0" w:after="283"/>
              <w:jc w:val="right"/>
              <w:rPr>
                <w:b/>
              </w:rPr>
            </w:pPr>
            <w:r>
              <w:rPr>
                <w:b/>
              </w:rPr>
              <w:t>7,740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right"/>
              <w:rPr/>
            </w:pPr>
            <w:r>
              <w:rPr/>
              <w:t>277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bottom w:val="single" w:sz="8" w:space="0" w:color="000000"/>
            </w:tcBorders>
            <w:vAlign w:val="center"/>
          </w:tcPr>
          <w:p>
            <w:pPr>
              <w:pStyle w:val="TableContents"/>
              <w:bidi w:val="0"/>
              <w:spacing w:before="0" w:after="283"/>
              <w:jc w:val="left"/>
              <w:rPr/>
            </w:pPr>
            <w:r>
              <w:rPr/>
              <w:t>Refundable Hosting Deposits</w:t>
            </w:r>
          </w:p>
        </w:tc>
        <w:tc>
          <w:tcPr>
            <w:tcW w:w="90" w:type="dxa"/>
            <w:tcBorders>
              <w:bottom w:val="single" w:sz="8" w:space="0" w:color="000000"/>
            </w:tcBorders>
            <w:vAlign w:val="center"/>
          </w:tcPr>
          <w:p>
            <w:pPr>
              <w:pStyle w:val="TableContents"/>
              <w:bidi w:val="0"/>
              <w:spacing w:before="0" w:after="283"/>
              <w:jc w:val="left"/>
              <w:rPr/>
            </w:pPr>
            <w:r>
              <w:rPr/>
              <w:t> </w:t>
            </w:r>
          </w:p>
        </w:tc>
        <w:tc>
          <w:tcPr>
            <w:tcW w:w="228" w:type="dxa"/>
            <w:tcBorders>
              <w:bottom w:val="single" w:sz="8" w:space="0" w:color="000000"/>
            </w:tcBorders>
            <w:vAlign w:val="center"/>
          </w:tcPr>
          <w:p>
            <w:pPr>
              <w:pStyle w:val="TableContents"/>
              <w:bidi w:val="0"/>
              <w:spacing w:before="0" w:after="283"/>
              <w:jc w:val="left"/>
              <w:rPr/>
            </w:pPr>
            <w:r>
              <w:rPr/>
              <w:t> </w:t>
            </w:r>
          </w:p>
        </w:tc>
        <w:tc>
          <w:tcPr>
            <w:tcW w:w="1801" w:type="dxa"/>
            <w:tcBorders>
              <w:bottom w:val="single" w:sz="8" w:space="0" w:color="000000"/>
            </w:tcBorders>
            <w:vAlign w:val="center"/>
          </w:tcPr>
          <w:p>
            <w:pPr>
              <w:pStyle w:val="TableContents"/>
              <w:bidi w:val="0"/>
              <w:spacing w:before="0" w:after="283"/>
              <w:jc w:val="right"/>
              <w:rPr>
                <w:b/>
              </w:rPr>
            </w:pPr>
            <w:r>
              <w:rPr>
                <w:b/>
              </w:rPr>
              <w:t>14,216</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53" w:type="dxa"/>
            <w:tcBorders>
              <w:bottom w:val="single" w:sz="8" w:space="0" w:color="000000"/>
            </w:tcBorders>
            <w:vAlign w:val="center"/>
          </w:tcPr>
          <w:p>
            <w:pPr>
              <w:pStyle w:val="TableContents"/>
              <w:bidi w:val="0"/>
              <w:spacing w:before="0" w:after="283"/>
              <w:jc w:val="left"/>
              <w:rPr/>
            </w:pPr>
            <w:r>
              <w:rPr/>
              <w:t> </w:t>
            </w:r>
          </w:p>
        </w:tc>
        <w:tc>
          <w:tcPr>
            <w:tcW w:w="1616" w:type="dxa"/>
            <w:tcBorders>
              <w:bottom w:val="single" w:sz="8" w:space="0" w:color="000000"/>
            </w:tcBorders>
            <w:vAlign w:val="center"/>
          </w:tcPr>
          <w:p>
            <w:pPr>
              <w:pStyle w:val="TableContents"/>
              <w:bidi w:val="0"/>
              <w:spacing w:before="0" w:after="0"/>
              <w:jc w:val="right"/>
              <w:rPr/>
            </w:pPr>
            <w:r>
              <w:rPr/>
              <w:t>—</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285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vAlign w:val="center"/>
          </w:tcPr>
          <w:p>
            <w:pPr>
              <w:pStyle w:val="TableContents"/>
              <w:bidi w:val="0"/>
              <w:spacing w:before="0" w:after="283"/>
              <w:jc w:val="left"/>
              <w:rPr/>
            </w:pPr>
            <w:r>
              <w:rPr/>
              <w:t> </w:t>
            </w:r>
          </w:p>
        </w:tc>
        <w:tc>
          <w:tcPr>
            <w:tcW w:w="1801" w:type="dxa"/>
            <w:tcBorders>
              <w:bottom w:val="single" w:sz="12" w:space="0" w:color="000000"/>
            </w:tcBorders>
            <w:shd w:fill="CCEEFF" w:val="clear"/>
            <w:vAlign w:val="center"/>
          </w:tcPr>
          <w:p>
            <w:pPr>
              <w:pStyle w:val="TableContents"/>
              <w:bidi w:val="0"/>
              <w:spacing w:before="0" w:after="283"/>
              <w:jc w:val="right"/>
              <w:rPr>
                <w:b/>
              </w:rPr>
            </w:pPr>
            <w:r>
              <w:rPr>
                <w:b/>
              </w:rPr>
              <w:t>21,956</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353" w:type="dxa"/>
            <w:tcBorders>
              <w:bottom w:val="single" w:sz="12" w:space="0" w:color="000000"/>
            </w:tcBorders>
            <w:shd w:fill="CCEEFF" w:val="clear"/>
            <w:vAlign w:val="center"/>
          </w:tcPr>
          <w:p>
            <w:pPr>
              <w:pStyle w:val="TableContents"/>
              <w:bidi w:val="0"/>
              <w:spacing w:before="0" w:after="283"/>
              <w:jc w:val="left"/>
              <w:rPr/>
            </w:pPr>
            <w:r>
              <w:rPr/>
              <w:t> </w:t>
            </w:r>
          </w:p>
        </w:tc>
        <w:tc>
          <w:tcPr>
            <w:tcW w:w="1616" w:type="dxa"/>
            <w:tcBorders>
              <w:bottom w:val="single" w:sz="12" w:space="0" w:color="000000"/>
            </w:tcBorders>
            <w:shd w:fill="CCEEFF" w:val="clear"/>
            <w:vAlign w:val="center"/>
          </w:tcPr>
          <w:p>
            <w:pPr>
              <w:pStyle w:val="TableContents"/>
              <w:bidi w:val="0"/>
              <w:spacing w:before="0" w:after="283"/>
              <w:jc w:val="right"/>
              <w:rPr/>
            </w:pPr>
            <w:r>
              <w:rPr/>
              <w:t>277</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deposits for energy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security deposits for energy consumption at its operational Paso Pe data center and at its future Yguazu data center in Paraguay totaled $5,931 and $3,379, respectively. On May 13, 2024, the Company amended its power purchase agreement (“PPA”) for its Yguazu data center to increase the contracted power from 100 MW to 200 MW beginning on January 1, 2025. The Company is required to pay security deposits totaling $16,245 between June 2024 and April 2025 for future electricity consumption. The security deposits paid to the energy supplier are refundable at the end of the contract term in December 2027 assuming the Company draws power based on the agreed upon schedule and is not in breach of other clauses in the PPA.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Refundable Hosting Deposits</w:t>
      </w:r>
    </w:p>
    <w:tbl>
      <w:tblPr>
        <w:tblW w:w="5000" w:type="pct"/>
        <w:jc w:val="left"/>
        <w:tblInd w:w="0" w:type="dxa"/>
        <w:tblLayout w:type="fixed"/>
        <w:tblCellMar>
          <w:top w:w="0" w:type="dxa"/>
          <w:left w:w="0" w:type="dxa"/>
          <w:bottom w:w="0" w:type="dxa"/>
          <w:right w:w="0" w:type="dxa"/>
        </w:tblCellMar>
      </w:tblPr>
      <w:tblGrid>
        <w:gridCol w:w="187"/>
        <w:gridCol w:w="470"/>
        <w:gridCol w:w="9548"/>
      </w:tblGrid>
      <w:tr>
        <w:trPr/>
        <w:tc>
          <w:tcPr>
            <w:tcW w:w="18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i/>
              </w:rPr>
            </w:pPr>
            <w:r>
              <w:rPr>
                <w:i/>
              </w:rPr>
              <w:t>i.</w:t>
            </w:r>
          </w:p>
        </w:tc>
        <w:tc>
          <w:tcPr>
            <w:tcW w:w="9548" w:type="dxa"/>
            <w:tcBorders/>
            <w:vAlign w:val="center"/>
          </w:tcPr>
          <w:p>
            <w:pPr>
              <w:pStyle w:val="TableContents"/>
              <w:bidi w:val="0"/>
              <w:spacing w:before="0" w:after="283"/>
              <w:jc w:val="both"/>
              <w:rPr>
                <w:i/>
              </w:rPr>
            </w:pPr>
            <w:r>
              <w:rPr>
                <w:i/>
              </w:rPr>
              <w:t xml:space="preserve">Panther Creek Hosting Agreement </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entered into a Miner hosting agreement (“Panther Creek Hosting Agreement”) with Stronghold Digital Mining Hosting, LLC, a subsidiary of Stronghold Digital Mining, Inc. (together referred to as “Stronghold”), which commenced on October 1, 2024. In connection with the execution of the Hosting Agreement, the Company deposited $7,800 with Stronghold (“Panther Creek Refundable Deposit”).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698"/>
        <w:gridCol w:w="9301"/>
      </w:tblGrid>
      <w:tr>
        <w:trPr/>
        <w:tc>
          <w:tcPr>
            <w:tcW w:w="2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i/>
              </w:rPr>
            </w:pPr>
            <w:r>
              <w:rPr>
                <w:i/>
              </w:rPr>
              <w:t>ii.</w:t>
            </w:r>
          </w:p>
        </w:tc>
        <w:tc>
          <w:tcPr>
            <w:tcW w:w="9301" w:type="dxa"/>
            <w:tcBorders/>
            <w:vAlign w:val="center"/>
          </w:tcPr>
          <w:p>
            <w:pPr>
              <w:pStyle w:val="TableContents"/>
              <w:bidi w:val="0"/>
              <w:spacing w:before="0" w:after="283"/>
              <w:jc w:val="both"/>
              <w:rPr>
                <w:i/>
              </w:rPr>
            </w:pPr>
            <w:r>
              <w:rPr>
                <w:i/>
              </w:rPr>
              <w:t>Scrubgrass Hosting Agreement</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Company entered into a second Miner hosting agreement (“Scrubgrass Hosting Agreement”) with Stronghold, which commenced on November 1, 2024. In connection with the execution of the Scrubgrass Hosting Agreement, Bitfarms deposited $7,800 with Stronghold (“Scrubgrass Refundable Deposit”).</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0"/>
        <w:gridCol w:w="9848"/>
      </w:tblGrid>
      <w:tr>
        <w:trPr/>
        <w:tc>
          <w:tcPr>
            <w:tcW w:w="6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iii.</w:t>
            </w:r>
          </w:p>
        </w:tc>
        <w:tc>
          <w:tcPr>
            <w:tcW w:w="9848" w:type="dxa"/>
            <w:tcBorders/>
            <w:vAlign w:val="center"/>
          </w:tcPr>
          <w:p>
            <w:pPr>
              <w:pStyle w:val="TableContents"/>
              <w:bidi w:val="0"/>
              <w:spacing w:before="0" w:after="283"/>
              <w:jc w:val="both"/>
              <w:rPr>
                <w:i/>
              </w:rPr>
            </w:pPr>
            <w:r>
              <w:rPr>
                <w:i/>
              </w:rPr>
              <w:t>Terms of the Panther Creek Refundable Deposit and the Scrubgrass Refundable Deposit (collectively, the “Refundable Hosting Deposits”)</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Refundable Hosting Deposits are equal to the approximate estimated cost of power for three months of operations of the Company’s Miners, which will be repaid in full to the Company within one business day from the end of the initial term expiring on December 31, 2025. The Refundable Hosting Deposits bear an annual interest rate at Secured Overnight Financing Rate (“SOFR”) + 1% (the “Annual Interest Rate”).</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Refundable Hosting Deposits are accounted for as financial assets and recorded at fair value on initial recognition based on the contractual right to receive only each refundable hosting deposit plus interest at the end of the term.</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Interest Rate is lower than the rate used in determining the fair value, resulting in the Panther Creek Refundable Deposit and the Scrubgrass Refundable Deposit being recorded at a fair value of $7,125 and $7,542, respectively, upon initial recognition. Subsequently, the Refundable Deposits are recorded at amortized cost. Refer to Note 23 for more details.</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51 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3" w:name="a_024"/>
      <w:bookmarkStart w:id="54" w:name="a_024"/>
      <w:bookmarkEnd w:id="54"/>
    </w:p>
    <w:tbl>
      <w:tblPr>
        <w:tblW w:w="6993" w:type="dxa"/>
        <w:jc w:val="left"/>
        <w:tblInd w:w="0" w:type="dxa"/>
        <w:tblLayout w:type="fixed"/>
        <w:tblCellMar>
          <w:top w:w="0" w:type="dxa"/>
          <w:left w:w="0" w:type="dxa"/>
          <w:bottom w:w="0" w:type="dxa"/>
          <w:right w:w="0" w:type="dxa"/>
        </w:tblCellMar>
      </w:tblPr>
      <w:tblGrid>
        <w:gridCol w:w="68"/>
        <w:gridCol w:w="1115"/>
        <w:gridCol w:w="581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16:</w:t>
            </w:r>
          </w:p>
        </w:tc>
        <w:tc>
          <w:tcPr>
            <w:tcW w:w="5810" w:type="dxa"/>
            <w:tcBorders/>
            <w:vAlign w:val="center"/>
          </w:tcPr>
          <w:p>
            <w:pPr>
              <w:pStyle w:val="TableContents"/>
              <w:bidi w:val="0"/>
              <w:spacing w:before="0" w:after="283"/>
              <w:jc w:val="both"/>
              <w:rPr>
                <w:b/>
              </w:rPr>
            </w:pPr>
            <w:r>
              <w:rPr>
                <w:b/>
              </w:rPr>
              <w:t>TRADE PAYABLES AND ACCRUED LIABILITIES</w:t>
            </w:r>
          </w:p>
        </w:tc>
      </w:tr>
    </w:tbl>
    <w:p>
      <w:pPr>
        <w:pStyle w:val="TextBody"/>
        <w:bidi w:val="0"/>
        <w:spacing w:before="0" w:after="0"/>
        <w:jc w:val="both"/>
        <w:rPr>
          <w:caps w:val="false"/>
          <w:smallCaps w:val="false"/>
        </w:rPr>
      </w:pPr>
      <w:r>
        <w:rPr>
          <w:caps w:val="false"/>
          <w:smallCaps w:val="false"/>
        </w:rPr>
        <w:t> </w:t>
      </w:r>
    </w:p>
    <w:tbl>
      <w:tblPr>
        <w:tblW w:w="8803" w:type="dxa"/>
        <w:jc w:val="left"/>
        <w:tblInd w:w="0" w:type="dxa"/>
        <w:tblLayout w:type="fixed"/>
        <w:tblCellMar>
          <w:top w:w="0" w:type="dxa"/>
          <w:left w:w="0" w:type="dxa"/>
          <w:bottom w:w="28" w:type="dxa"/>
          <w:right w:w="0" w:type="dxa"/>
        </w:tblCellMar>
      </w:tblPr>
      <w:tblGrid>
        <w:gridCol w:w="4400"/>
        <w:gridCol w:w="90"/>
        <w:gridCol w:w="228"/>
        <w:gridCol w:w="1801"/>
        <w:gridCol w:w="90"/>
        <w:gridCol w:w="90"/>
        <w:gridCol w:w="221"/>
        <w:gridCol w:w="1748"/>
        <w:gridCol w:w="135"/>
      </w:tblGrid>
      <w:tr>
        <w:trPr/>
        <w:tc>
          <w:tcPr>
            <w:tcW w:w="440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As of December 31,</w:t>
            </w:r>
          </w:p>
        </w:tc>
        <w:tc>
          <w:tcPr>
            <w:tcW w:w="135" w:type="dxa"/>
            <w:tcBorders>
              <w:bottom w:val="single" w:sz="8" w:space="0" w:color="000000"/>
            </w:tcBorders>
            <w:vAlign w:val="center"/>
          </w:tcPr>
          <w:p>
            <w:pPr>
              <w:pStyle w:val="TableContents"/>
              <w:bidi w:val="0"/>
              <w:spacing w:before="0" w:after="283"/>
              <w:jc w:val="right"/>
              <w:rPr/>
            </w:pPr>
            <w:r>
              <w:rPr/>
              <w:t> </w:t>
            </w:r>
          </w:p>
        </w:tc>
      </w:tr>
      <w:tr>
        <w:trPr/>
        <w:tc>
          <w:tcPr>
            <w:tcW w:w="440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vAlign w:val="center"/>
          </w:tcPr>
          <w:p>
            <w:pPr>
              <w:pStyle w:val="TableContents"/>
              <w:bidi w:val="0"/>
              <w:spacing w:before="0" w:after="283"/>
              <w:jc w:val="right"/>
              <w:rPr/>
            </w:pPr>
            <w:r>
              <w:rPr/>
              <w:t> </w:t>
            </w:r>
          </w:p>
        </w:tc>
      </w:tr>
      <w:tr>
        <w:trPr/>
        <w:tc>
          <w:tcPr>
            <w:tcW w:w="4400" w:type="dxa"/>
            <w:tcBorders/>
            <w:shd w:fill="CCEEFF" w:val="clear"/>
            <w:tcMar>
              <w:bottom w:w="0" w:type="dxa"/>
            </w:tcMar>
            <w:vAlign w:val="center"/>
          </w:tcPr>
          <w:p>
            <w:pPr>
              <w:pStyle w:val="TableContents"/>
              <w:bidi w:val="0"/>
              <w:spacing w:before="0" w:after="283"/>
              <w:jc w:val="left"/>
              <w:rPr/>
            </w:pPr>
            <w:r>
              <w:rPr/>
              <w:t>Trade accounts payable and accrued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801" w:type="dxa"/>
            <w:tcBorders/>
            <w:shd w:fill="CCEEFF" w:val="clear"/>
            <w:tcMar>
              <w:bottom w:w="0" w:type="dxa"/>
            </w:tcMar>
            <w:vAlign w:val="center"/>
          </w:tcPr>
          <w:p>
            <w:pPr>
              <w:pStyle w:val="TableContents"/>
              <w:bidi w:val="0"/>
              <w:spacing w:before="0" w:after="283"/>
              <w:jc w:val="right"/>
              <w:rPr>
                <w:b/>
              </w:rPr>
            </w:pPr>
            <w:r>
              <w:rPr>
                <w:b/>
              </w:rPr>
              <w:t>21,915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right"/>
              <w:rPr/>
            </w:pPr>
            <w:r>
              <w:rPr/>
              <w:t>9,077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tcMar>
              <w:bottom w:w="0" w:type="dxa"/>
            </w:tcMar>
            <w:vAlign w:val="center"/>
          </w:tcPr>
          <w:p>
            <w:pPr>
              <w:pStyle w:val="TableContents"/>
              <w:bidi w:val="0"/>
              <w:spacing w:before="0" w:after="283"/>
              <w:jc w:val="left"/>
              <w:rPr/>
            </w:pPr>
            <w:r>
              <w:rPr/>
              <w:t>BTC option contracts payable</w:t>
            </w:r>
          </w:p>
        </w:tc>
        <w:tc>
          <w:tcPr>
            <w:tcW w:w="90" w:type="dxa"/>
            <w:tcBorders/>
            <w:tcMar>
              <w:bottom w:w="0" w:type="dxa"/>
            </w:tcMar>
            <w:vAlign w:val="center"/>
          </w:tcPr>
          <w:p>
            <w:pPr>
              <w:pStyle w:val="TableContents"/>
              <w:bidi w:val="0"/>
              <w:spacing w:before="0" w:after="283"/>
              <w:jc w:val="left"/>
              <w:rPr/>
            </w:pPr>
            <w:r>
              <w:rPr/>
              <w:t> </w:t>
            </w:r>
          </w:p>
        </w:tc>
        <w:tc>
          <w:tcPr>
            <w:tcW w:w="228" w:type="dxa"/>
            <w:tcBorders/>
            <w:tcMar>
              <w:bottom w:w="0" w:type="dxa"/>
            </w:tcMar>
            <w:vAlign w:val="center"/>
          </w:tcPr>
          <w:p>
            <w:pPr>
              <w:pStyle w:val="TableContents"/>
              <w:bidi w:val="0"/>
              <w:spacing w:before="0" w:after="283"/>
              <w:jc w:val="left"/>
              <w:rPr/>
            </w:pPr>
            <w:r>
              <w:rPr/>
              <w:t> </w:t>
            </w:r>
          </w:p>
        </w:tc>
        <w:tc>
          <w:tcPr>
            <w:tcW w:w="1801" w:type="dxa"/>
            <w:tcBorders/>
            <w:tcMar>
              <w:bottom w:w="0" w:type="dxa"/>
            </w:tcMar>
            <w:vAlign w:val="center"/>
          </w:tcPr>
          <w:p>
            <w:pPr>
              <w:pStyle w:val="TableContents"/>
              <w:bidi w:val="0"/>
              <w:spacing w:before="0" w:after="283"/>
              <w:jc w:val="right"/>
              <w:rPr>
                <w:b/>
              </w:rPr>
            </w:pPr>
            <w:r>
              <w:rPr>
                <w:b/>
              </w:rPr>
              <w:t>243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748" w:type="dxa"/>
            <w:tcBorders/>
            <w:tcMar>
              <w:bottom w:w="0" w:type="dxa"/>
            </w:tcMar>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4400" w:type="dxa"/>
            <w:tcBorders>
              <w:bottom w:val="single" w:sz="8" w:space="0" w:color="000000"/>
            </w:tcBorders>
            <w:shd w:fill="CCEEFF" w:val="clear"/>
            <w:vAlign w:val="center"/>
          </w:tcPr>
          <w:p>
            <w:pPr>
              <w:pStyle w:val="TableContents"/>
              <w:bidi w:val="0"/>
              <w:spacing w:before="0" w:after="283"/>
              <w:jc w:val="left"/>
              <w:rPr/>
            </w:pPr>
            <w:r>
              <w:rPr/>
              <w:t>Government remittances*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vAlign w:val="center"/>
          </w:tcPr>
          <w:p>
            <w:pPr>
              <w:pStyle w:val="TableContents"/>
              <w:bidi w:val="0"/>
              <w:spacing w:before="0" w:after="283"/>
              <w:jc w:val="left"/>
              <w:rPr/>
            </w:pPr>
            <w:r>
              <w:rPr/>
              <w:t> </w:t>
            </w:r>
          </w:p>
        </w:tc>
        <w:tc>
          <w:tcPr>
            <w:tcW w:w="1801" w:type="dxa"/>
            <w:tcBorders>
              <w:bottom w:val="single" w:sz="8" w:space="0" w:color="000000"/>
            </w:tcBorders>
            <w:shd w:fill="CCEEFF" w:val="clear"/>
            <w:vAlign w:val="center"/>
          </w:tcPr>
          <w:p>
            <w:pPr>
              <w:pStyle w:val="TableContents"/>
              <w:bidi w:val="0"/>
              <w:spacing w:before="0" w:after="283"/>
              <w:jc w:val="right"/>
              <w:rPr>
                <w:b/>
              </w:rPr>
            </w:pPr>
            <w:r>
              <w:rPr>
                <w:b/>
              </w:rPr>
              <w:t>3,736</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vAlign w:val="center"/>
          </w:tcPr>
          <w:p>
            <w:pPr>
              <w:pStyle w:val="TableContents"/>
              <w:bidi w:val="0"/>
              <w:spacing w:before="0" w:after="283"/>
              <w:jc w:val="left"/>
              <w:rPr/>
            </w:pPr>
            <w:r>
              <w:rPr/>
              <w:t> </w:t>
            </w:r>
          </w:p>
        </w:tc>
        <w:tc>
          <w:tcPr>
            <w:tcW w:w="1748" w:type="dxa"/>
            <w:tcBorders>
              <w:bottom w:val="single" w:sz="8" w:space="0" w:color="000000"/>
            </w:tcBorders>
            <w:shd w:fill="CCEEFF" w:val="clear"/>
            <w:vAlign w:val="center"/>
          </w:tcPr>
          <w:p>
            <w:pPr>
              <w:pStyle w:val="TableContents"/>
              <w:bidi w:val="0"/>
              <w:spacing w:before="0" w:after="283"/>
              <w:jc w:val="right"/>
              <w:rPr/>
            </w:pPr>
            <w:r>
              <w:rPr/>
              <w:t>11,662</w:t>
            </w:r>
          </w:p>
        </w:tc>
        <w:tc>
          <w:tcPr>
            <w:tcW w:w="13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440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8" w:type="dxa"/>
            <w:tcBorders>
              <w:bottom w:val="single" w:sz="12" w:space="0" w:color="000000"/>
            </w:tcBorders>
            <w:vAlign w:val="center"/>
          </w:tcPr>
          <w:p>
            <w:pPr>
              <w:pStyle w:val="TableContents"/>
              <w:bidi w:val="0"/>
              <w:spacing w:before="0" w:after="283"/>
              <w:jc w:val="left"/>
              <w:rPr/>
            </w:pPr>
            <w:r>
              <w:rPr/>
              <w:t> </w:t>
            </w:r>
          </w:p>
        </w:tc>
        <w:tc>
          <w:tcPr>
            <w:tcW w:w="1801" w:type="dxa"/>
            <w:tcBorders>
              <w:bottom w:val="single" w:sz="12" w:space="0" w:color="000000"/>
            </w:tcBorders>
            <w:vAlign w:val="center"/>
          </w:tcPr>
          <w:p>
            <w:pPr>
              <w:pStyle w:val="TableContents"/>
              <w:bidi w:val="0"/>
              <w:spacing w:before="0" w:after="283"/>
              <w:jc w:val="right"/>
              <w:rPr>
                <w:b/>
              </w:rPr>
            </w:pPr>
            <w:r>
              <w:rPr>
                <w:b/>
              </w:rPr>
              <w:t>25,894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21" w:type="dxa"/>
            <w:tcBorders>
              <w:bottom w:val="single" w:sz="12" w:space="0" w:color="000000"/>
            </w:tcBorders>
            <w:vAlign w:val="center"/>
          </w:tcPr>
          <w:p>
            <w:pPr>
              <w:pStyle w:val="TableContents"/>
              <w:bidi w:val="0"/>
              <w:spacing w:before="0" w:after="283"/>
              <w:jc w:val="left"/>
              <w:rPr/>
            </w:pPr>
            <w:r>
              <w:rPr/>
              <w:t> </w:t>
            </w:r>
          </w:p>
        </w:tc>
        <w:tc>
          <w:tcPr>
            <w:tcW w:w="1748" w:type="dxa"/>
            <w:tcBorders>
              <w:bottom w:val="single" w:sz="12" w:space="0" w:color="000000"/>
            </w:tcBorders>
            <w:vAlign w:val="center"/>
          </w:tcPr>
          <w:p>
            <w:pPr>
              <w:pStyle w:val="TableContents"/>
              <w:bidi w:val="0"/>
              <w:spacing w:before="0" w:after="283"/>
              <w:jc w:val="right"/>
              <w:rPr/>
            </w:pPr>
            <w:r>
              <w:rPr/>
              <w:t>20,739</w:t>
            </w:r>
          </w:p>
        </w:tc>
        <w:tc>
          <w:tcPr>
            <w:tcW w:w="135"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68"/>
        <w:gridCol w:w="170"/>
        <w:gridCol w:w="944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pPr>
            <w:r>
              <w:rPr/>
              <w:t>Refer to Note 29b for more details about the reversal of Canadian government remittances payable.</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 w:name="a_025"/>
      <w:bookmarkStart w:id="56" w:name="a_025"/>
      <w:bookmarkEnd w:id="56"/>
    </w:p>
    <w:tbl>
      <w:tblPr>
        <w:tblW w:w="4143" w:type="dxa"/>
        <w:jc w:val="left"/>
        <w:tblInd w:w="0" w:type="dxa"/>
        <w:tblLayout w:type="fixed"/>
        <w:tblCellMar>
          <w:top w:w="0" w:type="dxa"/>
          <w:left w:w="0" w:type="dxa"/>
          <w:bottom w:w="0" w:type="dxa"/>
          <w:right w:w="0" w:type="dxa"/>
        </w:tblCellMar>
      </w:tblPr>
      <w:tblGrid>
        <w:gridCol w:w="68"/>
        <w:gridCol w:w="1115"/>
        <w:gridCol w:w="296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17:</w:t>
            </w:r>
          </w:p>
        </w:tc>
        <w:tc>
          <w:tcPr>
            <w:tcW w:w="2960" w:type="dxa"/>
            <w:tcBorders/>
            <w:vAlign w:val="center"/>
          </w:tcPr>
          <w:p>
            <w:pPr>
              <w:pStyle w:val="TableContents"/>
              <w:bidi w:val="0"/>
              <w:spacing w:before="0" w:after="283"/>
              <w:jc w:val="both"/>
              <w:rPr>
                <w:b/>
              </w:rPr>
            </w:pPr>
            <w:r>
              <w:rPr>
                <w:b/>
              </w:rPr>
              <w:t>WARRANT LIABILITIES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warrant liabilities is as follows:</w:t>
      </w:r>
    </w:p>
    <w:p>
      <w:pPr>
        <w:pStyle w:val="TextBody"/>
        <w:bidi w:val="0"/>
        <w:spacing w:before="0" w:after="0"/>
        <w:jc w:val="both"/>
        <w:rPr>
          <w:caps w:val="false"/>
          <w:smallCaps w:val="false"/>
        </w:rPr>
      </w:pPr>
      <w:r>
        <w:rPr>
          <w:caps w:val="false"/>
          <w:smallCaps w:val="false"/>
        </w:rPr>
        <w:t> </w:t>
      </w:r>
    </w:p>
    <w:tbl>
      <w:tblPr>
        <w:tblW w:w="6763" w:type="dxa"/>
        <w:jc w:val="left"/>
        <w:tblInd w:w="0" w:type="dxa"/>
        <w:tblLayout w:type="fixed"/>
        <w:tblCellMar>
          <w:top w:w="0" w:type="dxa"/>
          <w:left w:w="0" w:type="dxa"/>
          <w:bottom w:w="28" w:type="dxa"/>
          <w:right w:w="0" w:type="dxa"/>
        </w:tblCellMar>
      </w:tblPr>
      <w:tblGrid>
        <w:gridCol w:w="2360"/>
        <w:gridCol w:w="90"/>
        <w:gridCol w:w="267"/>
        <w:gridCol w:w="1762"/>
        <w:gridCol w:w="90"/>
        <w:gridCol w:w="90"/>
        <w:gridCol w:w="221"/>
        <w:gridCol w:w="1748"/>
        <w:gridCol w:w="135"/>
      </w:tblGrid>
      <w:tr>
        <w:trPr/>
        <w:tc>
          <w:tcPr>
            <w:tcW w:w="236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As of December 31,</w:t>
            </w:r>
          </w:p>
        </w:tc>
        <w:tc>
          <w:tcPr>
            <w:tcW w:w="135" w:type="dxa"/>
            <w:tcBorders>
              <w:bottom w:val="single" w:sz="8" w:space="0" w:color="000000"/>
            </w:tcBorders>
            <w:vAlign w:val="center"/>
          </w:tcPr>
          <w:p>
            <w:pPr>
              <w:pStyle w:val="TableContents"/>
              <w:bidi w:val="0"/>
              <w:spacing w:before="0" w:after="283"/>
              <w:jc w:val="right"/>
              <w:rPr/>
            </w:pPr>
            <w:r>
              <w:rPr/>
              <w:t> </w:t>
            </w:r>
          </w:p>
        </w:tc>
      </w:tr>
      <w:tr>
        <w:trPr/>
        <w:tc>
          <w:tcPr>
            <w:tcW w:w="236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vAlign w:val="center"/>
          </w:tcPr>
          <w:p>
            <w:pPr>
              <w:pStyle w:val="TableContents"/>
              <w:bidi w:val="0"/>
              <w:spacing w:before="0" w:after="283"/>
              <w:jc w:val="right"/>
              <w:rPr/>
            </w:pPr>
            <w:r>
              <w:rPr/>
              <w:t> </w:t>
            </w:r>
          </w:p>
        </w:tc>
      </w:tr>
      <w:tr>
        <w:trPr/>
        <w:tc>
          <w:tcPr>
            <w:tcW w:w="2360" w:type="dxa"/>
            <w:tcBorders/>
            <w:shd w:fill="CCEEFF" w:val="clear"/>
            <w:tcMar>
              <w:bottom w:w="0" w:type="dxa"/>
            </w:tcMar>
            <w:vAlign w:val="center"/>
          </w:tcPr>
          <w:p>
            <w:pPr>
              <w:pStyle w:val="TableContents"/>
              <w:bidi w:val="0"/>
              <w:spacing w:before="0" w:after="283"/>
              <w:jc w:val="both"/>
              <w:rPr/>
            </w:pPr>
            <w:r>
              <w:rPr/>
              <w:t>2023 private placement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b/>
              </w:rPr>
            </w:pPr>
            <w:r>
              <w:rPr>
                <w:b/>
              </w:rPr>
              <w:t>8,013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748" w:type="dxa"/>
            <w:tcBorders/>
            <w:shd w:fill="CCEEFF" w:val="clear"/>
            <w:tcMar>
              <w:bottom w:w="0" w:type="dxa"/>
            </w:tcMar>
            <w:vAlign w:val="center"/>
          </w:tcPr>
          <w:p>
            <w:pPr>
              <w:pStyle w:val="TableContents"/>
              <w:bidi w:val="0"/>
              <w:spacing w:before="0" w:after="283"/>
              <w:jc w:val="right"/>
              <w:rPr/>
            </w:pPr>
            <w:r>
              <w:rPr/>
              <w:t>34,276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bottom w:val="single" w:sz="8" w:space="0" w:color="000000"/>
            </w:tcBorders>
            <w:vAlign w:val="center"/>
          </w:tcPr>
          <w:p>
            <w:pPr>
              <w:pStyle w:val="TableContents"/>
              <w:bidi w:val="0"/>
              <w:spacing w:before="0" w:after="283"/>
              <w:jc w:val="both"/>
              <w:rPr/>
            </w:pPr>
            <w:r>
              <w:rPr/>
              <w:t>2021 private placements</w:t>
            </w:r>
          </w:p>
        </w:tc>
        <w:tc>
          <w:tcPr>
            <w:tcW w:w="90" w:type="dxa"/>
            <w:tcBorders>
              <w:bottom w:val="single" w:sz="8" w:space="0" w:color="000000"/>
            </w:tcBorders>
            <w:vAlign w:val="center"/>
          </w:tcPr>
          <w:p>
            <w:pPr>
              <w:pStyle w:val="TableContents"/>
              <w:bidi w:val="0"/>
              <w:spacing w:before="0" w:after="283"/>
              <w:jc w:val="left"/>
              <w:rPr/>
            </w:pPr>
            <w:r>
              <w:rPr/>
              <w:t> </w:t>
            </w:r>
          </w:p>
        </w:tc>
        <w:tc>
          <w:tcPr>
            <w:tcW w:w="267" w:type="dxa"/>
            <w:tcBorders>
              <w:bottom w:val="single" w:sz="8" w:space="0" w:color="000000"/>
            </w:tcBorders>
            <w:vAlign w:val="center"/>
          </w:tcPr>
          <w:p>
            <w:pPr>
              <w:pStyle w:val="TableContents"/>
              <w:bidi w:val="0"/>
              <w:spacing w:before="0" w:after="283"/>
              <w:jc w:val="left"/>
              <w:rPr/>
            </w:pPr>
            <w:r>
              <w:rPr/>
              <w:t> </w:t>
            </w:r>
          </w:p>
        </w:tc>
        <w:tc>
          <w:tcPr>
            <w:tcW w:w="1762" w:type="dxa"/>
            <w:tcBorders>
              <w:bottom w:val="single" w:sz="8" w:space="0" w:color="000000"/>
            </w:tcBorders>
            <w:vAlign w:val="center"/>
          </w:tcPr>
          <w:p>
            <w:pPr>
              <w:pStyle w:val="TableContents"/>
              <w:bidi w:val="0"/>
              <w:spacing w:before="0" w:after="0"/>
              <w:jc w:val="righ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21" w:type="dxa"/>
            <w:tcBorders>
              <w:bottom w:val="single" w:sz="8" w:space="0" w:color="000000"/>
            </w:tcBorders>
            <w:vAlign w:val="center"/>
          </w:tcPr>
          <w:p>
            <w:pPr>
              <w:pStyle w:val="TableContents"/>
              <w:bidi w:val="0"/>
              <w:spacing w:before="0" w:after="283"/>
              <w:jc w:val="left"/>
              <w:rPr/>
            </w:pPr>
            <w:r>
              <w:rPr/>
              <w:t> </w:t>
            </w:r>
          </w:p>
        </w:tc>
        <w:tc>
          <w:tcPr>
            <w:tcW w:w="1748" w:type="dxa"/>
            <w:tcBorders>
              <w:bottom w:val="single" w:sz="8" w:space="0" w:color="000000"/>
            </w:tcBorders>
            <w:vAlign w:val="center"/>
          </w:tcPr>
          <w:p>
            <w:pPr>
              <w:pStyle w:val="TableContents"/>
              <w:bidi w:val="0"/>
              <w:spacing w:before="0" w:after="283"/>
              <w:jc w:val="right"/>
              <w:rPr/>
            </w:pPr>
            <w:r>
              <w:rPr/>
              <w:t>6,150</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236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vAlign w:val="center"/>
          </w:tcPr>
          <w:p>
            <w:pPr>
              <w:pStyle w:val="TableContents"/>
              <w:bidi w:val="0"/>
              <w:spacing w:before="0" w:after="283"/>
              <w:jc w:val="left"/>
              <w:rPr/>
            </w:pPr>
            <w:r>
              <w:rPr/>
              <w:t> </w:t>
            </w:r>
          </w:p>
        </w:tc>
        <w:tc>
          <w:tcPr>
            <w:tcW w:w="1762" w:type="dxa"/>
            <w:tcBorders>
              <w:bottom w:val="single" w:sz="12" w:space="0" w:color="000000"/>
            </w:tcBorders>
            <w:shd w:fill="CCEEFF" w:val="clear"/>
            <w:vAlign w:val="center"/>
          </w:tcPr>
          <w:p>
            <w:pPr>
              <w:pStyle w:val="TableContents"/>
              <w:bidi w:val="0"/>
              <w:spacing w:before="0" w:after="283"/>
              <w:jc w:val="right"/>
              <w:rPr>
                <w:b/>
              </w:rPr>
            </w:pPr>
            <w:r>
              <w:rPr>
                <w:b/>
              </w:rPr>
              <w:t>8,013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vAlign w:val="center"/>
          </w:tcPr>
          <w:p>
            <w:pPr>
              <w:pStyle w:val="TableContents"/>
              <w:bidi w:val="0"/>
              <w:spacing w:before="0" w:after="283"/>
              <w:jc w:val="left"/>
              <w:rPr/>
            </w:pPr>
            <w:r>
              <w:rPr/>
              <w:t> </w:t>
            </w:r>
          </w:p>
        </w:tc>
        <w:tc>
          <w:tcPr>
            <w:tcW w:w="1748" w:type="dxa"/>
            <w:tcBorders>
              <w:bottom w:val="single" w:sz="12" w:space="0" w:color="000000"/>
            </w:tcBorders>
            <w:shd w:fill="CCEEFF" w:val="clear"/>
            <w:vAlign w:val="center"/>
          </w:tcPr>
          <w:p>
            <w:pPr>
              <w:pStyle w:val="TableContents"/>
              <w:bidi w:val="0"/>
              <w:spacing w:before="0" w:after="283"/>
              <w:jc w:val="right"/>
              <w:rPr/>
            </w:pPr>
            <w:r>
              <w:rPr/>
              <w:t>40,426</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Company completed a private placement that included 22,222,223 warrants and 3,000,000 broker warrants to purchase common shares (the “2023 private placement”). The warrants and broker warrants are convertible for a fixed number of common shares of the Company but have a contingent cashless exercise clause which results in a classification of the warrants and broker warrants as a financial liability and measurement of such warrants at fair value through profit or loss recognized in Net financial income (expenses). </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52 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68"/>
        <w:gridCol w:w="1115"/>
        <w:gridCol w:w="416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17:</w:t>
            </w:r>
          </w:p>
        </w:tc>
        <w:tc>
          <w:tcPr>
            <w:tcW w:w="4160" w:type="dxa"/>
            <w:tcBorders/>
            <w:vAlign w:val="center"/>
          </w:tcPr>
          <w:p>
            <w:pPr>
              <w:pStyle w:val="TableContents"/>
              <w:bidi w:val="0"/>
              <w:spacing w:before="0" w:after="283"/>
              <w:jc w:val="both"/>
              <w:rPr/>
            </w:pPr>
            <w:r>
              <w:rPr>
                <w:b/>
              </w:rPr>
              <w:t xml:space="preserve">WARRANT LIABILITIES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outstanding warrants are as follows:</w:t>
      </w:r>
    </w:p>
    <w:p>
      <w:pPr>
        <w:pStyle w:val="TextBody"/>
        <w:bidi w:val="0"/>
        <w:spacing w:before="0" w:after="0"/>
        <w:ind w:left="0" w:right="0" w:hanging="0"/>
        <w:jc w:val="both"/>
        <w:rPr>
          <w:caps w:val="false"/>
          <w:smallCaps w:val="false"/>
        </w:rPr>
      </w:pPr>
      <w:r>
        <w:rPr>
          <w:caps w:val="false"/>
          <w:smallCaps w:val="false"/>
        </w:rPr>
        <w:t> </w:t>
      </w:r>
    </w:p>
    <w:tbl>
      <w:tblPr>
        <w:tblW w:w="9453" w:type="dxa"/>
        <w:jc w:val="left"/>
        <w:tblInd w:w="0" w:type="dxa"/>
        <w:tblLayout w:type="fixed"/>
        <w:tblCellMar>
          <w:top w:w="0" w:type="dxa"/>
          <w:left w:w="0" w:type="dxa"/>
          <w:bottom w:w="28" w:type="dxa"/>
          <w:right w:w="0" w:type="dxa"/>
        </w:tblCellMar>
      </w:tblPr>
      <w:tblGrid>
        <w:gridCol w:w="2675"/>
        <w:gridCol w:w="90"/>
        <w:gridCol w:w="90"/>
        <w:gridCol w:w="1205"/>
        <w:gridCol w:w="125"/>
        <w:gridCol w:w="90"/>
        <w:gridCol w:w="281"/>
        <w:gridCol w:w="1478"/>
        <w:gridCol w:w="90"/>
        <w:gridCol w:w="90"/>
        <w:gridCol w:w="90"/>
        <w:gridCol w:w="1130"/>
        <w:gridCol w:w="125"/>
        <w:gridCol w:w="90"/>
        <w:gridCol w:w="268"/>
        <w:gridCol w:w="1401"/>
        <w:gridCol w:w="135"/>
      </w:tblGrid>
      <w:tr>
        <w:trPr/>
        <w:tc>
          <w:tcPr>
            <w:tcW w:w="267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6553" w:type="dxa"/>
            <w:gridSpan w:val="14"/>
            <w:tcBorders>
              <w:bottom w:val="single" w:sz="8" w:space="0" w:color="000000"/>
            </w:tcBorders>
            <w:vAlign w:val="center"/>
          </w:tcPr>
          <w:p>
            <w:pPr>
              <w:pStyle w:val="TableContents"/>
              <w:bidi w:val="0"/>
              <w:spacing w:before="0" w:after="283"/>
              <w:jc w:val="right"/>
              <w:rPr>
                <w:b/>
              </w:rPr>
            </w:pPr>
            <w:r>
              <w:rPr>
                <w:b/>
              </w:rPr>
              <w:t>Year ended December 31,</w:t>
            </w:r>
          </w:p>
        </w:tc>
        <w:tc>
          <w:tcPr>
            <w:tcW w:w="135" w:type="dxa"/>
            <w:tcBorders>
              <w:bottom w:val="single" w:sz="8" w:space="0" w:color="000000"/>
            </w:tcBorders>
            <w:vAlign w:val="center"/>
          </w:tcPr>
          <w:p>
            <w:pPr>
              <w:pStyle w:val="TableContents"/>
              <w:bidi w:val="0"/>
              <w:spacing w:before="0" w:after="283"/>
              <w:jc w:val="right"/>
              <w:rPr/>
            </w:pPr>
            <w:r>
              <w:rPr/>
              <w:t> </w:t>
            </w:r>
          </w:p>
        </w:tc>
      </w:tr>
      <w:tr>
        <w:trPr/>
        <w:tc>
          <w:tcPr>
            <w:tcW w:w="267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3269" w:type="dxa"/>
            <w:gridSpan w:val="6"/>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3104" w:type="dxa"/>
            <w:gridSpan w:val="6"/>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vAlign w:val="center"/>
          </w:tcPr>
          <w:p>
            <w:pPr>
              <w:pStyle w:val="TableContents"/>
              <w:bidi w:val="0"/>
              <w:spacing w:before="0" w:after="283"/>
              <w:jc w:val="right"/>
              <w:rPr/>
            </w:pPr>
            <w:r>
              <w:rPr/>
              <w:t> </w:t>
            </w:r>
          </w:p>
        </w:tc>
      </w:tr>
      <w:tr>
        <w:trPr/>
        <w:tc>
          <w:tcPr>
            <w:tcW w:w="267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295" w:type="dxa"/>
            <w:gridSpan w:val="2"/>
            <w:tcBorders>
              <w:bottom w:val="single" w:sz="8" w:space="0" w:color="000000"/>
            </w:tcBorders>
            <w:vAlign w:val="center"/>
          </w:tcPr>
          <w:p>
            <w:pPr>
              <w:pStyle w:val="TableContents"/>
              <w:bidi w:val="0"/>
              <w:spacing w:before="0" w:after="283"/>
              <w:jc w:val="right"/>
              <w:rPr>
                <w:b/>
              </w:rPr>
            </w:pPr>
            <w:r>
              <w:rPr>
                <w:b/>
              </w:rPr>
              <w:t>Number of</w:t>
              <w:br/>
              <w:t>warrants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759" w:type="dxa"/>
            <w:gridSpan w:val="2"/>
            <w:tcBorders>
              <w:bottom w:val="single" w:sz="8" w:space="0" w:color="000000"/>
            </w:tcBorders>
            <w:vAlign w:val="center"/>
          </w:tcPr>
          <w:p>
            <w:pPr>
              <w:pStyle w:val="TableContents"/>
              <w:bidi w:val="0"/>
              <w:spacing w:before="0" w:after="283"/>
              <w:jc w:val="right"/>
              <w:rPr>
                <w:b/>
              </w:rPr>
            </w:pPr>
            <w:r>
              <w:rPr>
                <w:b/>
              </w:rPr>
              <w:t xml:space="preserve">Weighted </w:t>
              <w:br/>
              <w:t xml:space="preserve">average exercise </w:t>
              <w:br/>
              <w:t>price (USD)</w:t>
            </w:r>
          </w:p>
        </w:tc>
        <w:tc>
          <w:tcPr>
            <w:tcW w:w="9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220" w:type="dxa"/>
            <w:gridSpan w:val="2"/>
            <w:tcBorders>
              <w:bottom w:val="single" w:sz="8" w:space="0" w:color="000000"/>
            </w:tcBorders>
            <w:vAlign w:val="center"/>
          </w:tcPr>
          <w:p>
            <w:pPr>
              <w:pStyle w:val="TableContents"/>
              <w:bidi w:val="0"/>
              <w:spacing w:before="0" w:after="283"/>
              <w:jc w:val="right"/>
              <w:rPr/>
            </w:pPr>
            <w:r>
              <w:rPr/>
              <w:t xml:space="preserve">Number of </w:t>
              <w:br/>
              <w:t>warrants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669" w:type="dxa"/>
            <w:gridSpan w:val="2"/>
            <w:tcBorders>
              <w:bottom w:val="single" w:sz="8" w:space="0" w:color="000000"/>
            </w:tcBorders>
            <w:vAlign w:val="center"/>
          </w:tcPr>
          <w:p>
            <w:pPr>
              <w:pStyle w:val="TableContents"/>
              <w:bidi w:val="0"/>
              <w:spacing w:before="0" w:after="283"/>
              <w:jc w:val="right"/>
              <w:rPr/>
            </w:pPr>
            <w:r>
              <w:rPr/>
              <w:t xml:space="preserve">Weighted </w:t>
              <w:br/>
              <w:t xml:space="preserve">average exercise </w:t>
              <w:br/>
              <w:t>price (USD)</w:t>
            </w:r>
          </w:p>
        </w:tc>
        <w:tc>
          <w:tcPr>
            <w:tcW w:w="135" w:type="dxa"/>
            <w:tcBorders>
              <w:bottom w:val="single" w:sz="8" w:space="0" w:color="000000"/>
            </w:tcBorders>
            <w:vAlign w:val="center"/>
          </w:tcPr>
          <w:p>
            <w:pPr>
              <w:pStyle w:val="TableContents"/>
              <w:bidi w:val="0"/>
              <w:spacing w:before="0" w:after="283"/>
              <w:jc w:val="righ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Outstanding, January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b/>
              </w:rPr>
            </w:pPr>
            <w:r>
              <w:rPr>
                <w:b/>
              </w:rPr>
              <w:t>35,105,390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jc w:val="left"/>
              <w:rPr/>
            </w:pPr>
            <w:r>
              <w:rPr/>
              <w:t> </w:t>
            </w:r>
          </w:p>
        </w:tc>
        <w:tc>
          <w:tcPr>
            <w:tcW w:w="1478" w:type="dxa"/>
            <w:tcBorders/>
            <w:shd w:fill="CCEEFF" w:val="clear"/>
            <w:tcMar>
              <w:bottom w:w="0" w:type="dxa"/>
            </w:tcMar>
            <w:vAlign w:val="center"/>
          </w:tcPr>
          <w:p>
            <w:pPr>
              <w:pStyle w:val="TableContents"/>
              <w:bidi w:val="0"/>
              <w:spacing w:before="0" w:after="283"/>
              <w:jc w:val="right"/>
              <w:rPr>
                <w:b/>
              </w:rPr>
            </w:pPr>
            <w:r>
              <w:rPr>
                <w:b/>
              </w:rPr>
              <w:t>2.83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19,152,797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8" w:type="dxa"/>
            <w:tcBorders/>
            <w:shd w:fill="CCEEFF" w:val="clear"/>
            <w:tcMar>
              <w:bottom w:w="0" w:type="dxa"/>
            </w:tcMar>
            <w:vAlign w:val="center"/>
          </w:tcPr>
          <w:p>
            <w:pPr>
              <w:pStyle w:val="TableContents"/>
              <w:bidi w:val="0"/>
              <w:spacing w:before="0" w:after="283"/>
              <w:jc w:val="left"/>
              <w:rPr/>
            </w:pPr>
            <w:r>
              <w:rPr/>
              <w:t> </w:t>
            </w:r>
          </w:p>
        </w:tc>
        <w:tc>
          <w:tcPr>
            <w:tcW w:w="1401" w:type="dxa"/>
            <w:tcBorders/>
            <w:shd w:fill="CCEEFF" w:val="clear"/>
            <w:tcMar>
              <w:bottom w:w="0" w:type="dxa"/>
            </w:tcMar>
            <w:vAlign w:val="center"/>
          </w:tcPr>
          <w:p>
            <w:pPr>
              <w:pStyle w:val="TableContents"/>
              <w:bidi w:val="0"/>
              <w:spacing w:before="0" w:after="283"/>
              <w:jc w:val="right"/>
              <w:rPr/>
            </w:pPr>
            <w:r>
              <w:rPr/>
              <w:t>4.21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283"/>
              <w:jc w:val="left"/>
              <w:rPr/>
            </w:pPr>
            <w:r>
              <w:rPr/>
              <w:t>Granted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1" w:type="dxa"/>
            <w:tcBorders/>
            <w:tcMar>
              <w:bottom w:w="0" w:type="dxa"/>
            </w:tcMar>
            <w:vAlign w:val="center"/>
          </w:tcPr>
          <w:p>
            <w:pPr>
              <w:pStyle w:val="TableContents"/>
              <w:bidi w:val="0"/>
              <w:spacing w:before="0" w:after="283"/>
              <w:jc w:val="left"/>
              <w:rPr/>
            </w:pPr>
            <w:r>
              <w:rPr/>
              <w:t> </w:t>
            </w:r>
          </w:p>
        </w:tc>
        <w:tc>
          <w:tcPr>
            <w:tcW w:w="1478"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25,222,223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8"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right"/>
              <w:rPr/>
            </w:pPr>
            <w:r>
              <w:rPr/>
              <w:t>1.18</w:t>
            </w:r>
          </w:p>
        </w:tc>
        <w:tc>
          <w:tcPr>
            <w:tcW w:w="135" w:type="dxa"/>
            <w:tcBorders/>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Exercised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b/>
              </w:rPr>
            </w:pPr>
            <w:r>
              <w:rPr>
                <w:b/>
              </w:rPr>
              <w:t>(5,111,111</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jc w:val="left"/>
              <w:rPr/>
            </w:pPr>
            <w:r>
              <w:rPr/>
              <w:t> </w:t>
            </w:r>
          </w:p>
        </w:tc>
        <w:tc>
          <w:tcPr>
            <w:tcW w:w="1478" w:type="dxa"/>
            <w:tcBorders/>
            <w:shd w:fill="CCEEFF" w:val="clear"/>
            <w:tcMar>
              <w:bottom w:w="0" w:type="dxa"/>
            </w:tcMar>
            <w:vAlign w:val="center"/>
          </w:tcPr>
          <w:p>
            <w:pPr>
              <w:pStyle w:val="TableContents"/>
              <w:bidi w:val="0"/>
              <w:spacing w:before="0" w:after="283"/>
              <w:jc w:val="right"/>
              <w:rPr>
                <w:b/>
              </w:rPr>
            </w:pPr>
            <w:r>
              <w:rPr>
                <w:b/>
              </w:rPr>
              <w:t>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(9,269,630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8" w:type="dxa"/>
            <w:tcBorders/>
            <w:shd w:fill="CCEEFF" w:val="clear"/>
            <w:tcMar>
              <w:bottom w:w="0" w:type="dxa"/>
            </w:tcMar>
            <w:vAlign w:val="center"/>
          </w:tcPr>
          <w:p>
            <w:pPr>
              <w:pStyle w:val="TableContents"/>
              <w:bidi w:val="0"/>
              <w:spacing w:before="0" w:after="283"/>
              <w:jc w:val="left"/>
              <w:rPr/>
            </w:pPr>
            <w:r>
              <w:rPr/>
              <w:t> </w:t>
            </w:r>
          </w:p>
        </w:tc>
        <w:tc>
          <w:tcPr>
            <w:tcW w:w="1401" w:type="dxa"/>
            <w:tcBorders/>
            <w:shd w:fill="CCEEFF" w:val="clear"/>
            <w:tcMar>
              <w:bottom w:w="0" w:type="dxa"/>
            </w:tcMar>
            <w:vAlign w:val="center"/>
          </w:tcPr>
          <w:p>
            <w:pPr>
              <w:pStyle w:val="TableContents"/>
              <w:bidi w:val="0"/>
              <w:spacing w:before="0" w:after="283"/>
              <w:jc w:val="right"/>
              <w:rPr/>
            </w:pPr>
            <w:r>
              <w:rPr/>
              <w:t>1.18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bottom w:val="single" w:sz="8" w:space="0" w:color="000000"/>
            </w:tcBorders>
            <w:vAlign w:val="center"/>
          </w:tcPr>
          <w:p>
            <w:pPr>
              <w:pStyle w:val="TableContents"/>
              <w:bidi w:val="0"/>
              <w:spacing w:before="0" w:after="283"/>
              <w:jc w:val="left"/>
              <w:rPr/>
            </w:pPr>
            <w:r>
              <w:rPr/>
              <w:t>Expired</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right"/>
              <w:rPr>
                <w:b/>
              </w:rPr>
            </w:pPr>
            <w:r>
              <w:rPr>
                <w:b/>
              </w:rPr>
              <w:t>(19,152,797</w:t>
            </w:r>
          </w:p>
        </w:tc>
        <w:tc>
          <w:tcPr>
            <w:tcW w:w="125" w:type="dxa"/>
            <w:tcBorders>
              <w:bottom w:val="single" w:sz="8" w:space="0" w:color="000000"/>
            </w:tcBorders>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281" w:type="dxa"/>
            <w:tcBorders>
              <w:bottom w:val="single" w:sz="8" w:space="0" w:color="000000"/>
            </w:tcBorders>
            <w:vAlign w:val="center"/>
          </w:tcPr>
          <w:p>
            <w:pPr>
              <w:pStyle w:val="TableContents"/>
              <w:bidi w:val="0"/>
              <w:spacing w:before="0" w:after="283"/>
              <w:jc w:val="left"/>
              <w:rPr/>
            </w:pPr>
            <w:r>
              <w:rPr/>
              <w:t> </w:t>
            </w:r>
          </w:p>
        </w:tc>
        <w:tc>
          <w:tcPr>
            <w:tcW w:w="1478" w:type="dxa"/>
            <w:tcBorders>
              <w:bottom w:val="single" w:sz="8" w:space="0" w:color="000000"/>
            </w:tcBorders>
            <w:vAlign w:val="center"/>
          </w:tcPr>
          <w:p>
            <w:pPr>
              <w:pStyle w:val="TableContents"/>
              <w:bidi w:val="0"/>
              <w:spacing w:before="0" w:after="283"/>
              <w:jc w:val="right"/>
              <w:rPr>
                <w:b/>
              </w:rPr>
            </w:pPr>
            <w:r>
              <w:rPr>
                <w:b/>
              </w:rPr>
              <w:t>4.21</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130"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8" w:type="dxa"/>
            <w:tcBorders>
              <w:bottom w:val="single" w:sz="8" w:space="0" w:color="000000"/>
            </w:tcBorders>
            <w:vAlign w:val="center"/>
          </w:tcPr>
          <w:p>
            <w:pPr>
              <w:pStyle w:val="TableContents"/>
              <w:bidi w:val="0"/>
              <w:spacing w:before="0" w:after="283"/>
              <w:jc w:val="left"/>
              <w:rPr/>
            </w:pPr>
            <w:r>
              <w:rPr/>
              <w:t> </w:t>
            </w:r>
          </w:p>
        </w:tc>
        <w:tc>
          <w:tcPr>
            <w:tcW w:w="1401" w:type="dxa"/>
            <w:tcBorders>
              <w:bottom w:val="single" w:sz="8" w:space="0" w:color="000000"/>
            </w:tcBorders>
            <w:vAlign w:val="center"/>
          </w:tcPr>
          <w:p>
            <w:pPr>
              <w:pStyle w:val="TableContents"/>
              <w:bidi w:val="0"/>
              <w:spacing w:before="0" w:after="0"/>
              <w:jc w:val="right"/>
              <w:rPr/>
            </w:pPr>
            <w:r>
              <w:rPr/>
              <w:t>—</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2675" w:type="dxa"/>
            <w:tcBorders>
              <w:bottom w:val="single" w:sz="12" w:space="0" w:color="000000"/>
            </w:tcBorders>
            <w:shd w:fill="CCEEFF" w:val="clear"/>
            <w:vAlign w:val="center"/>
          </w:tcPr>
          <w:p>
            <w:pPr>
              <w:pStyle w:val="TableContents"/>
              <w:bidi w:val="0"/>
              <w:spacing w:before="0" w:after="283"/>
              <w:jc w:val="left"/>
              <w:rPr/>
            </w:pPr>
            <w:r>
              <w:rPr/>
              <w:t>Outstanding, December 31,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05" w:type="dxa"/>
            <w:tcBorders>
              <w:bottom w:val="single" w:sz="12" w:space="0" w:color="000000"/>
            </w:tcBorders>
            <w:shd w:fill="CCEEFF" w:val="clear"/>
            <w:vAlign w:val="center"/>
          </w:tcPr>
          <w:p>
            <w:pPr>
              <w:pStyle w:val="TableContents"/>
              <w:bidi w:val="0"/>
              <w:spacing w:before="0" w:after="283"/>
              <w:jc w:val="right"/>
              <w:rPr>
                <w:b/>
              </w:rPr>
            </w:pPr>
            <w:r>
              <w:rPr>
                <w:b/>
              </w:rPr>
              <w:t>10,841,482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81" w:type="dxa"/>
            <w:tcBorders>
              <w:bottom w:val="single" w:sz="12" w:space="0" w:color="000000"/>
            </w:tcBorders>
            <w:shd w:fill="CCEEFF" w:val="clear"/>
            <w:vAlign w:val="center"/>
          </w:tcPr>
          <w:p>
            <w:pPr>
              <w:pStyle w:val="TableContents"/>
              <w:bidi w:val="0"/>
              <w:spacing w:before="0" w:after="283"/>
              <w:jc w:val="left"/>
              <w:rPr/>
            </w:pPr>
            <w:r>
              <w:rPr/>
              <w:t> </w:t>
            </w:r>
          </w:p>
        </w:tc>
        <w:tc>
          <w:tcPr>
            <w:tcW w:w="1478" w:type="dxa"/>
            <w:tcBorders>
              <w:bottom w:val="single" w:sz="12" w:space="0" w:color="000000"/>
            </w:tcBorders>
            <w:shd w:fill="CCEEFF" w:val="clear"/>
            <w:vAlign w:val="center"/>
          </w:tcPr>
          <w:p>
            <w:pPr>
              <w:pStyle w:val="TableContents"/>
              <w:bidi w:val="0"/>
              <w:spacing w:before="0" w:after="283"/>
              <w:jc w:val="right"/>
              <w:rPr>
                <w:b/>
              </w:rPr>
            </w:pPr>
            <w:r>
              <w:rPr>
                <w:b/>
              </w:rPr>
              <w:t>1.17</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35,105,390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68" w:type="dxa"/>
            <w:tcBorders>
              <w:bottom w:val="single" w:sz="12" w:space="0" w:color="000000"/>
            </w:tcBorders>
            <w:shd w:fill="CCEEFF" w:val="clear"/>
            <w:vAlign w:val="center"/>
          </w:tcPr>
          <w:p>
            <w:pPr>
              <w:pStyle w:val="TableContents"/>
              <w:bidi w:val="0"/>
              <w:spacing w:before="0" w:after="283"/>
              <w:jc w:val="left"/>
              <w:rPr/>
            </w:pPr>
            <w:r>
              <w:rPr/>
              <w:t> </w:t>
            </w:r>
          </w:p>
        </w:tc>
        <w:tc>
          <w:tcPr>
            <w:tcW w:w="1401" w:type="dxa"/>
            <w:tcBorders>
              <w:bottom w:val="single" w:sz="12" w:space="0" w:color="000000"/>
            </w:tcBorders>
            <w:shd w:fill="CCEEFF" w:val="clear"/>
            <w:vAlign w:val="center"/>
          </w:tcPr>
          <w:p>
            <w:pPr>
              <w:pStyle w:val="TableContents"/>
              <w:bidi w:val="0"/>
              <w:spacing w:before="0" w:after="283"/>
              <w:jc w:val="right"/>
              <w:rPr/>
            </w:pPr>
            <w:r>
              <w:rPr/>
              <w:t>2.83</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contractual life of the warrants as of December 31, 2024, was 1.9 years (December 31, 2023: 1.6 years).</w:t>
      </w:r>
    </w:p>
    <w:p>
      <w:pPr>
        <w:pStyle w:val="TextBody"/>
        <w:bidi w:val="0"/>
        <w:spacing w:before="0" w:after="0"/>
        <w:jc w:val="both"/>
        <w:rPr>
          <w:caps w:val="false"/>
          <w:smallCaps w:val="false"/>
          <w:position w:val="8"/>
          <w:sz w:val="19"/>
        </w:rPr>
      </w:pPr>
      <w:r>
        <w:rPr>
          <w:caps w:val="false"/>
          <w:smallCaps w:val="false"/>
          <w:position w:val="8"/>
          <w:sz w:val="19"/>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2024, 96,000 broker warrants from the January 7, 2021 private placement expired and were derecognized during the first quarter of 2024, which resulted in a non-cash gain on revaluation of warrants of $61 included in Net financial income (expenses) during the year ended December 31, 2024.</w:t>
      </w:r>
    </w:p>
    <w:p>
      <w:pPr>
        <w:pStyle w:val="TextBody"/>
        <w:bidi w:val="0"/>
        <w:spacing w:before="0" w:after="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5,000,000 warrants and 111,111 broker warrants related to the 2023 private placement were exercised resulting in the issuance of 5,111,111 common shares for proceeds of approximately $5,986.</w:t>
      </w:r>
    </w:p>
    <w:p>
      <w:pPr>
        <w:pStyle w:val="TextBody"/>
        <w:bidi w:val="0"/>
        <w:spacing w:before="0" w:after="0"/>
        <w:jc w:val="both"/>
        <w:rPr>
          <w:caps w:val="false"/>
          <w:smallCaps w:val="false"/>
          <w:position w:val="8"/>
          <w:sz w:val="19"/>
        </w:rPr>
      </w:pPr>
      <w:r>
        <w:rPr>
          <w:caps w:val="false"/>
          <w:smallCaps w:val="false"/>
          <w:position w:val="8"/>
          <w:sz w:val="19"/>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2024, 25,000 warrants relating to the acquisition of the Garlock building in Sherbrooke, Quebec, Canada issued during the first quarter of 2022 expired. These warrants were recorded as equity instruments.</w:t>
      </w:r>
    </w:p>
    <w:p>
      <w:pPr>
        <w:pStyle w:val="TextBody"/>
        <w:bidi w:val="0"/>
        <w:spacing w:before="0" w:after="0"/>
        <w:jc w:val="both"/>
        <w:rPr>
          <w:caps w:val="false"/>
          <w:smallCaps w:val="false"/>
          <w:position w:val="8"/>
          <w:sz w:val="19"/>
        </w:rPr>
      </w:pPr>
      <w:r>
        <w:rPr>
          <w:caps w:val="false"/>
          <w:smallCaps w:val="false"/>
          <w:position w:val="8"/>
          <w:sz w:val="19"/>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17, 2024, 10,613,208 warrants and 1,132,076 broker warrants from the May 17, 2021 private placement expired and were derecognized during the second quarter of 2024, which resulted in a non-cash gain on revaluation of warrants of $1,739 in Net financial income (expenses) during the year ended December 31, 2024.</w:t>
      </w:r>
    </w:p>
    <w:p>
      <w:pPr>
        <w:pStyle w:val="TextBody"/>
        <w:bidi w:val="0"/>
        <w:spacing w:before="0" w:after="0"/>
        <w:jc w:val="both"/>
        <w:rPr>
          <w:caps w:val="false"/>
          <w:smallCaps w:val="false"/>
          <w:position w:val="8"/>
          <w:sz w:val="19"/>
        </w:rPr>
      </w:pPr>
      <w:r>
        <w:rPr>
          <w:caps w:val="false"/>
          <w:smallCaps w:val="false"/>
          <w:position w:val="8"/>
          <w:sz w:val="19"/>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2024, 558,660 warrants and 446,927 broker warrants from the January 10, 2021 private placements expired and were derecognized during the third quarter of 2024, which resulted in a non-cash gain on revaluation of warrants of $505 in Net financial income (expenses) during the year ended December 31, 2024.</w:t>
      </w:r>
    </w:p>
    <w:p>
      <w:pPr>
        <w:pStyle w:val="TextBody"/>
        <w:bidi w:val="0"/>
        <w:spacing w:before="0" w:after="0"/>
        <w:jc w:val="both"/>
        <w:rPr>
          <w:caps w:val="false"/>
          <w:smallCaps w:val="false"/>
          <w:position w:val="8"/>
          <w:sz w:val="19"/>
        </w:rPr>
      </w:pPr>
      <w:r>
        <w:rPr>
          <w:caps w:val="false"/>
          <w:smallCaps w:val="false"/>
          <w:position w:val="8"/>
          <w:sz w:val="19"/>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6,156,070 warrants and 124,856 broker warrants from the February 7, 2021 private placements expired and were derecognized during the third quarter of 2024, which resulted in a non-cash gain on revaluation of warrants of $3,412 in Net financial income (expenses) during the year ended December 31, 2024.</w:t>
      </w:r>
    </w:p>
    <w:p>
      <w:pPr>
        <w:pStyle w:val="TextBody"/>
        <w:bidi w:val="0"/>
        <w:spacing w:before="0" w:after="0"/>
        <w:jc w:val="both"/>
        <w:rPr>
          <w:caps w:val="false"/>
          <w:smallCaps w:val="false"/>
          <w:position w:val="8"/>
          <w:sz w:val="19"/>
        </w:rPr>
      </w:pPr>
      <w:r>
        <w:rPr>
          <w:caps w:val="false"/>
          <w:smallCaps w:val="false"/>
          <w:position w:val="8"/>
          <w:sz w:val="19"/>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53 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68"/>
        <w:gridCol w:w="1115"/>
        <w:gridCol w:w="416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17:</w:t>
            </w:r>
          </w:p>
        </w:tc>
        <w:tc>
          <w:tcPr>
            <w:tcW w:w="4160" w:type="dxa"/>
            <w:tcBorders/>
            <w:vAlign w:val="center"/>
          </w:tcPr>
          <w:p>
            <w:pPr>
              <w:pStyle w:val="TableContents"/>
              <w:bidi w:val="0"/>
              <w:spacing w:before="0" w:after="283"/>
              <w:jc w:val="both"/>
              <w:rPr/>
            </w:pPr>
            <w:r>
              <w:rPr>
                <w:b/>
              </w:rPr>
              <w:t xml:space="preserve">WARRANT LIABILITIES </w:t>
            </w:r>
            <w:r>
              <w:rPr/>
              <w:t>(Continued)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model and inputs below were used in determining the weighted average values of the warrants and broker warrants prior to their derecognition, which resulted in a non-cash loss on revaluation of warrants of $1,836 (year ended December 31, 2023: $19,359) included in Net financial income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warrants and broker warrants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24"/>
        <w:gridCol w:w="90"/>
        <w:gridCol w:w="171"/>
        <w:gridCol w:w="2076"/>
        <w:gridCol w:w="245"/>
        <w:gridCol w:w="90"/>
        <w:gridCol w:w="107"/>
        <w:gridCol w:w="1365"/>
        <w:gridCol w:w="270"/>
        <w:gridCol w:w="98"/>
        <w:gridCol w:w="107"/>
        <w:gridCol w:w="1365"/>
        <w:gridCol w:w="297"/>
      </w:tblGrid>
      <w:tr>
        <w:trPr/>
        <w:tc>
          <w:tcPr>
            <w:tcW w:w="3924"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247" w:type="dxa"/>
            <w:gridSpan w:val="2"/>
            <w:tcBorders>
              <w:bottom w:val="single" w:sz="8" w:space="0" w:color="000000"/>
            </w:tcBorders>
            <w:vAlign w:val="center"/>
          </w:tcPr>
          <w:p>
            <w:pPr>
              <w:pStyle w:val="TableContents"/>
              <w:bidi w:val="0"/>
              <w:spacing w:before="0" w:after="283"/>
              <w:jc w:val="center"/>
              <w:rPr>
                <w:b/>
              </w:rPr>
            </w:pPr>
            <w:r>
              <w:rPr>
                <w:b/>
              </w:rPr>
              <w:t>Remeasurement on</w:t>
              <w:br/>
              <w:t>settlement of warrants</w:t>
            </w:r>
          </w:p>
        </w:tc>
        <w:tc>
          <w:tcPr>
            <w:tcW w:w="24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3312" w:type="dxa"/>
            <w:gridSpan w:val="6"/>
            <w:tcBorders>
              <w:bottom w:val="single" w:sz="8" w:space="0" w:color="000000"/>
            </w:tcBorders>
            <w:vAlign w:val="center"/>
          </w:tcPr>
          <w:p>
            <w:pPr>
              <w:pStyle w:val="TableContents"/>
              <w:bidi w:val="0"/>
              <w:spacing w:before="0" w:after="283"/>
              <w:jc w:val="right"/>
              <w:rPr>
                <w:b/>
              </w:rPr>
            </w:pPr>
            <w:r>
              <w:rPr>
                <w:b/>
              </w:rPr>
              <w:t>Remeasurement at period end</w:t>
            </w:r>
          </w:p>
        </w:tc>
        <w:tc>
          <w:tcPr>
            <w:tcW w:w="297" w:type="dxa"/>
            <w:tcBorders>
              <w:bottom w:val="single" w:sz="8" w:space="0" w:color="000000"/>
            </w:tcBorders>
            <w:vAlign w:val="center"/>
          </w:tcPr>
          <w:p>
            <w:pPr>
              <w:pStyle w:val="TableContents"/>
              <w:bidi w:val="0"/>
              <w:spacing w:before="0" w:after="283"/>
              <w:jc w:val="right"/>
              <w:rPr/>
            </w:pPr>
            <w:r>
              <w:rPr/>
              <w:t> </w:t>
            </w:r>
          </w:p>
        </w:tc>
      </w:tr>
      <w:tr>
        <w:trPr/>
        <w:tc>
          <w:tcPr>
            <w:tcW w:w="3924" w:type="dxa"/>
            <w:tcBorders>
              <w:bottom w:val="single" w:sz="8" w:space="0" w:color="000000"/>
            </w:tcBorders>
            <w:vAlign w:val="center"/>
          </w:tcPr>
          <w:p>
            <w:pPr>
              <w:pStyle w:val="TableContents"/>
              <w:bidi w:val="0"/>
              <w:spacing w:before="0" w:after="283"/>
              <w:jc w:val="left"/>
              <w:rPr>
                <w:b/>
              </w:rPr>
            </w:pPr>
            <w:r>
              <w:rPr>
                <w:b/>
              </w:rPr>
              <w:t>Measurement date</w:t>
            </w:r>
          </w:p>
        </w:tc>
        <w:tc>
          <w:tcPr>
            <w:tcW w:w="90" w:type="dxa"/>
            <w:tcBorders>
              <w:bottom w:val="single" w:sz="8" w:space="0" w:color="000000"/>
            </w:tcBorders>
            <w:vAlign w:val="center"/>
          </w:tcPr>
          <w:p>
            <w:pPr>
              <w:pStyle w:val="TableContents"/>
              <w:bidi w:val="0"/>
              <w:spacing w:before="0" w:after="283"/>
              <w:jc w:val="right"/>
              <w:rPr/>
            </w:pPr>
            <w:r>
              <w:rPr/>
              <w:t> </w:t>
            </w:r>
          </w:p>
        </w:tc>
        <w:tc>
          <w:tcPr>
            <w:tcW w:w="2247" w:type="dxa"/>
            <w:gridSpan w:val="2"/>
            <w:tcBorders>
              <w:bottom w:val="single" w:sz="8" w:space="0" w:color="000000"/>
            </w:tcBorders>
            <w:vAlign w:val="center"/>
          </w:tcPr>
          <w:p>
            <w:pPr>
              <w:pStyle w:val="TableContents"/>
              <w:bidi w:val="0"/>
              <w:spacing w:before="0" w:after="283"/>
              <w:jc w:val="right"/>
              <w:rPr>
                <w:b/>
              </w:rPr>
            </w:pPr>
            <w:r>
              <w:rPr>
                <w:b/>
              </w:rPr>
              <w:t>February 12 to 28,</w:t>
              <w:br/>
              <w:t>2024</w:t>
            </w:r>
          </w:p>
        </w:tc>
        <w:tc>
          <w:tcPr>
            <w:tcW w:w="24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472" w:type="dxa"/>
            <w:gridSpan w:val="2"/>
            <w:tcBorders>
              <w:bottom w:val="single" w:sz="8" w:space="0" w:color="000000"/>
            </w:tcBorders>
            <w:vAlign w:val="center"/>
          </w:tcPr>
          <w:p>
            <w:pPr>
              <w:pStyle w:val="TableContents"/>
              <w:bidi w:val="0"/>
              <w:spacing w:before="0" w:after="283"/>
              <w:jc w:val="right"/>
              <w:rPr>
                <w:b/>
              </w:rPr>
            </w:pPr>
            <w:r>
              <w:rPr>
                <w:b/>
              </w:rPr>
              <w:t xml:space="preserve">December 31, </w:t>
              <w:br/>
              <w:t>2024</w:t>
            </w:r>
          </w:p>
        </w:tc>
        <w:tc>
          <w:tcPr>
            <w:tcW w:w="270" w:type="dxa"/>
            <w:tcBorders>
              <w:bottom w:val="single" w:sz="8" w:space="0" w:color="000000"/>
            </w:tcBorders>
            <w:vAlign w:val="center"/>
          </w:tcPr>
          <w:p>
            <w:pPr>
              <w:pStyle w:val="TableContents"/>
              <w:bidi w:val="0"/>
              <w:spacing w:before="0" w:after="283"/>
              <w:jc w:val="right"/>
              <w:rPr/>
            </w:pPr>
            <w:r>
              <w:rPr/>
              <w:t> </w:t>
            </w:r>
          </w:p>
        </w:tc>
        <w:tc>
          <w:tcPr>
            <w:tcW w:w="98" w:type="dxa"/>
            <w:tcBorders>
              <w:bottom w:val="single" w:sz="8" w:space="0" w:color="000000"/>
            </w:tcBorders>
            <w:vAlign w:val="center"/>
          </w:tcPr>
          <w:p>
            <w:pPr>
              <w:pStyle w:val="TableContents"/>
              <w:bidi w:val="0"/>
              <w:spacing w:before="0" w:after="283"/>
              <w:jc w:val="right"/>
              <w:rPr/>
            </w:pPr>
            <w:r>
              <w:rPr/>
              <w:t> </w:t>
            </w:r>
          </w:p>
        </w:tc>
        <w:tc>
          <w:tcPr>
            <w:tcW w:w="1472" w:type="dxa"/>
            <w:gridSpan w:val="2"/>
            <w:tcBorders>
              <w:bottom w:val="single" w:sz="8" w:space="0" w:color="000000"/>
            </w:tcBorders>
            <w:vAlign w:val="center"/>
          </w:tcPr>
          <w:p>
            <w:pPr>
              <w:pStyle w:val="TableContents"/>
              <w:bidi w:val="0"/>
              <w:spacing w:before="0" w:after="283"/>
              <w:jc w:val="right"/>
              <w:rPr>
                <w:b/>
              </w:rPr>
            </w:pPr>
            <w:r>
              <w:rPr>
                <w:b/>
              </w:rPr>
              <w:t xml:space="preserve">December 31, </w:t>
              <w:br/>
              <w:t>2023</w:t>
            </w:r>
          </w:p>
        </w:tc>
        <w:tc>
          <w:tcPr>
            <w:tcW w:w="297" w:type="dxa"/>
            <w:tcBorders>
              <w:bottom w:val="single" w:sz="8" w:space="0" w:color="000000"/>
            </w:tcBorders>
            <w:vAlign w:val="center"/>
          </w:tcPr>
          <w:p>
            <w:pPr>
              <w:pStyle w:val="TableContents"/>
              <w:bidi w:val="0"/>
              <w:spacing w:before="0" w:after="283"/>
              <w:jc w:val="right"/>
              <w:rPr/>
            </w:pPr>
            <w:r>
              <w:rPr/>
              <w:t> </w:t>
            </w:r>
          </w:p>
        </w:tc>
      </w:tr>
      <w:tr>
        <w:trPr/>
        <w:tc>
          <w:tcPr>
            <w:tcW w:w="3924" w:type="dxa"/>
            <w:tcBorders/>
            <w:shd w:fill="CCEEFF" w:val="clear"/>
            <w:tcMar>
              <w:bottom w:w="0" w:type="dxa"/>
            </w:tcMar>
            <w:vAlign w:val="center"/>
          </w:tcPr>
          <w:p>
            <w:pPr>
              <w:pStyle w:val="TableContents"/>
              <w:bidi w:val="0"/>
              <w:spacing w:before="0" w:after="283"/>
              <w:jc w:val="left"/>
              <w:rPr/>
            </w:pPr>
            <w:r>
              <w:rPr/>
              <w:t>Dividend yield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076" w:type="dxa"/>
            <w:tcBorders/>
            <w:shd w:fill="CCEEFF" w:val="clear"/>
            <w:tcMar>
              <w:bottom w:w="0" w:type="dxa"/>
            </w:tcMar>
            <w:vAlign w:val="center"/>
          </w:tcPr>
          <w:p>
            <w:pPr>
              <w:pStyle w:val="TableContents"/>
              <w:bidi w:val="0"/>
              <w:spacing w:before="0" w:after="0"/>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0"/>
              <w:jc w:val="right"/>
              <w:rPr/>
            </w:pPr>
            <w:r>
              <w:rPr/>
              <w:t>—</w:t>
            </w:r>
          </w:p>
        </w:tc>
        <w:tc>
          <w:tcPr>
            <w:tcW w:w="27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0"/>
              <w:jc w:val="right"/>
              <w:rPr/>
            </w:pPr>
            <w:r>
              <w:rPr/>
              <w:t>—</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3924" w:type="dxa"/>
            <w:tcBorders/>
            <w:tcMar>
              <w:bottom w:w="0" w:type="dxa"/>
            </w:tcMar>
            <w:vAlign w:val="center"/>
          </w:tcPr>
          <w:p>
            <w:pPr>
              <w:pStyle w:val="TableContents"/>
              <w:bidi w:val="0"/>
              <w:spacing w:before="0" w:after="283"/>
              <w:jc w:val="left"/>
              <w:rPr/>
            </w:pPr>
            <w:r>
              <w:rPr/>
              <w:t>Expected share price volatility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2076" w:type="dxa"/>
            <w:tcBorders/>
            <w:tcMar>
              <w:bottom w:w="0" w:type="dxa"/>
            </w:tcMar>
            <w:vAlign w:val="center"/>
          </w:tcPr>
          <w:p>
            <w:pPr>
              <w:pStyle w:val="TableContents"/>
              <w:bidi w:val="0"/>
              <w:spacing w:before="0" w:after="283"/>
              <w:jc w:val="right"/>
              <w:rPr/>
            </w:pPr>
            <w:r>
              <w:rPr/>
              <w:t>87</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1365" w:type="dxa"/>
            <w:tcBorders/>
            <w:tcMar>
              <w:bottom w:w="0" w:type="dxa"/>
            </w:tcMar>
            <w:vAlign w:val="center"/>
          </w:tcPr>
          <w:p>
            <w:pPr>
              <w:pStyle w:val="TableContents"/>
              <w:bidi w:val="0"/>
              <w:spacing w:before="0" w:after="283"/>
              <w:jc w:val="right"/>
              <w:rPr/>
            </w:pPr>
            <w:r>
              <w:rPr/>
              <w:t>77</w:t>
            </w:r>
          </w:p>
        </w:tc>
        <w:tc>
          <w:tcPr>
            <w:tcW w:w="270" w:type="dxa"/>
            <w:tcBorders/>
            <w:tcMar>
              <w:bottom w:w="0" w:type="dxa"/>
            </w:tcMar>
            <w:vAlign w:val="center"/>
          </w:tcPr>
          <w:p>
            <w:pPr>
              <w:pStyle w:val="TableContents"/>
              <w:bidi w:val="0"/>
              <w:spacing w:before="0" w:after="283"/>
              <w:jc w:val="left"/>
              <w:rPr/>
            </w:pPr>
            <w:r>
              <w:rPr/>
              <w:t>%</w:t>
            </w:r>
          </w:p>
        </w:tc>
        <w:tc>
          <w:tcPr>
            <w:tcW w:w="98"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1365" w:type="dxa"/>
            <w:tcBorders/>
            <w:tcMar>
              <w:bottom w:w="0" w:type="dxa"/>
            </w:tcMar>
            <w:vAlign w:val="center"/>
          </w:tcPr>
          <w:p>
            <w:pPr>
              <w:pStyle w:val="TableContents"/>
              <w:bidi w:val="0"/>
              <w:spacing w:before="0" w:after="283"/>
              <w:jc w:val="right"/>
              <w:rPr/>
            </w:pPr>
            <w:r>
              <w:rPr/>
              <w:t>91</w:t>
            </w:r>
          </w:p>
        </w:tc>
        <w:tc>
          <w:tcPr>
            <w:tcW w:w="297" w:type="dxa"/>
            <w:tcBorders/>
            <w:tcMar>
              <w:bottom w:w="0" w:type="dxa"/>
            </w:tcMar>
            <w:vAlign w:val="center"/>
          </w:tcPr>
          <w:p>
            <w:pPr>
              <w:pStyle w:val="TableContents"/>
              <w:bidi w:val="0"/>
              <w:spacing w:before="0" w:after="283"/>
              <w:jc w:val="left"/>
              <w:rPr/>
            </w:pPr>
            <w:r>
              <w:rPr/>
              <w:t>%</w:t>
            </w:r>
          </w:p>
        </w:tc>
      </w:tr>
      <w:tr>
        <w:trPr/>
        <w:tc>
          <w:tcPr>
            <w:tcW w:w="3924" w:type="dxa"/>
            <w:tcBorders/>
            <w:shd w:fill="CCEEFF" w:val="clear"/>
            <w:tcMar>
              <w:bottom w:w="0" w:type="dxa"/>
            </w:tcMar>
            <w:vAlign w:val="center"/>
          </w:tcPr>
          <w:p>
            <w:pPr>
              <w:pStyle w:val="TableContents"/>
              <w:bidi w:val="0"/>
              <w:spacing w:before="0" w:after="283"/>
              <w:jc w:val="left"/>
              <w:rPr/>
            </w:pPr>
            <w:r>
              <w:rPr/>
              <w:t>Risk-free interest rate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076" w:type="dxa"/>
            <w:tcBorders/>
            <w:shd w:fill="CCEEFF" w:val="clear"/>
            <w:tcMar>
              <w:bottom w:w="0" w:type="dxa"/>
            </w:tcMar>
            <w:vAlign w:val="center"/>
          </w:tcPr>
          <w:p>
            <w:pPr>
              <w:pStyle w:val="TableContents"/>
              <w:bidi w:val="0"/>
              <w:spacing w:before="0" w:after="283"/>
              <w:jc w:val="right"/>
              <w:rPr/>
            </w:pPr>
            <w:r>
              <w:rPr/>
              <w:t>4.67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283"/>
              <w:jc w:val="right"/>
              <w:rPr/>
            </w:pPr>
            <w:r>
              <w:rPr/>
              <w:t>4.27</w:t>
            </w:r>
          </w:p>
        </w:tc>
        <w:tc>
          <w:tcPr>
            <w:tcW w:w="270" w:type="dxa"/>
            <w:tcBorders/>
            <w:shd w:fill="CCEEFF" w:val="clear"/>
            <w:tcMar>
              <w:bottom w:w="0" w:type="dxa"/>
            </w:tcMar>
            <w:vAlign w:val="center"/>
          </w:tcPr>
          <w:p>
            <w:pPr>
              <w:pStyle w:val="TableContents"/>
              <w:bidi w:val="0"/>
              <w:spacing w:before="0" w:after="283"/>
              <w:jc w:val="left"/>
              <w:rPr/>
            </w:pPr>
            <w:r>
              <w:rPr/>
              <w:t>%</w:t>
            </w:r>
          </w:p>
        </w:tc>
        <w:tc>
          <w:tcPr>
            <w:tcW w:w="98"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283"/>
              <w:jc w:val="right"/>
              <w:rPr/>
            </w:pPr>
            <w:r>
              <w:rPr/>
              <w:t>4.23</w:t>
            </w:r>
          </w:p>
        </w:tc>
        <w:tc>
          <w:tcPr>
            <w:tcW w:w="297" w:type="dxa"/>
            <w:tcBorders/>
            <w:shd w:fill="CCEEFF" w:val="clear"/>
            <w:tcMar>
              <w:bottom w:w="0" w:type="dxa"/>
            </w:tcMar>
            <w:vAlign w:val="center"/>
          </w:tcPr>
          <w:p>
            <w:pPr>
              <w:pStyle w:val="TableContents"/>
              <w:bidi w:val="0"/>
              <w:spacing w:before="0" w:after="283"/>
              <w:jc w:val="left"/>
              <w:rPr/>
            </w:pPr>
            <w:r>
              <w:rPr/>
              <w:t>%</w:t>
            </w:r>
          </w:p>
        </w:tc>
      </w:tr>
      <w:tr>
        <w:trPr/>
        <w:tc>
          <w:tcPr>
            <w:tcW w:w="3924" w:type="dxa"/>
            <w:tcBorders/>
            <w:tcMar>
              <w:bottom w:w="0" w:type="dxa"/>
            </w:tcMar>
            <w:vAlign w:val="center"/>
          </w:tcPr>
          <w:p>
            <w:pPr>
              <w:pStyle w:val="TableContents"/>
              <w:bidi w:val="0"/>
              <w:spacing w:before="0" w:after="283"/>
              <w:jc w:val="left"/>
              <w:rPr/>
            </w:pPr>
            <w:r>
              <w:rPr/>
              <w:t>Expected life of warrants (years)</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2076" w:type="dxa"/>
            <w:tcBorders/>
            <w:tcMar>
              <w:bottom w:w="0" w:type="dxa"/>
            </w:tcMar>
            <w:vAlign w:val="center"/>
          </w:tcPr>
          <w:p>
            <w:pPr>
              <w:pStyle w:val="TableContents"/>
              <w:bidi w:val="0"/>
              <w:spacing w:before="0" w:after="283"/>
              <w:jc w:val="right"/>
              <w:rPr/>
            </w:pPr>
            <w:r>
              <w:rPr/>
              <w:t>2.74</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1365" w:type="dxa"/>
            <w:tcBorders/>
            <w:tcMar>
              <w:bottom w:w="0" w:type="dxa"/>
            </w:tcMar>
            <w:vAlign w:val="center"/>
          </w:tcPr>
          <w:p>
            <w:pPr>
              <w:pStyle w:val="TableContents"/>
              <w:bidi w:val="0"/>
              <w:spacing w:before="0" w:after="283"/>
              <w:jc w:val="right"/>
              <w:rPr/>
            </w:pPr>
            <w:r>
              <w:rPr/>
              <w:t>1.89</w:t>
            </w:r>
          </w:p>
        </w:tc>
        <w:tc>
          <w:tcPr>
            <w:tcW w:w="27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1365" w:type="dxa"/>
            <w:tcBorders/>
            <w:tcMar>
              <w:bottom w:w="0" w:type="dxa"/>
            </w:tcMar>
            <w:vAlign w:val="center"/>
          </w:tcPr>
          <w:p>
            <w:pPr>
              <w:pStyle w:val="TableContents"/>
              <w:bidi w:val="0"/>
              <w:spacing w:before="0" w:after="283"/>
              <w:jc w:val="right"/>
              <w:rPr/>
            </w:pPr>
            <w:r>
              <w:rPr/>
              <w:t>2.90</w:t>
            </w:r>
          </w:p>
        </w:tc>
        <w:tc>
          <w:tcPr>
            <w:tcW w:w="297" w:type="dxa"/>
            <w:tcBorders/>
            <w:tcMar>
              <w:bottom w:w="0" w:type="dxa"/>
            </w:tcMar>
            <w:vAlign w:val="center"/>
          </w:tcPr>
          <w:p>
            <w:pPr>
              <w:pStyle w:val="TableContents"/>
              <w:bidi w:val="0"/>
              <w:spacing w:before="0" w:after="283"/>
              <w:jc w:val="left"/>
              <w:rPr/>
            </w:pPr>
            <w:r>
              <w:rPr/>
              <w:t> </w:t>
            </w:r>
          </w:p>
        </w:tc>
      </w:tr>
      <w:tr>
        <w:trPr/>
        <w:tc>
          <w:tcPr>
            <w:tcW w:w="3924" w:type="dxa"/>
            <w:tcBorders/>
            <w:shd w:fill="CCEEFF" w:val="clear"/>
            <w:tcMar>
              <w:bottom w:w="0" w:type="dxa"/>
            </w:tcMar>
            <w:vAlign w:val="center"/>
          </w:tcPr>
          <w:p>
            <w:pPr>
              <w:pStyle w:val="TableContents"/>
              <w:bidi w:val="0"/>
              <w:spacing w:before="0" w:after="283"/>
              <w:jc w:val="left"/>
              <w:rPr/>
            </w:pPr>
            <w:r>
              <w:rPr/>
              <w:t>Share price (CAD)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076" w:type="dxa"/>
            <w:tcBorders/>
            <w:shd w:fill="CCEEFF" w:val="clear"/>
            <w:tcMar>
              <w:bottom w:w="0" w:type="dxa"/>
            </w:tcMar>
            <w:vAlign w:val="center"/>
          </w:tcPr>
          <w:p>
            <w:pPr>
              <w:pStyle w:val="TableContents"/>
              <w:bidi w:val="0"/>
              <w:spacing w:before="0" w:after="283"/>
              <w:jc w:val="right"/>
              <w:rPr/>
            </w:pPr>
            <w:r>
              <w:rPr/>
              <w:t>4.42</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283"/>
              <w:jc w:val="right"/>
              <w:rPr/>
            </w:pPr>
            <w:r>
              <w:rPr/>
              <w:t>2.13</w:t>
            </w:r>
          </w:p>
        </w:tc>
        <w:tc>
          <w:tcPr>
            <w:tcW w:w="27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283"/>
              <w:jc w:val="right"/>
              <w:rPr/>
            </w:pPr>
            <w:r>
              <w:rPr/>
              <w:t>3.85</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3924" w:type="dxa"/>
            <w:tcBorders/>
            <w:tcMar>
              <w:bottom w:w="0" w:type="dxa"/>
            </w:tcMar>
            <w:vAlign w:val="center"/>
          </w:tcPr>
          <w:p>
            <w:pPr>
              <w:pStyle w:val="TableContents"/>
              <w:bidi w:val="0"/>
              <w:spacing w:before="0" w:after="283"/>
              <w:jc w:val="left"/>
              <w:rPr/>
            </w:pPr>
            <w:r>
              <w:rPr/>
              <w:t>Exercise price (USD)</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2076" w:type="dxa"/>
            <w:tcBorders/>
            <w:tcMar>
              <w:bottom w:w="0" w:type="dxa"/>
            </w:tcMar>
            <w:vAlign w:val="center"/>
          </w:tcPr>
          <w:p>
            <w:pPr>
              <w:pStyle w:val="TableContents"/>
              <w:bidi w:val="0"/>
              <w:spacing w:before="0" w:after="283"/>
              <w:jc w:val="right"/>
              <w:rPr/>
            </w:pPr>
            <w:r>
              <w:rPr/>
              <w:t>1.17</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1365" w:type="dxa"/>
            <w:tcBorders/>
            <w:tcMar>
              <w:bottom w:w="0" w:type="dxa"/>
            </w:tcMar>
            <w:vAlign w:val="center"/>
          </w:tcPr>
          <w:p>
            <w:pPr>
              <w:pStyle w:val="TableContents"/>
              <w:bidi w:val="0"/>
              <w:spacing w:before="0" w:after="283"/>
              <w:jc w:val="right"/>
              <w:rPr/>
            </w:pPr>
            <w:r>
              <w:rPr/>
              <w:t>1.17</w:t>
            </w:r>
          </w:p>
        </w:tc>
        <w:tc>
          <w:tcPr>
            <w:tcW w:w="27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1365" w:type="dxa"/>
            <w:tcBorders/>
            <w:tcMar>
              <w:bottom w:w="0" w:type="dxa"/>
            </w:tcMar>
            <w:vAlign w:val="center"/>
          </w:tcPr>
          <w:p>
            <w:pPr>
              <w:pStyle w:val="TableContents"/>
              <w:bidi w:val="0"/>
              <w:spacing w:before="0" w:after="283"/>
              <w:jc w:val="right"/>
              <w:rPr/>
            </w:pPr>
            <w:r>
              <w:rPr/>
              <w:t>1.17</w:t>
            </w:r>
          </w:p>
        </w:tc>
        <w:tc>
          <w:tcPr>
            <w:tcW w:w="297" w:type="dxa"/>
            <w:tcBorders/>
            <w:tcMar>
              <w:bottom w:w="0" w:type="dxa"/>
            </w:tcMar>
            <w:vAlign w:val="center"/>
          </w:tcPr>
          <w:p>
            <w:pPr>
              <w:pStyle w:val="TableContents"/>
              <w:bidi w:val="0"/>
              <w:spacing w:before="0" w:after="283"/>
              <w:jc w:val="left"/>
              <w:rPr/>
            </w:pPr>
            <w:r>
              <w:rPr/>
              <w:t> </w:t>
            </w:r>
          </w:p>
        </w:tc>
      </w:tr>
      <w:tr>
        <w:trPr/>
        <w:tc>
          <w:tcPr>
            <w:tcW w:w="3924" w:type="dxa"/>
            <w:tcBorders/>
            <w:shd w:fill="CCEEFF" w:val="clear"/>
            <w:tcMar>
              <w:bottom w:w="0" w:type="dxa"/>
            </w:tcMar>
            <w:vAlign w:val="center"/>
          </w:tcPr>
          <w:p>
            <w:pPr>
              <w:pStyle w:val="TableContents"/>
              <w:bidi w:val="0"/>
              <w:spacing w:before="0" w:after="283"/>
              <w:jc w:val="left"/>
              <w:rPr/>
            </w:pPr>
            <w:r>
              <w:rPr/>
              <w:t>Fair value of warrants (USD)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076" w:type="dxa"/>
            <w:tcBorders/>
            <w:shd w:fill="CCEEFF" w:val="clear"/>
            <w:tcMar>
              <w:bottom w:w="0" w:type="dxa"/>
            </w:tcMar>
            <w:vAlign w:val="center"/>
          </w:tcPr>
          <w:p>
            <w:pPr>
              <w:pStyle w:val="TableContents"/>
              <w:bidi w:val="0"/>
              <w:spacing w:before="0" w:after="283"/>
              <w:jc w:val="right"/>
              <w:rPr/>
            </w:pPr>
            <w:r>
              <w:rPr/>
              <w:t>2.51</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283"/>
              <w:jc w:val="right"/>
              <w:rPr/>
            </w:pPr>
            <w:r>
              <w:rPr/>
              <w:t>0.74</w:t>
            </w:r>
          </w:p>
        </w:tc>
        <w:tc>
          <w:tcPr>
            <w:tcW w:w="27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283"/>
              <w:jc w:val="right"/>
              <w:rPr/>
            </w:pPr>
            <w:r>
              <w:rPr/>
              <w:t>2.15</w:t>
            </w:r>
          </w:p>
        </w:tc>
        <w:tc>
          <w:tcPr>
            <w:tcW w:w="297" w:type="dxa"/>
            <w:tcBorders/>
            <w:shd w:fill="CCEEFF" w:val="clear"/>
            <w:tcMar>
              <w:bottom w:w="0" w:type="dxa"/>
            </w:tcMar>
            <w:vAlign w:val="center"/>
          </w:tcPr>
          <w:p>
            <w:pPr>
              <w:pStyle w:val="TableContents"/>
              <w:bidi w:val="0"/>
              <w:spacing w:before="0" w:after="283"/>
              <w:jc w:val="left"/>
              <w:rPr/>
            </w:pPr>
            <w:r>
              <w:rPr/>
              <w:t> </w:t>
            </w:r>
          </w:p>
        </w:tc>
      </w:tr>
      <w:tr>
        <w:trPr/>
        <w:tc>
          <w:tcPr>
            <w:tcW w:w="3924" w:type="dxa"/>
            <w:tcBorders>
              <w:bottom w:val="single" w:sz="12" w:space="0" w:color="000000"/>
            </w:tcBorders>
            <w:vAlign w:val="center"/>
          </w:tcPr>
          <w:p>
            <w:pPr>
              <w:pStyle w:val="TableContents"/>
              <w:bidi w:val="0"/>
              <w:spacing w:before="0" w:after="283"/>
              <w:jc w:val="left"/>
              <w:rPr/>
            </w:pPr>
            <w:r>
              <w:rPr/>
              <w:t>Number of warrants (exercised) outstanding</w:t>
            </w:r>
          </w:p>
        </w:tc>
        <w:tc>
          <w:tcPr>
            <w:tcW w:w="90" w:type="dxa"/>
            <w:tcBorders>
              <w:bottom w:val="single" w:sz="12" w:space="0" w:color="000000"/>
            </w:tcBorders>
            <w:vAlign w:val="center"/>
          </w:tcPr>
          <w:p>
            <w:pPr>
              <w:pStyle w:val="TableContents"/>
              <w:bidi w:val="0"/>
              <w:spacing w:before="0" w:after="283"/>
              <w:jc w:val="left"/>
              <w:rPr/>
            </w:pPr>
            <w:r>
              <w:rPr/>
              <w:t> </w:t>
            </w:r>
          </w:p>
        </w:tc>
        <w:tc>
          <w:tcPr>
            <w:tcW w:w="171" w:type="dxa"/>
            <w:tcBorders>
              <w:bottom w:val="single" w:sz="12" w:space="0" w:color="000000"/>
            </w:tcBorders>
            <w:vAlign w:val="center"/>
          </w:tcPr>
          <w:p>
            <w:pPr>
              <w:pStyle w:val="TableContents"/>
              <w:bidi w:val="0"/>
              <w:spacing w:before="0" w:after="283"/>
              <w:jc w:val="left"/>
              <w:rPr/>
            </w:pPr>
            <w:r>
              <w:rPr/>
              <w:t> </w:t>
            </w:r>
          </w:p>
        </w:tc>
        <w:tc>
          <w:tcPr>
            <w:tcW w:w="2076" w:type="dxa"/>
            <w:tcBorders>
              <w:bottom w:val="single" w:sz="12" w:space="0" w:color="000000"/>
            </w:tcBorders>
            <w:vAlign w:val="center"/>
          </w:tcPr>
          <w:p>
            <w:pPr>
              <w:pStyle w:val="TableContents"/>
              <w:bidi w:val="0"/>
              <w:spacing w:before="0" w:after="283"/>
              <w:jc w:val="right"/>
              <w:rPr/>
            </w:pPr>
            <w:r>
              <w:rPr/>
              <w:t>(5,111,111</w:t>
            </w:r>
          </w:p>
        </w:tc>
        <w:tc>
          <w:tcPr>
            <w:tcW w:w="245" w:type="dxa"/>
            <w:tcBorders>
              <w:bottom w:val="single" w:sz="12" w:space="0" w:color="000000"/>
            </w:tcBorders>
            <w:vAlign w:val="center"/>
          </w:tcPr>
          <w:p>
            <w:pPr>
              <w:pStyle w:val="TableContents"/>
              <w:bidi w:val="0"/>
              <w:spacing w:before="0" w:after="283"/>
              <w:jc w:val="left"/>
              <w:rPr/>
            </w:pPr>
            <w:r>
              <w:rPr/>
              <w:t>)</w:t>
            </w:r>
          </w:p>
        </w:tc>
        <w:tc>
          <w:tcPr>
            <w:tcW w:w="90" w:type="dxa"/>
            <w:tcBorders>
              <w:bottom w:val="single" w:sz="12" w:space="0" w:color="000000"/>
            </w:tcBorders>
            <w:vAlign w:val="center"/>
          </w:tcPr>
          <w:p>
            <w:pPr>
              <w:pStyle w:val="TableContents"/>
              <w:bidi w:val="0"/>
              <w:spacing w:before="0" w:after="283"/>
              <w:jc w:val="left"/>
              <w:rPr/>
            </w:pPr>
            <w:r>
              <w:rPr/>
              <w:t> </w:t>
            </w:r>
          </w:p>
        </w:tc>
        <w:tc>
          <w:tcPr>
            <w:tcW w:w="107" w:type="dxa"/>
            <w:tcBorders>
              <w:bottom w:val="single" w:sz="12" w:space="0" w:color="000000"/>
            </w:tcBorders>
            <w:vAlign w:val="center"/>
          </w:tcPr>
          <w:p>
            <w:pPr>
              <w:pStyle w:val="TableContents"/>
              <w:bidi w:val="0"/>
              <w:spacing w:before="0" w:after="283"/>
              <w:jc w:val="left"/>
              <w:rPr/>
            </w:pPr>
            <w:r>
              <w:rPr/>
              <w:t> </w:t>
            </w:r>
          </w:p>
        </w:tc>
        <w:tc>
          <w:tcPr>
            <w:tcW w:w="1365" w:type="dxa"/>
            <w:tcBorders>
              <w:bottom w:val="single" w:sz="12" w:space="0" w:color="000000"/>
            </w:tcBorders>
            <w:vAlign w:val="center"/>
          </w:tcPr>
          <w:p>
            <w:pPr>
              <w:pStyle w:val="TableContents"/>
              <w:bidi w:val="0"/>
              <w:spacing w:before="0" w:after="283"/>
              <w:jc w:val="right"/>
              <w:rPr/>
            </w:pPr>
            <w:r>
              <w:rPr/>
              <w:t>10,841,482</w:t>
            </w:r>
          </w:p>
        </w:tc>
        <w:tc>
          <w:tcPr>
            <w:tcW w:w="270" w:type="dxa"/>
            <w:tcBorders>
              <w:bottom w:val="single" w:sz="12" w:space="0" w:color="000000"/>
            </w:tcBorders>
            <w:vAlign w:val="center"/>
          </w:tcPr>
          <w:p>
            <w:pPr>
              <w:pStyle w:val="TableContents"/>
              <w:bidi w:val="0"/>
              <w:spacing w:before="0" w:after="283"/>
              <w:jc w:val="left"/>
              <w:rPr/>
            </w:pPr>
            <w:r>
              <w:rPr/>
              <w:t> </w:t>
            </w:r>
          </w:p>
        </w:tc>
        <w:tc>
          <w:tcPr>
            <w:tcW w:w="98" w:type="dxa"/>
            <w:tcBorders>
              <w:bottom w:val="single" w:sz="12" w:space="0" w:color="000000"/>
            </w:tcBorders>
            <w:vAlign w:val="center"/>
          </w:tcPr>
          <w:p>
            <w:pPr>
              <w:pStyle w:val="TableContents"/>
              <w:bidi w:val="0"/>
              <w:spacing w:before="0" w:after="283"/>
              <w:jc w:val="left"/>
              <w:rPr/>
            </w:pPr>
            <w:r>
              <w:rPr/>
              <w:t> </w:t>
            </w:r>
          </w:p>
        </w:tc>
        <w:tc>
          <w:tcPr>
            <w:tcW w:w="107" w:type="dxa"/>
            <w:tcBorders>
              <w:bottom w:val="single" w:sz="12" w:space="0" w:color="000000"/>
            </w:tcBorders>
            <w:vAlign w:val="center"/>
          </w:tcPr>
          <w:p>
            <w:pPr>
              <w:pStyle w:val="TableContents"/>
              <w:bidi w:val="0"/>
              <w:spacing w:before="0" w:after="283"/>
              <w:jc w:val="left"/>
              <w:rPr/>
            </w:pPr>
            <w:r>
              <w:rPr/>
              <w:t> </w:t>
            </w:r>
          </w:p>
        </w:tc>
        <w:tc>
          <w:tcPr>
            <w:tcW w:w="1365" w:type="dxa"/>
            <w:tcBorders>
              <w:bottom w:val="single" w:sz="12" w:space="0" w:color="000000"/>
            </w:tcBorders>
            <w:vAlign w:val="center"/>
          </w:tcPr>
          <w:p>
            <w:pPr>
              <w:pStyle w:val="TableContents"/>
              <w:bidi w:val="0"/>
              <w:spacing w:before="0" w:after="283"/>
              <w:jc w:val="right"/>
              <w:rPr/>
            </w:pPr>
            <w:r>
              <w:rPr/>
              <w:t>15,952,593</w:t>
            </w:r>
          </w:p>
        </w:tc>
        <w:tc>
          <w:tcPr>
            <w:tcW w:w="297"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warrants and broker warrants</w:t>
      </w:r>
    </w:p>
    <w:p>
      <w:pPr>
        <w:pStyle w:val="TextBody"/>
        <w:bidi w:val="0"/>
        <w:spacing w:before="0" w:after="0"/>
        <w:jc w:val="both"/>
        <w:rPr>
          <w:caps w:val="false"/>
          <w:smallCaps w:val="false"/>
        </w:rPr>
      </w:pPr>
      <w:r>
        <w:rPr>
          <w:caps w:val="false"/>
          <w:smallCaps w:val="false"/>
        </w:rPr>
        <w:t> </w:t>
      </w:r>
    </w:p>
    <w:tbl>
      <w:tblPr>
        <w:tblW w:w="5714" w:type="dxa"/>
        <w:jc w:val="left"/>
        <w:tblInd w:w="0" w:type="dxa"/>
        <w:tblLayout w:type="fixed"/>
        <w:tblCellMar>
          <w:top w:w="0" w:type="dxa"/>
          <w:left w:w="0" w:type="dxa"/>
          <w:bottom w:w="28" w:type="dxa"/>
          <w:right w:w="0" w:type="dxa"/>
        </w:tblCellMar>
      </w:tblPr>
      <w:tblGrid>
        <w:gridCol w:w="3320"/>
        <w:gridCol w:w="90"/>
        <w:gridCol w:w="148"/>
        <w:gridCol w:w="1866"/>
        <w:gridCol w:w="290"/>
      </w:tblGrid>
      <w:tr>
        <w:trPr/>
        <w:tc>
          <w:tcPr>
            <w:tcW w:w="3320" w:type="dxa"/>
            <w:tcBorders>
              <w:bottom w:val="single" w:sz="8" w:space="0" w:color="000000"/>
            </w:tcBorders>
            <w:vAlign w:val="center"/>
          </w:tcPr>
          <w:p>
            <w:pPr>
              <w:pStyle w:val="TableContents"/>
              <w:bidi w:val="0"/>
              <w:spacing w:before="0" w:after="283"/>
              <w:jc w:val="center"/>
              <w:rPr/>
            </w:pPr>
            <w:r>
              <w:rPr/>
              <w:t> </w:t>
            </w:r>
          </w:p>
        </w:tc>
        <w:tc>
          <w:tcPr>
            <w:tcW w:w="90" w:type="dxa"/>
            <w:tcBorders>
              <w:bottom w:val="single" w:sz="8" w:space="0" w:color="000000"/>
            </w:tcBorders>
            <w:vAlign w:val="center"/>
          </w:tcPr>
          <w:p>
            <w:pPr>
              <w:pStyle w:val="TableContents"/>
              <w:bidi w:val="0"/>
              <w:spacing w:before="0" w:after="283"/>
              <w:jc w:val="center"/>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 xml:space="preserve">Remeasurement at </w:t>
              <w:br/>
              <w:t>period end</w:t>
            </w:r>
          </w:p>
        </w:tc>
        <w:tc>
          <w:tcPr>
            <w:tcW w:w="290" w:type="dxa"/>
            <w:tcBorders>
              <w:bottom w:val="single" w:sz="8" w:space="0" w:color="000000"/>
            </w:tcBorders>
            <w:vAlign w:val="center"/>
          </w:tcPr>
          <w:p>
            <w:pPr>
              <w:pStyle w:val="TableContents"/>
              <w:bidi w:val="0"/>
              <w:spacing w:before="0" w:after="283"/>
              <w:jc w:val="center"/>
              <w:rPr/>
            </w:pPr>
            <w:r>
              <w:rPr/>
              <w:t> </w:t>
            </w:r>
          </w:p>
        </w:tc>
      </w:tr>
      <w:tr>
        <w:trPr/>
        <w:tc>
          <w:tcPr>
            <w:tcW w:w="3320" w:type="dxa"/>
            <w:tcBorders>
              <w:bottom w:val="single" w:sz="8" w:space="0" w:color="000000"/>
            </w:tcBorders>
            <w:vAlign w:val="center"/>
          </w:tcPr>
          <w:p>
            <w:pPr>
              <w:pStyle w:val="TableContents"/>
              <w:bidi w:val="0"/>
              <w:spacing w:before="0" w:after="283"/>
              <w:jc w:val="left"/>
              <w:rPr>
                <w:b/>
              </w:rPr>
            </w:pPr>
            <w:r>
              <w:rPr>
                <w:b/>
              </w:rPr>
              <w:t>Measurement date</w:t>
            </w:r>
          </w:p>
        </w:tc>
        <w:tc>
          <w:tcPr>
            <w:tcW w:w="90" w:type="dxa"/>
            <w:tcBorders>
              <w:bottom w:val="single" w:sz="8" w:space="0" w:color="000000"/>
            </w:tcBorders>
            <w:vAlign w:val="center"/>
          </w:tcPr>
          <w:p>
            <w:pPr>
              <w:pStyle w:val="TableContents"/>
              <w:bidi w:val="0"/>
              <w:spacing w:before="0" w:after="283"/>
              <w:jc w:val="center"/>
              <w:rPr/>
            </w:pPr>
            <w:r>
              <w:rPr/>
              <w:t> </w:t>
            </w:r>
          </w:p>
        </w:tc>
        <w:tc>
          <w:tcPr>
            <w:tcW w:w="2014" w:type="dxa"/>
            <w:gridSpan w:val="2"/>
            <w:tcBorders>
              <w:bottom w:val="single" w:sz="8" w:space="0" w:color="000000"/>
            </w:tcBorders>
            <w:vAlign w:val="center"/>
          </w:tcPr>
          <w:p>
            <w:pPr>
              <w:pStyle w:val="TableContents"/>
              <w:bidi w:val="0"/>
              <w:spacing w:before="0" w:after="283"/>
              <w:jc w:val="right"/>
              <w:rPr>
                <w:b/>
              </w:rPr>
            </w:pPr>
            <w:r>
              <w:rPr>
                <w:b/>
              </w:rPr>
              <w:t>December 31, 2023</w:t>
            </w:r>
          </w:p>
        </w:tc>
        <w:tc>
          <w:tcPr>
            <w:tcW w:w="290" w:type="dxa"/>
            <w:tcBorders>
              <w:bottom w:val="single" w:sz="8" w:space="0" w:color="000000"/>
            </w:tcBorders>
            <w:vAlign w:val="center"/>
          </w:tcPr>
          <w:p>
            <w:pPr>
              <w:pStyle w:val="TableContents"/>
              <w:bidi w:val="0"/>
              <w:spacing w:before="0" w:after="283"/>
              <w:jc w:val="center"/>
              <w:rPr/>
            </w:pPr>
            <w:r>
              <w:rPr/>
              <w:t> </w:t>
            </w:r>
          </w:p>
        </w:tc>
      </w:tr>
      <w:tr>
        <w:trPr/>
        <w:tc>
          <w:tcPr>
            <w:tcW w:w="3320" w:type="dxa"/>
            <w:tcBorders/>
            <w:shd w:fill="CCEEFF" w:val="clear"/>
            <w:tcMar>
              <w:bottom w:w="0" w:type="dxa"/>
            </w:tcMar>
            <w:vAlign w:val="center"/>
          </w:tcPr>
          <w:p>
            <w:pPr>
              <w:pStyle w:val="TableContents"/>
              <w:bidi w:val="0"/>
              <w:spacing w:before="0" w:after="283"/>
              <w:jc w:val="left"/>
              <w:rPr/>
            </w:pPr>
            <w:r>
              <w:rPr/>
              <w:t>Dividend yield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866" w:type="dxa"/>
            <w:tcBorders/>
            <w:shd w:fill="CCEEFF" w:val="clear"/>
            <w:tcMar>
              <w:bottom w:w="0" w:type="dxa"/>
            </w:tcMar>
            <w:vAlign w:val="center"/>
          </w:tcPr>
          <w:p>
            <w:pPr>
              <w:pStyle w:val="TableContents"/>
              <w:bidi w:val="0"/>
              <w:spacing w:before="0" w:after="0"/>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tcMar>
              <w:bottom w:w="0" w:type="dxa"/>
            </w:tcMar>
            <w:vAlign w:val="center"/>
          </w:tcPr>
          <w:p>
            <w:pPr>
              <w:pStyle w:val="TableContents"/>
              <w:bidi w:val="0"/>
              <w:spacing w:before="0" w:after="283"/>
              <w:jc w:val="left"/>
              <w:rPr/>
            </w:pPr>
            <w:r>
              <w:rPr/>
              <w:t>Expected share price volatility (%)</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866" w:type="dxa"/>
            <w:tcBorders/>
            <w:tcMar>
              <w:bottom w:w="0" w:type="dxa"/>
            </w:tcMar>
            <w:vAlign w:val="center"/>
          </w:tcPr>
          <w:p>
            <w:pPr>
              <w:pStyle w:val="TableContents"/>
              <w:bidi w:val="0"/>
              <w:spacing w:before="0" w:after="283"/>
              <w:jc w:val="right"/>
              <w:rPr/>
            </w:pPr>
            <w:r>
              <w:rPr/>
              <w:t>82</w:t>
            </w:r>
          </w:p>
        </w:tc>
        <w:tc>
          <w:tcPr>
            <w:tcW w:w="290" w:type="dxa"/>
            <w:tcBorders/>
            <w:tcMar>
              <w:bottom w:w="0" w:type="dxa"/>
            </w:tcMar>
            <w:vAlign w:val="center"/>
          </w:tcPr>
          <w:p>
            <w:pPr>
              <w:pStyle w:val="TableContents"/>
              <w:bidi w:val="0"/>
              <w:spacing w:before="0" w:after="283"/>
              <w:jc w:val="left"/>
              <w:rPr/>
            </w:pPr>
            <w:r>
              <w:rPr/>
              <w:t>%</w:t>
            </w:r>
          </w:p>
        </w:tc>
      </w:tr>
      <w:tr>
        <w:trPr/>
        <w:tc>
          <w:tcPr>
            <w:tcW w:w="3320" w:type="dxa"/>
            <w:tcBorders/>
            <w:shd w:fill="CCEEFF" w:val="clear"/>
            <w:tcMar>
              <w:bottom w:w="0" w:type="dxa"/>
            </w:tcMar>
            <w:vAlign w:val="center"/>
          </w:tcPr>
          <w:p>
            <w:pPr>
              <w:pStyle w:val="TableContents"/>
              <w:bidi w:val="0"/>
              <w:spacing w:before="0" w:after="283"/>
              <w:jc w:val="left"/>
              <w:rPr/>
            </w:pPr>
            <w:r>
              <w:rPr/>
              <w:t>Risk-free interest rate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866" w:type="dxa"/>
            <w:tcBorders/>
            <w:shd w:fill="CCEEFF" w:val="clear"/>
            <w:tcMar>
              <w:bottom w:w="0" w:type="dxa"/>
            </w:tcMar>
            <w:vAlign w:val="center"/>
          </w:tcPr>
          <w:p>
            <w:pPr>
              <w:pStyle w:val="TableContents"/>
              <w:bidi w:val="0"/>
              <w:spacing w:before="0" w:after="283"/>
              <w:jc w:val="right"/>
              <w:rPr/>
            </w:pPr>
            <w:r>
              <w:rPr/>
              <w:t>4.23</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320" w:type="dxa"/>
            <w:tcBorders/>
            <w:tcMar>
              <w:bottom w:w="0" w:type="dxa"/>
            </w:tcMar>
            <w:vAlign w:val="center"/>
          </w:tcPr>
          <w:p>
            <w:pPr>
              <w:pStyle w:val="TableContents"/>
              <w:bidi w:val="0"/>
              <w:spacing w:before="0" w:after="283"/>
              <w:jc w:val="left"/>
              <w:rPr/>
            </w:pPr>
            <w:r>
              <w:rPr/>
              <w:t>Expected life of warrants (years)</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866" w:type="dxa"/>
            <w:tcBorders/>
            <w:tcMar>
              <w:bottom w:w="0" w:type="dxa"/>
            </w:tcMar>
            <w:vAlign w:val="center"/>
          </w:tcPr>
          <w:p>
            <w:pPr>
              <w:pStyle w:val="TableContents"/>
              <w:bidi w:val="0"/>
              <w:spacing w:before="0" w:after="283"/>
              <w:jc w:val="right"/>
              <w:rPr/>
            </w:pPr>
            <w:r>
              <w:rPr/>
              <w:t>0.46</w:t>
            </w:r>
          </w:p>
        </w:tc>
        <w:tc>
          <w:tcPr>
            <w:tcW w:w="290" w:type="dxa"/>
            <w:tcBorders/>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283"/>
              <w:jc w:val="left"/>
              <w:rPr/>
            </w:pPr>
            <w:r>
              <w:rPr/>
              <w:t>Share price (CAD)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866" w:type="dxa"/>
            <w:tcBorders/>
            <w:shd w:fill="CCEEFF" w:val="clear"/>
            <w:tcMar>
              <w:bottom w:w="0" w:type="dxa"/>
            </w:tcMar>
            <w:vAlign w:val="center"/>
          </w:tcPr>
          <w:p>
            <w:pPr>
              <w:pStyle w:val="TableContents"/>
              <w:bidi w:val="0"/>
              <w:spacing w:before="0" w:after="283"/>
              <w:jc w:val="right"/>
              <w:rPr/>
            </w:pPr>
            <w:r>
              <w:rPr/>
              <w:t>3.85</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tcMar>
              <w:bottom w:w="0" w:type="dxa"/>
            </w:tcMar>
            <w:vAlign w:val="center"/>
          </w:tcPr>
          <w:p>
            <w:pPr>
              <w:pStyle w:val="TableContents"/>
              <w:bidi w:val="0"/>
              <w:spacing w:before="0" w:after="283"/>
              <w:jc w:val="left"/>
              <w:rPr/>
            </w:pPr>
            <w:r>
              <w:rPr/>
              <w:t>Exercise price (USD)</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1866" w:type="dxa"/>
            <w:tcBorders/>
            <w:tcMar>
              <w:bottom w:w="0" w:type="dxa"/>
            </w:tcMar>
            <w:vAlign w:val="center"/>
          </w:tcPr>
          <w:p>
            <w:pPr>
              <w:pStyle w:val="TableContents"/>
              <w:bidi w:val="0"/>
              <w:spacing w:before="0" w:after="283"/>
              <w:jc w:val="right"/>
              <w:rPr/>
            </w:pPr>
            <w:r>
              <w:rPr/>
              <w:t>4.20</w:t>
            </w:r>
          </w:p>
        </w:tc>
        <w:tc>
          <w:tcPr>
            <w:tcW w:w="290" w:type="dxa"/>
            <w:tcBorders/>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283"/>
              <w:jc w:val="left"/>
              <w:rPr/>
            </w:pPr>
            <w:r>
              <w:rPr/>
              <w:t>Fair value of warrants (USD)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1866" w:type="dxa"/>
            <w:tcBorders/>
            <w:shd w:fill="CCEEFF" w:val="clear"/>
            <w:tcMar>
              <w:bottom w:w="0" w:type="dxa"/>
            </w:tcMar>
            <w:vAlign w:val="center"/>
          </w:tcPr>
          <w:p>
            <w:pPr>
              <w:pStyle w:val="TableContents"/>
              <w:bidi w:val="0"/>
              <w:spacing w:before="0" w:after="283"/>
              <w:jc w:val="right"/>
              <w:rPr/>
            </w:pPr>
            <w:r>
              <w:rPr/>
              <w:t>0.32</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bottom w:val="single" w:sz="12" w:space="0" w:color="000000"/>
            </w:tcBorders>
            <w:vAlign w:val="center"/>
          </w:tcPr>
          <w:p>
            <w:pPr>
              <w:pStyle w:val="TableContents"/>
              <w:bidi w:val="0"/>
              <w:spacing w:before="0" w:after="283"/>
              <w:jc w:val="left"/>
              <w:rPr/>
            </w:pPr>
            <w:r>
              <w:rPr/>
              <w:t>Number of warrants outstanding</w:t>
            </w:r>
          </w:p>
        </w:tc>
        <w:tc>
          <w:tcPr>
            <w:tcW w:w="90" w:type="dxa"/>
            <w:tcBorders>
              <w:bottom w:val="single" w:sz="12" w:space="0" w:color="000000"/>
            </w:tcBorders>
            <w:vAlign w:val="center"/>
          </w:tcPr>
          <w:p>
            <w:pPr>
              <w:pStyle w:val="TableContents"/>
              <w:bidi w:val="0"/>
              <w:spacing w:before="0" w:after="283"/>
              <w:jc w:val="left"/>
              <w:rPr/>
            </w:pPr>
            <w:r>
              <w:rPr/>
              <w:t> </w:t>
            </w:r>
          </w:p>
        </w:tc>
        <w:tc>
          <w:tcPr>
            <w:tcW w:w="148" w:type="dxa"/>
            <w:tcBorders>
              <w:bottom w:val="single" w:sz="12" w:space="0" w:color="000000"/>
            </w:tcBorders>
            <w:vAlign w:val="center"/>
          </w:tcPr>
          <w:p>
            <w:pPr>
              <w:pStyle w:val="TableContents"/>
              <w:bidi w:val="0"/>
              <w:spacing w:before="0" w:after="283"/>
              <w:jc w:val="left"/>
              <w:rPr/>
            </w:pPr>
            <w:r>
              <w:rPr/>
              <w:t> </w:t>
            </w:r>
          </w:p>
        </w:tc>
        <w:tc>
          <w:tcPr>
            <w:tcW w:w="1866" w:type="dxa"/>
            <w:tcBorders>
              <w:bottom w:val="single" w:sz="12" w:space="0" w:color="000000"/>
            </w:tcBorders>
            <w:vAlign w:val="center"/>
          </w:tcPr>
          <w:p>
            <w:pPr>
              <w:pStyle w:val="TableContents"/>
              <w:bidi w:val="0"/>
              <w:spacing w:before="0" w:after="283"/>
              <w:jc w:val="right"/>
              <w:rPr/>
            </w:pPr>
            <w:r>
              <w:rPr/>
              <w:t>19,127,797</w:t>
            </w:r>
          </w:p>
        </w:tc>
        <w:tc>
          <w:tcPr>
            <w:tcW w:w="2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54 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7" w:name="a_026"/>
      <w:bookmarkStart w:id="58" w:name="a_026"/>
      <w:bookmarkEnd w:id="58"/>
    </w:p>
    <w:tbl>
      <w:tblPr>
        <w:tblW w:w="3528" w:type="dxa"/>
        <w:jc w:val="left"/>
        <w:tblInd w:w="0" w:type="dxa"/>
        <w:tblLayout w:type="fixed"/>
        <w:tblCellMar>
          <w:top w:w="0" w:type="dxa"/>
          <w:left w:w="0" w:type="dxa"/>
          <w:bottom w:w="0" w:type="dxa"/>
          <w:right w:w="0" w:type="dxa"/>
        </w:tblCellMar>
      </w:tblPr>
      <w:tblGrid>
        <w:gridCol w:w="68"/>
        <w:gridCol w:w="1115"/>
        <w:gridCol w:w="234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18:</w:t>
            </w:r>
          </w:p>
        </w:tc>
        <w:tc>
          <w:tcPr>
            <w:tcW w:w="2345" w:type="dxa"/>
            <w:tcBorders/>
            <w:vAlign w:val="center"/>
          </w:tcPr>
          <w:p>
            <w:pPr>
              <w:pStyle w:val="TableContents"/>
              <w:bidi w:val="0"/>
              <w:spacing w:before="0" w:after="283"/>
              <w:jc w:val="both"/>
              <w:rPr>
                <w:b/>
              </w:rPr>
            </w:pPr>
            <w:r>
              <w:rPr>
                <w:b/>
              </w:rPr>
              <w:t>LONG-TERM DEBT</w:t>
            </w:r>
          </w:p>
        </w:tc>
      </w:tr>
    </w:tbl>
    <w:p>
      <w:pPr>
        <w:pStyle w:val="TextBody"/>
        <w:bidi w:val="0"/>
        <w:spacing w:before="0" w:after="0"/>
        <w:jc w:val="both"/>
        <w:rPr>
          <w:caps w:val="false"/>
          <w:smallCaps w:val="false"/>
        </w:rPr>
      </w:pPr>
      <w:r>
        <w:rPr>
          <w:caps w:val="false"/>
          <w:smallCaps w:val="false"/>
        </w:rPr>
        <w:t> </w:t>
      </w:r>
    </w:p>
    <w:tbl>
      <w:tblPr>
        <w:tblW w:w="8438" w:type="dxa"/>
        <w:jc w:val="left"/>
        <w:tblInd w:w="0" w:type="dxa"/>
        <w:tblLayout w:type="fixed"/>
        <w:tblCellMar>
          <w:top w:w="0" w:type="dxa"/>
          <w:left w:w="0" w:type="dxa"/>
          <w:bottom w:w="28" w:type="dxa"/>
          <w:right w:w="0" w:type="dxa"/>
        </w:tblCellMar>
      </w:tblPr>
      <w:tblGrid>
        <w:gridCol w:w="3965"/>
        <w:gridCol w:w="90"/>
        <w:gridCol w:w="267"/>
        <w:gridCol w:w="1762"/>
        <w:gridCol w:w="125"/>
        <w:gridCol w:w="90"/>
        <w:gridCol w:w="234"/>
        <w:gridCol w:w="1735"/>
        <w:gridCol w:w="170"/>
      </w:tblGrid>
      <w:tr>
        <w:trPr/>
        <w:tc>
          <w:tcPr>
            <w:tcW w:w="3965" w:type="dxa"/>
            <w:tcBorders>
              <w:bottom w:val="single" w:sz="8" w:space="0" w:color="000000"/>
            </w:tcBorders>
            <w:vAlign w:val="center"/>
          </w:tcPr>
          <w:p>
            <w:pPr>
              <w:pStyle w:val="TableContents"/>
              <w:bidi w:val="0"/>
              <w:spacing w:before="0" w:after="283"/>
              <w:jc w:val="center"/>
              <w:rPr/>
            </w:pPr>
            <w:r>
              <w:rPr/>
              <w:t> </w:t>
            </w:r>
          </w:p>
        </w:tc>
        <w:tc>
          <w:tcPr>
            <w:tcW w:w="90" w:type="dxa"/>
            <w:tcBorders>
              <w:bottom w:val="single" w:sz="8" w:space="0" w:color="000000"/>
            </w:tcBorders>
            <w:vAlign w:val="center"/>
          </w:tcPr>
          <w:p>
            <w:pPr>
              <w:pStyle w:val="TableContents"/>
              <w:bidi w:val="0"/>
              <w:spacing w:before="0" w:after="283"/>
              <w:jc w:val="center"/>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125" w:type="dxa"/>
            <w:tcBorders>
              <w:bottom w:val="single" w:sz="8" w:space="0" w:color="000000"/>
            </w:tcBorders>
            <w:vAlign w:val="center"/>
          </w:tcPr>
          <w:p>
            <w:pPr>
              <w:pStyle w:val="TableContents"/>
              <w:bidi w:val="0"/>
              <w:spacing w:before="0" w:after="283"/>
              <w:jc w:val="center"/>
              <w:rPr/>
            </w:pPr>
            <w:r>
              <w:rPr/>
              <w:t> </w:t>
            </w:r>
          </w:p>
        </w:tc>
        <w:tc>
          <w:tcPr>
            <w:tcW w:w="90" w:type="dxa"/>
            <w:tcBorders>
              <w:bottom w:val="single" w:sz="8" w:space="0" w:color="000000"/>
            </w:tcBorders>
            <w:vAlign w:val="center"/>
          </w:tcPr>
          <w:p>
            <w:pPr>
              <w:pStyle w:val="TableContents"/>
              <w:bidi w:val="0"/>
              <w:spacing w:before="0" w:after="283"/>
              <w:jc w:val="center"/>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As of December 31,</w:t>
            </w:r>
          </w:p>
        </w:tc>
        <w:tc>
          <w:tcPr>
            <w:tcW w:w="170" w:type="dxa"/>
            <w:tcBorders>
              <w:bottom w:val="single" w:sz="8" w:space="0" w:color="000000"/>
            </w:tcBorders>
            <w:vAlign w:val="center"/>
          </w:tcPr>
          <w:p>
            <w:pPr>
              <w:pStyle w:val="TableContents"/>
              <w:bidi w:val="0"/>
              <w:spacing w:before="0" w:after="283"/>
              <w:jc w:val="center"/>
              <w:rPr/>
            </w:pPr>
            <w:r>
              <w:rPr/>
              <w:t> </w:t>
            </w:r>
          </w:p>
        </w:tc>
      </w:tr>
      <w:tr>
        <w:trPr/>
        <w:tc>
          <w:tcPr>
            <w:tcW w:w="396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pPr>
            <w:r>
              <w:rPr/>
              <w:t>Building financing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b/>
              </w:rPr>
            </w:pPr>
            <w:r>
              <w:rPr>
                <w:b/>
              </w:rPr>
              <w:t>1,576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0"/>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bottom w:val="single" w:sz="8" w:space="0" w:color="000000"/>
            </w:tcBorders>
            <w:vAlign w:val="center"/>
          </w:tcPr>
          <w:p>
            <w:pPr>
              <w:pStyle w:val="TableContents"/>
              <w:bidi w:val="0"/>
              <w:spacing w:before="0" w:after="283"/>
              <w:jc w:val="left"/>
              <w:rPr/>
            </w:pPr>
            <w:r>
              <w:rPr/>
              <w:t>Equipment financing</w:t>
            </w:r>
          </w:p>
        </w:tc>
        <w:tc>
          <w:tcPr>
            <w:tcW w:w="90" w:type="dxa"/>
            <w:tcBorders>
              <w:bottom w:val="single" w:sz="8" w:space="0" w:color="000000"/>
            </w:tcBorders>
            <w:vAlign w:val="center"/>
          </w:tcPr>
          <w:p>
            <w:pPr>
              <w:pStyle w:val="TableContents"/>
              <w:bidi w:val="0"/>
              <w:spacing w:before="0" w:after="283"/>
              <w:jc w:val="left"/>
              <w:rPr/>
            </w:pPr>
            <w:r>
              <w:rPr/>
              <w:t> </w:t>
            </w:r>
          </w:p>
        </w:tc>
        <w:tc>
          <w:tcPr>
            <w:tcW w:w="267" w:type="dxa"/>
            <w:tcBorders>
              <w:bottom w:val="single" w:sz="8" w:space="0" w:color="000000"/>
            </w:tcBorders>
            <w:vAlign w:val="center"/>
          </w:tcPr>
          <w:p>
            <w:pPr>
              <w:pStyle w:val="TableContents"/>
              <w:bidi w:val="0"/>
              <w:spacing w:before="0" w:after="283"/>
              <w:jc w:val="left"/>
              <w:rPr/>
            </w:pPr>
            <w:r>
              <w:rPr/>
              <w:t> </w:t>
            </w:r>
          </w:p>
        </w:tc>
        <w:tc>
          <w:tcPr>
            <w:tcW w:w="1762"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34" w:type="dxa"/>
            <w:tcBorders>
              <w:bottom w:val="single" w:sz="8" w:space="0" w:color="000000"/>
            </w:tcBorders>
            <w:vAlign w:val="center"/>
          </w:tcPr>
          <w:p>
            <w:pPr>
              <w:pStyle w:val="TableContents"/>
              <w:bidi w:val="0"/>
              <w:spacing w:before="0" w:after="283"/>
              <w:jc w:val="left"/>
              <w:rPr/>
            </w:pPr>
            <w:r>
              <w:rPr/>
              <w:t> </w:t>
            </w:r>
          </w:p>
        </w:tc>
        <w:tc>
          <w:tcPr>
            <w:tcW w:w="1735" w:type="dxa"/>
            <w:tcBorders>
              <w:bottom w:val="single" w:sz="8" w:space="0" w:color="000000"/>
            </w:tcBorders>
            <w:vAlign w:val="center"/>
          </w:tcPr>
          <w:p>
            <w:pPr>
              <w:pStyle w:val="TableContents"/>
              <w:bidi w:val="0"/>
              <w:spacing w:before="0" w:after="283"/>
              <w:jc w:val="right"/>
              <w:rPr/>
            </w:pPr>
            <w:r>
              <w:rPr/>
              <w:t>4,022</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b/>
              </w:rPr>
            </w:pPr>
            <w:r>
              <w:rPr>
                <w:b/>
              </w:rPr>
              <w:t>Total 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b/>
              </w:rPr>
            </w:pPr>
            <w:r>
              <w:rPr>
                <w:b/>
              </w:rPr>
              <w:t>1,576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283"/>
              <w:jc w:val="right"/>
              <w:rPr/>
            </w:pPr>
            <w:r>
              <w:rPr/>
              <w:t>4,022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bottom w:val="single" w:sz="8" w:space="0" w:color="000000"/>
            </w:tcBorders>
            <w:vAlign w:val="center"/>
          </w:tcPr>
          <w:p>
            <w:pPr>
              <w:pStyle w:val="TableContents"/>
              <w:bidi w:val="0"/>
              <w:spacing w:before="0" w:after="283"/>
              <w:jc w:val="left"/>
              <w:rPr/>
            </w:pPr>
            <w:r>
              <w:rPr/>
              <w:t>Less current portion of long-term debt</w:t>
            </w:r>
          </w:p>
        </w:tc>
        <w:tc>
          <w:tcPr>
            <w:tcW w:w="90" w:type="dxa"/>
            <w:tcBorders>
              <w:bottom w:val="single" w:sz="8" w:space="0" w:color="000000"/>
            </w:tcBorders>
            <w:vAlign w:val="center"/>
          </w:tcPr>
          <w:p>
            <w:pPr>
              <w:pStyle w:val="TableContents"/>
              <w:bidi w:val="0"/>
              <w:spacing w:before="0" w:after="283"/>
              <w:jc w:val="left"/>
              <w:rPr/>
            </w:pPr>
            <w:r>
              <w:rPr/>
              <w:t> </w:t>
            </w:r>
          </w:p>
        </w:tc>
        <w:tc>
          <w:tcPr>
            <w:tcW w:w="267" w:type="dxa"/>
            <w:tcBorders>
              <w:bottom w:val="single" w:sz="8" w:space="0" w:color="000000"/>
            </w:tcBorders>
            <w:vAlign w:val="center"/>
          </w:tcPr>
          <w:p>
            <w:pPr>
              <w:pStyle w:val="TableContents"/>
              <w:bidi w:val="0"/>
              <w:spacing w:before="0" w:after="283"/>
              <w:jc w:val="left"/>
              <w:rPr/>
            </w:pPr>
            <w:r>
              <w:rPr/>
              <w:t> </w:t>
            </w:r>
          </w:p>
        </w:tc>
        <w:tc>
          <w:tcPr>
            <w:tcW w:w="1762" w:type="dxa"/>
            <w:tcBorders>
              <w:bottom w:val="single" w:sz="8" w:space="0" w:color="000000"/>
            </w:tcBorders>
            <w:vAlign w:val="center"/>
          </w:tcPr>
          <w:p>
            <w:pPr>
              <w:pStyle w:val="TableContents"/>
              <w:bidi w:val="0"/>
              <w:spacing w:before="0" w:after="283"/>
              <w:jc w:val="right"/>
              <w:rPr>
                <w:b/>
              </w:rPr>
            </w:pPr>
            <w:r>
              <w:rPr>
                <w:b/>
              </w:rPr>
              <w:t>(146</w:t>
            </w:r>
          </w:p>
        </w:tc>
        <w:tc>
          <w:tcPr>
            <w:tcW w:w="125" w:type="dxa"/>
            <w:tcBorders>
              <w:bottom w:val="single" w:sz="8" w:space="0" w:color="000000"/>
            </w:tcBorders>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234" w:type="dxa"/>
            <w:tcBorders>
              <w:bottom w:val="single" w:sz="8" w:space="0" w:color="000000"/>
            </w:tcBorders>
            <w:vAlign w:val="center"/>
          </w:tcPr>
          <w:p>
            <w:pPr>
              <w:pStyle w:val="TableContents"/>
              <w:bidi w:val="0"/>
              <w:spacing w:before="0" w:after="283"/>
              <w:jc w:val="left"/>
              <w:rPr/>
            </w:pPr>
            <w:r>
              <w:rPr/>
              <w:t> </w:t>
            </w:r>
          </w:p>
        </w:tc>
        <w:tc>
          <w:tcPr>
            <w:tcW w:w="1735" w:type="dxa"/>
            <w:tcBorders>
              <w:bottom w:val="single" w:sz="8" w:space="0" w:color="000000"/>
            </w:tcBorders>
            <w:vAlign w:val="center"/>
          </w:tcPr>
          <w:p>
            <w:pPr>
              <w:pStyle w:val="TableContents"/>
              <w:bidi w:val="0"/>
              <w:spacing w:before="0" w:after="283"/>
              <w:jc w:val="right"/>
              <w:rPr/>
            </w:pPr>
            <w:r>
              <w:rPr/>
              <w:t>(4,022</w:t>
            </w:r>
          </w:p>
        </w:tc>
        <w:tc>
          <w:tcPr>
            <w:tcW w:w="170" w:type="dxa"/>
            <w:tcBorders>
              <w:bottom w:val="single" w:sz="8" w:space="0" w:color="000000"/>
            </w:tcBorders>
            <w:vAlign w:val="center"/>
          </w:tcPr>
          <w:p>
            <w:pPr>
              <w:pStyle w:val="TableContents"/>
              <w:bidi w:val="0"/>
              <w:spacing w:before="0" w:after="283"/>
              <w:jc w:val="left"/>
              <w:rPr/>
            </w:pPr>
            <w:r>
              <w:rPr/>
              <w:t>)</w:t>
            </w:r>
          </w:p>
        </w:tc>
      </w:tr>
      <w:tr>
        <w:trPr/>
        <w:tc>
          <w:tcPr>
            <w:tcW w:w="3965" w:type="dxa"/>
            <w:tcBorders>
              <w:bottom w:val="single" w:sz="12" w:space="0" w:color="000000"/>
            </w:tcBorders>
            <w:shd w:fill="CCEEFF" w:val="clear"/>
            <w:vAlign w:val="center"/>
          </w:tcPr>
          <w:p>
            <w:pPr>
              <w:pStyle w:val="TableContents"/>
              <w:bidi w:val="0"/>
              <w:spacing w:before="0" w:after="283"/>
              <w:jc w:val="left"/>
              <w:rPr>
                <w:b/>
              </w:rPr>
            </w:pPr>
            <w:r>
              <w:rPr>
                <w:b/>
              </w:rPr>
              <w:t>Non-current portion of long-term debt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vAlign w:val="center"/>
          </w:tcPr>
          <w:p>
            <w:pPr>
              <w:pStyle w:val="TableContents"/>
              <w:bidi w:val="0"/>
              <w:spacing w:before="0" w:after="283"/>
              <w:jc w:val="left"/>
              <w:rPr/>
            </w:pPr>
            <w:r>
              <w:rPr/>
              <w:t> </w:t>
            </w:r>
          </w:p>
        </w:tc>
        <w:tc>
          <w:tcPr>
            <w:tcW w:w="1762" w:type="dxa"/>
            <w:tcBorders>
              <w:bottom w:val="single" w:sz="12" w:space="0" w:color="000000"/>
            </w:tcBorders>
            <w:shd w:fill="CCEEFF" w:val="clear"/>
            <w:vAlign w:val="center"/>
          </w:tcPr>
          <w:p>
            <w:pPr>
              <w:pStyle w:val="TableContents"/>
              <w:bidi w:val="0"/>
              <w:spacing w:before="0" w:after="283"/>
              <w:jc w:val="right"/>
              <w:rPr>
                <w:b/>
              </w:rPr>
            </w:pPr>
            <w:r>
              <w:rPr>
                <w:b/>
              </w:rPr>
              <w:t>1,430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vAlign w:val="center"/>
          </w:tcPr>
          <w:p>
            <w:pPr>
              <w:pStyle w:val="TableContents"/>
              <w:bidi w:val="0"/>
              <w:spacing w:before="0" w:after="283"/>
              <w:jc w:val="left"/>
              <w:rPr/>
            </w:pPr>
            <w:r>
              <w:rPr/>
              <w:t> </w:t>
            </w:r>
          </w:p>
        </w:tc>
        <w:tc>
          <w:tcPr>
            <w:tcW w:w="1735" w:type="dxa"/>
            <w:tcBorders>
              <w:bottom w:val="single" w:sz="12" w:space="0" w:color="000000"/>
            </w:tcBorders>
            <w:shd w:fill="CCEEFF" w:val="clear"/>
            <w:vAlign w:val="center"/>
          </w:tcPr>
          <w:p>
            <w:pPr>
              <w:pStyle w:val="TableContents"/>
              <w:bidi w:val="0"/>
              <w:spacing w:before="0" w:after="0"/>
              <w:jc w:val="right"/>
              <w:rPr/>
            </w:pPr>
            <w:r>
              <w:rPr/>
              <w:t>—</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in long-term debt is as follows:</w:t>
      </w:r>
    </w:p>
    <w:p>
      <w:pPr>
        <w:pStyle w:val="TextBody"/>
        <w:bidi w:val="0"/>
        <w:spacing w:before="0" w:after="0"/>
        <w:jc w:val="both"/>
        <w:rPr>
          <w:caps w:val="false"/>
          <w:smallCaps w:val="false"/>
        </w:rPr>
      </w:pPr>
      <w:r>
        <w:rPr>
          <w:caps w:val="false"/>
          <w:smallCaps w:val="false"/>
        </w:rPr>
        <w:t> </w:t>
      </w:r>
    </w:p>
    <w:tbl>
      <w:tblPr>
        <w:tblW w:w="8438" w:type="dxa"/>
        <w:jc w:val="left"/>
        <w:tblInd w:w="0" w:type="dxa"/>
        <w:tblLayout w:type="fixed"/>
        <w:tblCellMar>
          <w:top w:w="0" w:type="dxa"/>
          <w:left w:w="0" w:type="dxa"/>
          <w:bottom w:w="28" w:type="dxa"/>
          <w:right w:w="0" w:type="dxa"/>
        </w:tblCellMar>
      </w:tblPr>
      <w:tblGrid>
        <w:gridCol w:w="4025"/>
        <w:gridCol w:w="90"/>
        <w:gridCol w:w="241"/>
        <w:gridCol w:w="1788"/>
        <w:gridCol w:w="125"/>
        <w:gridCol w:w="90"/>
        <w:gridCol w:w="195"/>
        <w:gridCol w:w="1714"/>
        <w:gridCol w:w="170"/>
      </w:tblGrid>
      <w:tr>
        <w:trPr/>
        <w:tc>
          <w:tcPr>
            <w:tcW w:w="4025" w:type="dxa"/>
            <w:tcBorders>
              <w:bottom w:val="single" w:sz="8" w:space="0" w:color="000000"/>
            </w:tcBorders>
            <w:vAlign w:val="center"/>
          </w:tcPr>
          <w:p>
            <w:pPr>
              <w:pStyle w:val="TableContents"/>
              <w:bidi w:val="0"/>
              <w:spacing w:before="0" w:after="283"/>
              <w:jc w:val="center"/>
              <w:rPr/>
            </w:pPr>
            <w:r>
              <w:rPr/>
              <w:t> </w:t>
            </w:r>
          </w:p>
        </w:tc>
        <w:tc>
          <w:tcPr>
            <w:tcW w:w="90" w:type="dxa"/>
            <w:tcBorders>
              <w:bottom w:val="single" w:sz="8" w:space="0" w:color="000000"/>
            </w:tcBorders>
            <w:vAlign w:val="center"/>
          </w:tcPr>
          <w:p>
            <w:pPr>
              <w:pStyle w:val="TableContents"/>
              <w:bidi w:val="0"/>
              <w:spacing w:before="0" w:after="283"/>
              <w:jc w:val="center"/>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125" w:type="dxa"/>
            <w:tcBorders>
              <w:bottom w:val="single" w:sz="8" w:space="0" w:color="000000"/>
            </w:tcBorders>
            <w:vAlign w:val="center"/>
          </w:tcPr>
          <w:p>
            <w:pPr>
              <w:pStyle w:val="TableContents"/>
              <w:bidi w:val="0"/>
              <w:spacing w:before="0" w:after="283"/>
              <w:jc w:val="center"/>
              <w:rPr/>
            </w:pPr>
            <w:r>
              <w:rPr/>
              <w:t> </w:t>
            </w:r>
          </w:p>
        </w:tc>
        <w:tc>
          <w:tcPr>
            <w:tcW w:w="90" w:type="dxa"/>
            <w:tcBorders>
              <w:bottom w:val="single" w:sz="8" w:space="0" w:color="000000"/>
            </w:tcBorders>
            <w:vAlign w:val="center"/>
          </w:tcPr>
          <w:p>
            <w:pPr>
              <w:pStyle w:val="TableContents"/>
              <w:bidi w:val="0"/>
              <w:spacing w:before="0" w:after="283"/>
              <w:jc w:val="center"/>
              <w:rPr/>
            </w:pPr>
            <w:r>
              <w:rPr/>
              <w:t> </w:t>
            </w:r>
          </w:p>
        </w:tc>
        <w:tc>
          <w:tcPr>
            <w:tcW w:w="1909" w:type="dxa"/>
            <w:gridSpan w:val="2"/>
            <w:tcBorders>
              <w:bottom w:val="single" w:sz="8" w:space="0" w:color="000000"/>
            </w:tcBorders>
            <w:vAlign w:val="center"/>
          </w:tcPr>
          <w:p>
            <w:pPr>
              <w:pStyle w:val="TableContents"/>
              <w:bidi w:val="0"/>
              <w:spacing w:before="0" w:after="283"/>
              <w:jc w:val="right"/>
              <w:rPr/>
            </w:pPr>
            <w:r>
              <w:rPr/>
              <w:t>As of December 31</w:t>
            </w:r>
          </w:p>
        </w:tc>
        <w:tc>
          <w:tcPr>
            <w:tcW w:w="170" w:type="dxa"/>
            <w:tcBorders>
              <w:bottom w:val="single" w:sz="8" w:space="0" w:color="000000"/>
            </w:tcBorders>
            <w:vAlign w:val="center"/>
          </w:tcPr>
          <w:p>
            <w:pPr>
              <w:pStyle w:val="TableContents"/>
              <w:bidi w:val="0"/>
              <w:spacing w:before="0" w:after="283"/>
              <w:jc w:val="center"/>
              <w:rPr/>
            </w:pPr>
            <w:r>
              <w:rPr/>
              <w:t> </w:t>
            </w:r>
          </w:p>
        </w:tc>
      </w:tr>
      <w:tr>
        <w:trPr/>
        <w:tc>
          <w:tcPr>
            <w:tcW w:w="40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09" w:type="dxa"/>
            <w:gridSpan w:val="2"/>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4025" w:type="dxa"/>
            <w:tcBorders>
              <w:bottom w:val="single" w:sz="8" w:space="0" w:color="000000"/>
            </w:tcBorders>
            <w:shd w:fill="CCEEFF" w:val="clear"/>
            <w:vAlign w:val="center"/>
          </w:tcPr>
          <w:p>
            <w:pPr>
              <w:pStyle w:val="TableContents"/>
              <w:bidi w:val="0"/>
              <w:spacing w:before="0" w:after="283"/>
              <w:jc w:val="left"/>
              <w:rPr/>
            </w:pPr>
            <w:r>
              <w:rPr/>
              <w:t>Balance as of January 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vAlign w:val="center"/>
          </w:tcPr>
          <w:p>
            <w:pPr>
              <w:pStyle w:val="TableContents"/>
              <w:bidi w:val="0"/>
              <w:spacing w:before="0" w:after="283"/>
              <w:jc w:val="left"/>
              <w:rPr/>
            </w:pPr>
            <w:r>
              <w:rPr/>
              <w:t> </w:t>
            </w:r>
          </w:p>
        </w:tc>
        <w:tc>
          <w:tcPr>
            <w:tcW w:w="1788" w:type="dxa"/>
            <w:tcBorders>
              <w:bottom w:val="single" w:sz="8" w:space="0" w:color="000000"/>
            </w:tcBorders>
            <w:shd w:fill="CCEEFF" w:val="clear"/>
            <w:vAlign w:val="center"/>
          </w:tcPr>
          <w:p>
            <w:pPr>
              <w:pStyle w:val="TableContents"/>
              <w:bidi w:val="0"/>
              <w:spacing w:before="0" w:after="283"/>
              <w:jc w:val="right"/>
              <w:rPr>
                <w:b/>
              </w:rPr>
            </w:pPr>
            <w:r>
              <w:rPr>
                <w:b/>
              </w:rPr>
              <w:t>4,022</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pPr>
            <w:r>
              <w:rPr/>
              <w:t> </w:t>
            </w:r>
          </w:p>
        </w:tc>
        <w:tc>
          <w:tcPr>
            <w:tcW w:w="1714" w:type="dxa"/>
            <w:tcBorders>
              <w:bottom w:val="single" w:sz="8" w:space="0" w:color="000000"/>
            </w:tcBorders>
            <w:shd w:fill="CCEEFF" w:val="clear"/>
            <w:vAlign w:val="center"/>
          </w:tcPr>
          <w:p>
            <w:pPr>
              <w:pStyle w:val="TableContents"/>
              <w:bidi w:val="0"/>
              <w:spacing w:before="0" w:after="283"/>
              <w:jc w:val="right"/>
              <w:rPr/>
            </w:pPr>
            <w:r>
              <w:rPr/>
              <w:t>47,147</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4025" w:type="dxa"/>
            <w:tcBorders/>
            <w:tcMar>
              <w:bottom w:w="0" w:type="dxa"/>
            </w:tcMar>
            <w:vAlign w:val="center"/>
          </w:tcPr>
          <w:p>
            <w:pPr>
              <w:pStyle w:val="TableContents"/>
              <w:bidi w:val="0"/>
              <w:spacing w:before="0" w:after="283"/>
              <w:jc w:val="left"/>
              <w:rPr/>
            </w:pPr>
            <w:r>
              <w:rPr/>
              <w:t>Issuance of long-term debt</w:t>
            </w:r>
          </w:p>
        </w:tc>
        <w:tc>
          <w:tcPr>
            <w:tcW w:w="90" w:type="dxa"/>
            <w:tcBorders/>
            <w:tcMar>
              <w:bottom w:w="0" w:type="dxa"/>
            </w:tcMar>
            <w:vAlign w:val="center"/>
          </w:tcPr>
          <w:p>
            <w:pPr>
              <w:pStyle w:val="TableContents"/>
              <w:bidi w:val="0"/>
              <w:spacing w:before="0" w:after="283"/>
              <w:jc w:val="left"/>
              <w:rPr/>
            </w:pPr>
            <w:r>
              <w:rPr/>
              <w:t> </w:t>
            </w:r>
          </w:p>
        </w:tc>
        <w:tc>
          <w:tcPr>
            <w:tcW w:w="241" w:type="dxa"/>
            <w:tcBorders/>
            <w:tcMar>
              <w:bottom w:w="0" w:type="dxa"/>
            </w:tcMar>
            <w:vAlign w:val="center"/>
          </w:tcPr>
          <w:p>
            <w:pPr>
              <w:pStyle w:val="TableContents"/>
              <w:bidi w:val="0"/>
              <w:spacing w:before="0" w:after="283"/>
              <w:jc w:val="left"/>
              <w:rPr/>
            </w:pPr>
            <w:r>
              <w:rPr/>
              <w:t> </w:t>
            </w:r>
          </w:p>
        </w:tc>
        <w:tc>
          <w:tcPr>
            <w:tcW w:w="1788" w:type="dxa"/>
            <w:tcBorders/>
            <w:tcMar>
              <w:bottom w:w="0" w:type="dxa"/>
            </w:tcMar>
            <w:vAlign w:val="center"/>
          </w:tcPr>
          <w:p>
            <w:pPr>
              <w:pStyle w:val="TableContents"/>
              <w:bidi w:val="0"/>
              <w:spacing w:before="0" w:after="283"/>
              <w:jc w:val="right"/>
              <w:rPr>
                <w:b/>
              </w:rPr>
            </w:pPr>
            <w:r>
              <w:rPr>
                <w:b/>
              </w:rPr>
              <w:t>1,695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5"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jc w:val="left"/>
              <w:rPr/>
            </w:pPr>
            <w:r>
              <w:rPr/>
              <w:t> </w:t>
            </w:r>
          </w:p>
        </w:tc>
      </w:tr>
      <w:tr>
        <w:trPr/>
        <w:tc>
          <w:tcPr>
            <w:tcW w:w="4025" w:type="dxa"/>
            <w:tcBorders/>
            <w:shd w:fill="CCEEFF" w:val="clear"/>
            <w:tcMar>
              <w:bottom w:w="0" w:type="dxa"/>
            </w:tcMar>
            <w:vAlign w:val="center"/>
          </w:tcPr>
          <w:p>
            <w:pPr>
              <w:pStyle w:val="TableContents"/>
              <w:bidi w:val="0"/>
              <w:spacing w:before="0" w:after="283"/>
              <w:jc w:val="left"/>
              <w:rPr/>
            </w:pPr>
            <w:r>
              <w:rPr/>
              <w:t>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788" w:type="dxa"/>
            <w:tcBorders/>
            <w:shd w:fill="CCEEFF" w:val="clear"/>
            <w:tcMar>
              <w:bottom w:w="0" w:type="dxa"/>
            </w:tcMar>
            <w:vAlign w:val="center"/>
          </w:tcPr>
          <w:p>
            <w:pPr>
              <w:pStyle w:val="TableContents"/>
              <w:bidi w:val="0"/>
              <w:spacing w:before="0" w:after="283"/>
              <w:jc w:val="right"/>
              <w:rPr>
                <w:b/>
              </w:rPr>
            </w:pPr>
            <w:r>
              <w:rPr>
                <w:b/>
              </w:rPr>
              <w:t>(4,435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right"/>
              <w:rPr/>
            </w:pPr>
            <w:r>
              <w:rPr/>
              <w:t>(33,233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025" w:type="dxa"/>
            <w:tcBorders/>
            <w:tcMar>
              <w:bottom w:w="0" w:type="dxa"/>
            </w:tcMar>
            <w:vAlign w:val="center"/>
          </w:tcPr>
          <w:p>
            <w:pPr>
              <w:pStyle w:val="TableContents"/>
              <w:bidi w:val="0"/>
              <w:spacing w:before="0" w:after="283"/>
              <w:jc w:val="left"/>
              <w:rPr/>
            </w:pPr>
            <w:r>
              <w:rPr/>
              <w:t>Gain on extinguishment of long-term debt</w:t>
            </w:r>
          </w:p>
        </w:tc>
        <w:tc>
          <w:tcPr>
            <w:tcW w:w="90" w:type="dxa"/>
            <w:tcBorders/>
            <w:tcMar>
              <w:bottom w:w="0" w:type="dxa"/>
            </w:tcMar>
            <w:vAlign w:val="center"/>
          </w:tcPr>
          <w:p>
            <w:pPr>
              <w:pStyle w:val="TableContents"/>
              <w:bidi w:val="0"/>
              <w:spacing w:before="0" w:after="283"/>
              <w:jc w:val="left"/>
              <w:rPr/>
            </w:pPr>
            <w:r>
              <w:rPr/>
              <w:t> </w:t>
            </w:r>
          </w:p>
        </w:tc>
        <w:tc>
          <w:tcPr>
            <w:tcW w:w="241" w:type="dxa"/>
            <w:tcBorders/>
            <w:tcMar>
              <w:bottom w:w="0" w:type="dxa"/>
            </w:tcMar>
            <w:vAlign w:val="center"/>
          </w:tcPr>
          <w:p>
            <w:pPr>
              <w:pStyle w:val="TableContents"/>
              <w:bidi w:val="0"/>
              <w:spacing w:before="0" w:after="283"/>
              <w:jc w:val="left"/>
              <w:rPr/>
            </w:pPr>
            <w:r>
              <w:rPr/>
              <w:t> </w:t>
            </w:r>
          </w:p>
        </w:tc>
        <w:tc>
          <w:tcPr>
            <w:tcW w:w="178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5"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283"/>
              <w:jc w:val="right"/>
              <w:rPr/>
            </w:pPr>
            <w:r>
              <w:rPr/>
              <w:t>(12,580</w:t>
            </w:r>
          </w:p>
        </w:tc>
        <w:tc>
          <w:tcPr>
            <w:tcW w:w="170" w:type="dxa"/>
            <w:tcBorders/>
            <w:tcMar>
              <w:bottom w:w="0" w:type="dxa"/>
            </w:tcMar>
            <w:vAlign w:val="center"/>
          </w:tcPr>
          <w:p>
            <w:pPr>
              <w:pStyle w:val="TableContents"/>
              <w:bidi w:val="0"/>
              <w:spacing w:before="0" w:after="283"/>
              <w:jc w:val="left"/>
              <w:rPr/>
            </w:pPr>
            <w:r>
              <w:rPr/>
              <w:t>)</w:t>
            </w:r>
          </w:p>
        </w:tc>
      </w:tr>
      <w:tr>
        <w:trPr/>
        <w:tc>
          <w:tcPr>
            <w:tcW w:w="4025" w:type="dxa"/>
            <w:tcBorders>
              <w:bottom w:val="single" w:sz="8" w:space="0" w:color="000000"/>
            </w:tcBorders>
            <w:shd w:fill="CCEEFF" w:val="clear"/>
            <w:vAlign w:val="center"/>
          </w:tcPr>
          <w:p>
            <w:pPr>
              <w:pStyle w:val="TableContents"/>
              <w:bidi w:val="0"/>
              <w:spacing w:before="0" w:after="283"/>
              <w:jc w:val="left"/>
              <w:rPr/>
            </w:pPr>
            <w:r>
              <w:rPr/>
              <w:t>Interest on long-term debt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vAlign w:val="center"/>
          </w:tcPr>
          <w:p>
            <w:pPr>
              <w:pStyle w:val="TableContents"/>
              <w:bidi w:val="0"/>
              <w:spacing w:before="0" w:after="283"/>
              <w:jc w:val="left"/>
              <w:rPr/>
            </w:pPr>
            <w:r>
              <w:rPr/>
              <w:t> </w:t>
            </w:r>
          </w:p>
        </w:tc>
        <w:tc>
          <w:tcPr>
            <w:tcW w:w="1788" w:type="dxa"/>
            <w:tcBorders>
              <w:bottom w:val="single" w:sz="8" w:space="0" w:color="000000"/>
            </w:tcBorders>
            <w:shd w:fill="CCEEFF" w:val="clear"/>
            <w:vAlign w:val="center"/>
          </w:tcPr>
          <w:p>
            <w:pPr>
              <w:pStyle w:val="TableContents"/>
              <w:bidi w:val="0"/>
              <w:spacing w:before="0" w:after="283"/>
              <w:jc w:val="right"/>
              <w:rPr>
                <w:b/>
              </w:rPr>
            </w:pPr>
            <w:r>
              <w:rPr>
                <w:b/>
              </w:rPr>
              <w:t>294</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pPr>
            <w:r>
              <w:rPr/>
              <w:t> </w:t>
            </w:r>
          </w:p>
        </w:tc>
        <w:tc>
          <w:tcPr>
            <w:tcW w:w="1714" w:type="dxa"/>
            <w:tcBorders>
              <w:bottom w:val="single" w:sz="8" w:space="0" w:color="000000"/>
            </w:tcBorders>
            <w:shd w:fill="CCEEFF" w:val="clear"/>
            <w:vAlign w:val="center"/>
          </w:tcPr>
          <w:p>
            <w:pPr>
              <w:pStyle w:val="TableContents"/>
              <w:bidi w:val="0"/>
              <w:spacing w:before="0" w:after="283"/>
              <w:jc w:val="right"/>
              <w:rPr/>
            </w:pPr>
            <w:r>
              <w:rPr/>
              <w:t>2,688</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4025" w:type="dxa"/>
            <w:tcBorders>
              <w:bottom w:val="single" w:sz="12" w:space="0" w:color="000000"/>
            </w:tcBorders>
            <w:vAlign w:val="center"/>
          </w:tcPr>
          <w:p>
            <w:pPr>
              <w:pStyle w:val="TableContents"/>
              <w:bidi w:val="0"/>
              <w:spacing w:before="0" w:after="283"/>
              <w:jc w:val="left"/>
              <w:rPr/>
            </w:pPr>
            <w:r>
              <w:rPr/>
              <w:t>Balance as of period end</w:t>
            </w:r>
          </w:p>
        </w:tc>
        <w:tc>
          <w:tcPr>
            <w:tcW w:w="90" w:type="dxa"/>
            <w:tcBorders>
              <w:bottom w:val="single" w:sz="12" w:space="0" w:color="000000"/>
            </w:tcBorders>
            <w:vAlign w:val="center"/>
          </w:tcPr>
          <w:p>
            <w:pPr>
              <w:pStyle w:val="TableContents"/>
              <w:bidi w:val="0"/>
              <w:spacing w:before="0" w:after="283"/>
              <w:jc w:val="left"/>
              <w:rPr/>
            </w:pPr>
            <w:r>
              <w:rPr/>
              <w:t> </w:t>
            </w:r>
          </w:p>
        </w:tc>
        <w:tc>
          <w:tcPr>
            <w:tcW w:w="241" w:type="dxa"/>
            <w:tcBorders>
              <w:bottom w:val="single" w:sz="12" w:space="0" w:color="000000"/>
            </w:tcBorders>
            <w:vAlign w:val="center"/>
          </w:tcPr>
          <w:p>
            <w:pPr>
              <w:pStyle w:val="TableContents"/>
              <w:bidi w:val="0"/>
              <w:spacing w:before="0" w:after="283"/>
              <w:jc w:val="left"/>
              <w:rPr/>
            </w:pPr>
            <w:r>
              <w:rPr/>
              <w:t> </w:t>
            </w:r>
          </w:p>
        </w:tc>
        <w:tc>
          <w:tcPr>
            <w:tcW w:w="1788" w:type="dxa"/>
            <w:tcBorders>
              <w:bottom w:val="single" w:sz="12" w:space="0" w:color="000000"/>
            </w:tcBorders>
            <w:vAlign w:val="center"/>
          </w:tcPr>
          <w:p>
            <w:pPr>
              <w:pStyle w:val="TableContents"/>
              <w:bidi w:val="0"/>
              <w:spacing w:before="0" w:after="283"/>
              <w:jc w:val="right"/>
              <w:rPr>
                <w:b/>
              </w:rPr>
            </w:pPr>
            <w:r>
              <w:rPr>
                <w:b/>
              </w:rPr>
              <w:t>1,576</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95" w:type="dxa"/>
            <w:tcBorders>
              <w:bottom w:val="single" w:sz="12" w:space="0" w:color="000000"/>
            </w:tcBorders>
            <w:vAlign w:val="center"/>
          </w:tcPr>
          <w:p>
            <w:pPr>
              <w:pStyle w:val="TableContents"/>
              <w:bidi w:val="0"/>
              <w:spacing w:before="0" w:after="283"/>
              <w:jc w:val="left"/>
              <w:rPr/>
            </w:pPr>
            <w:r>
              <w:rPr/>
              <w:t> </w:t>
            </w:r>
          </w:p>
        </w:tc>
        <w:tc>
          <w:tcPr>
            <w:tcW w:w="1714" w:type="dxa"/>
            <w:tcBorders>
              <w:bottom w:val="single" w:sz="12" w:space="0" w:color="000000"/>
            </w:tcBorders>
            <w:vAlign w:val="center"/>
          </w:tcPr>
          <w:p>
            <w:pPr>
              <w:pStyle w:val="TableContents"/>
              <w:bidi w:val="0"/>
              <w:spacing w:before="0" w:after="283"/>
              <w:jc w:val="right"/>
              <w:rPr/>
            </w:pPr>
            <w:r>
              <w:rPr/>
              <w:t>4,022</w:t>
            </w:r>
          </w:p>
        </w:tc>
        <w:tc>
          <w:tcPr>
            <w:tcW w:w="17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68"/>
        <w:gridCol w:w="230"/>
        <w:gridCol w:w="167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a.</w:t>
            </w:r>
          </w:p>
        </w:tc>
        <w:tc>
          <w:tcPr>
            <w:tcW w:w="1670" w:type="dxa"/>
            <w:tcBorders/>
            <w:vAlign w:val="center"/>
          </w:tcPr>
          <w:p>
            <w:pPr>
              <w:pStyle w:val="TableContents"/>
              <w:bidi w:val="0"/>
              <w:spacing w:before="0" w:after="283"/>
              <w:jc w:val="both"/>
              <w:rPr>
                <w:b/>
                <w:sz w:val="20"/>
              </w:rPr>
            </w:pPr>
            <w:r>
              <w:rPr>
                <w:b/>
                <w:sz w:val="20"/>
              </w:rPr>
              <w:t>Building financing</w:t>
            </w:r>
          </w:p>
        </w:tc>
      </w:tr>
    </w:tbl>
    <w:p>
      <w:pPr>
        <w:pStyle w:val="TextBody"/>
        <w:bidi w:val="0"/>
        <w:spacing w:before="12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sold its Garlock building in Sherbrooke, Quebec, Canada for $1,695 and immediately leased it back for 10 years. Since the lease agreement included a substantive repurchase option of the building in a form of a call option, the Company has not transferred the control of the asset to the buyer, and the transaction does not qualify as a sale. Accordingly, it is accounted for as a financing arrangement for the proceeds received from the buyer, and the building continues to be recognized as property, plant and equipment of the Company.</w:t>
      </w:r>
    </w:p>
    <w:p>
      <w:pPr>
        <w:pStyle w:val="TextBody"/>
        <w:bidi w:val="0"/>
        <w:spacing w:before="0" w:after="0"/>
        <w:ind w:left="0" w:right="0" w:hanging="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68"/>
        <w:gridCol w:w="245"/>
        <w:gridCol w:w="3035"/>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3035" w:type="dxa"/>
            <w:tcBorders/>
            <w:vAlign w:val="center"/>
          </w:tcPr>
          <w:p>
            <w:pPr>
              <w:pStyle w:val="TableContents"/>
              <w:bidi w:val="0"/>
              <w:spacing w:before="0" w:after="283"/>
              <w:jc w:val="both"/>
              <w:rPr>
                <w:b/>
              </w:rPr>
            </w:pPr>
            <w:r>
              <w:rPr>
                <w:b/>
              </w:rPr>
              <w:t>Equipment financing activity</w:t>
            </w:r>
          </w:p>
        </w:tc>
      </w:tr>
    </w:tbl>
    <w:p>
      <w:pPr>
        <w:pStyle w:val="TextBody"/>
        <w:bidi w:val="0"/>
        <w:spacing w:before="12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of NYDIG Loan</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Backbone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was required to maintain in a segregated wallet an approximate quantity of BTC whose value equates to at least one month of interest and principal payments on the outstanding loan. The pledged BTC was held in a segregated Coinbase Custody account and owned by the Company unless there was an event of default under the NYDIG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the NYDIG Loan balance was fully repaid, and the Company’s Miners collateralizing the loan and BTC collateralized became unencumbered.</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55 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68"/>
        <w:gridCol w:w="1115"/>
        <w:gridCol w:w="354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18:</w:t>
            </w:r>
          </w:p>
        </w:tc>
        <w:tc>
          <w:tcPr>
            <w:tcW w:w="3545" w:type="dxa"/>
            <w:tcBorders/>
            <w:vAlign w:val="center"/>
          </w:tcPr>
          <w:p>
            <w:pPr>
              <w:pStyle w:val="TableContents"/>
              <w:bidi w:val="0"/>
              <w:spacing w:before="0" w:after="283"/>
              <w:jc w:val="both"/>
              <w:rPr/>
            </w:pPr>
            <w:r>
              <w:rPr>
                <w:b/>
              </w:rPr>
              <w:t>LONG-TERM DEBT</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550"/>
        <w:gridCol w:w="9503"/>
      </w:tblGrid>
      <w:tr>
        <w:trPr/>
        <w:tc>
          <w:tcPr>
            <w:tcW w:w="15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b/>
              </w:rPr>
            </w:pPr>
            <w:r>
              <w:rPr>
                <w:b/>
              </w:rPr>
              <w:t>b.</w:t>
            </w:r>
          </w:p>
        </w:tc>
        <w:tc>
          <w:tcPr>
            <w:tcW w:w="9503" w:type="dxa"/>
            <w:tcBorders/>
            <w:vAlign w:val="center"/>
          </w:tcPr>
          <w:p>
            <w:pPr>
              <w:pStyle w:val="TableContents"/>
              <w:bidi w:val="0"/>
              <w:spacing w:before="0" w:after="283"/>
              <w:jc w:val="both"/>
              <w:rPr/>
            </w:pPr>
            <w:r>
              <w:rPr>
                <w:b/>
              </w:rPr>
              <w:t xml:space="preserve">Equipment financing activity </w:t>
            </w:r>
            <w:r>
              <w:rPr/>
              <w:t>(Continued)</w:t>
            </w:r>
          </w:p>
        </w:tc>
      </w:tr>
    </w:tbl>
    <w:p>
      <w:pPr>
        <w:pStyle w:val="TextBody"/>
        <w:bidi w:val="0"/>
        <w:spacing w:before="12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of Foundry Loans #2, #3 and #4</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of the loan with BlockFi Lending LLC (“BlockFi”)</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Backbone Mining ceased making installment payments, which constituted a default under the loan agreement, and the BlockFi Loan was classified as current.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(expenses) income in the consolidated statements of profit or loss and comprehensive profit or loss during the year ended December 31, 2023. Upon settlement, all of Backbone Mining’s assets, including the 6,100 Miners collateralizing the loan, were unencumbered.</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56 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59" w:name="a_027"/>
      <w:bookmarkStart w:id="60" w:name="a_027"/>
      <w:bookmarkEnd w:id="60"/>
    </w:p>
    <w:tbl>
      <w:tblPr>
        <w:tblW w:w="2223" w:type="dxa"/>
        <w:jc w:val="left"/>
        <w:tblInd w:w="0" w:type="dxa"/>
        <w:tblLayout w:type="fixed"/>
        <w:tblCellMar>
          <w:top w:w="0" w:type="dxa"/>
          <w:left w:w="0" w:type="dxa"/>
          <w:bottom w:w="0" w:type="dxa"/>
          <w:right w:w="0" w:type="dxa"/>
        </w:tblCellMar>
      </w:tblPr>
      <w:tblGrid>
        <w:gridCol w:w="68"/>
        <w:gridCol w:w="1115"/>
        <w:gridCol w:w="104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19:</w:t>
            </w:r>
          </w:p>
        </w:tc>
        <w:tc>
          <w:tcPr>
            <w:tcW w:w="1040" w:type="dxa"/>
            <w:tcBorders/>
            <w:vAlign w:val="center"/>
          </w:tcPr>
          <w:p>
            <w:pPr>
              <w:pStyle w:val="TableContents"/>
              <w:bidi w:val="0"/>
              <w:spacing w:before="0" w:after="283"/>
              <w:jc w:val="both"/>
              <w:rPr>
                <w:b/>
              </w:rPr>
            </w:pPr>
            <w:r>
              <w:rPr>
                <w:b/>
              </w:rPr>
              <w:t>LEASES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out below are the carrying amounts of the Company’s ROU assets and lease liabilities and their activity during the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81"/>
        <w:gridCol w:w="90"/>
        <w:gridCol w:w="105"/>
        <w:gridCol w:w="830"/>
        <w:gridCol w:w="125"/>
        <w:gridCol w:w="90"/>
        <w:gridCol w:w="139"/>
        <w:gridCol w:w="751"/>
        <w:gridCol w:w="125"/>
        <w:gridCol w:w="90"/>
        <w:gridCol w:w="267"/>
        <w:gridCol w:w="863"/>
        <w:gridCol w:w="125"/>
        <w:gridCol w:w="90"/>
        <w:gridCol w:w="124"/>
        <w:gridCol w:w="988"/>
        <w:gridCol w:w="125"/>
        <w:gridCol w:w="90"/>
        <w:gridCol w:w="105"/>
        <w:gridCol w:w="830"/>
        <w:gridCol w:w="172"/>
      </w:tblGrid>
      <w:tr>
        <w:trPr/>
        <w:tc>
          <w:tcPr>
            <w:tcW w:w="4081"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35" w:type="dxa"/>
            <w:gridSpan w:val="2"/>
            <w:tcBorders>
              <w:bottom w:val="single" w:sz="8" w:space="0" w:color="000000"/>
            </w:tcBorders>
            <w:vAlign w:val="center"/>
          </w:tcPr>
          <w:p>
            <w:pPr>
              <w:pStyle w:val="TableContents"/>
              <w:bidi w:val="0"/>
              <w:spacing w:before="0" w:after="283"/>
              <w:jc w:val="right"/>
              <w:rPr>
                <w:b/>
              </w:rPr>
            </w:pPr>
            <w:r>
              <w:rPr>
                <w:b/>
              </w:rPr>
              <w:t xml:space="preserve">Leased </w:t>
              <w:br/>
              <w:t>premises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90" w:type="dxa"/>
            <w:gridSpan w:val="2"/>
            <w:tcBorders>
              <w:bottom w:val="single" w:sz="8" w:space="0" w:color="000000"/>
            </w:tcBorders>
            <w:vAlign w:val="center"/>
          </w:tcPr>
          <w:p>
            <w:pPr>
              <w:pStyle w:val="TableContents"/>
              <w:bidi w:val="0"/>
              <w:spacing w:before="0" w:after="283"/>
              <w:jc w:val="right"/>
              <w:rPr>
                <w:b/>
              </w:rPr>
            </w:pPr>
            <w:r>
              <w:rPr>
                <w:b/>
              </w:rPr>
              <w:t>Vehicles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130" w:type="dxa"/>
            <w:gridSpan w:val="2"/>
            <w:tcBorders>
              <w:bottom w:val="single" w:sz="8" w:space="0" w:color="000000"/>
            </w:tcBorders>
            <w:vAlign w:val="center"/>
          </w:tcPr>
          <w:p>
            <w:pPr>
              <w:pStyle w:val="TableContents"/>
              <w:bidi w:val="0"/>
              <w:spacing w:before="0" w:after="283"/>
              <w:jc w:val="right"/>
              <w:rPr>
                <w:b/>
              </w:rPr>
            </w:pPr>
            <w:r>
              <w:rPr>
                <w:b/>
              </w:rPr>
              <w:t>Other</w:t>
              <w:br/>
              <w:t>equipment</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112" w:type="dxa"/>
            <w:gridSpan w:val="2"/>
            <w:tcBorders>
              <w:bottom w:val="single" w:sz="8" w:space="0" w:color="000000"/>
            </w:tcBorders>
            <w:vAlign w:val="center"/>
          </w:tcPr>
          <w:p>
            <w:pPr>
              <w:pStyle w:val="TableContents"/>
              <w:bidi w:val="0"/>
              <w:spacing w:before="0" w:after="283"/>
              <w:jc w:val="right"/>
              <w:rPr>
                <w:b/>
              </w:rPr>
            </w:pPr>
            <w:r>
              <w:rPr>
                <w:b/>
              </w:rPr>
              <w:t xml:space="preserve">Total ROU </w:t>
              <w:br/>
              <w:t>assets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35" w:type="dxa"/>
            <w:gridSpan w:val="2"/>
            <w:tcBorders>
              <w:bottom w:val="single" w:sz="8" w:space="0" w:color="000000"/>
            </w:tcBorders>
            <w:vAlign w:val="center"/>
          </w:tcPr>
          <w:p>
            <w:pPr>
              <w:pStyle w:val="TableContents"/>
              <w:bidi w:val="0"/>
              <w:spacing w:before="0" w:after="283"/>
              <w:jc w:val="right"/>
              <w:rPr>
                <w:b/>
              </w:rPr>
            </w:pPr>
            <w:r>
              <w:rPr>
                <w:b/>
              </w:rPr>
              <w:t>Lease</w:t>
              <w:br/>
              <w:t>liabilities</w:t>
            </w:r>
          </w:p>
        </w:tc>
        <w:tc>
          <w:tcPr>
            <w:tcW w:w="172" w:type="dxa"/>
            <w:tcBorders>
              <w:bottom w:val="single" w:sz="8" w:space="0" w:color="000000"/>
            </w:tcBorders>
            <w:vAlign w:val="center"/>
          </w:tcPr>
          <w:p>
            <w:pPr>
              <w:pStyle w:val="TableContents"/>
              <w:bidi w:val="0"/>
              <w:spacing w:before="0" w:after="283"/>
              <w:jc w:val="right"/>
              <w:rPr/>
            </w:pPr>
            <w:r>
              <w:rPr/>
              <w:t> </w:t>
            </w:r>
          </w:p>
        </w:tc>
      </w:tr>
      <w:tr>
        <w:trPr/>
        <w:tc>
          <w:tcPr>
            <w:tcW w:w="4081" w:type="dxa"/>
            <w:tcBorders>
              <w:bottom w:val="single" w:sz="8" w:space="0" w:color="000000"/>
            </w:tcBorders>
            <w:shd w:fill="CCEEFF" w:val="clear"/>
            <w:vAlign w:val="center"/>
          </w:tcPr>
          <w:p>
            <w:pPr>
              <w:pStyle w:val="TableContents"/>
              <w:bidi w:val="0"/>
              <w:spacing w:before="0" w:after="283"/>
              <w:jc w:val="left"/>
              <w:rPr/>
            </w:pPr>
            <w:r>
              <w:rPr/>
              <w:t>As of January 1, 2024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b/>
              </w:rPr>
            </w:pPr>
            <w:r>
              <w:rPr>
                <w:b/>
              </w:rPr>
              <w:t>13,762</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c>
          <w:tcPr>
            <w:tcW w:w="751" w:type="dxa"/>
            <w:tcBorders>
              <w:bottom w:val="single" w:sz="8" w:space="0" w:color="000000"/>
            </w:tcBorders>
            <w:shd w:fill="CCEEFF" w:val="clear"/>
            <w:vAlign w:val="center"/>
          </w:tcPr>
          <w:p>
            <w:pPr>
              <w:pStyle w:val="TableContents"/>
              <w:bidi w:val="0"/>
              <w:spacing w:before="0" w:after="283"/>
              <w:jc w:val="right"/>
              <w:rPr>
                <w:b/>
              </w:rPr>
            </w:pPr>
            <w:r>
              <w:rPr>
                <w:b/>
              </w:rPr>
              <w:t>544</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vAlign w:val="center"/>
          </w:tcPr>
          <w:p>
            <w:pPr>
              <w:pStyle w:val="TableContents"/>
              <w:bidi w:val="0"/>
              <w:spacing w:before="0" w:after="283"/>
              <w:jc w:val="left"/>
              <w:rPr/>
            </w:pPr>
            <w:r>
              <w:rPr/>
              <w:t> </w:t>
            </w:r>
          </w:p>
        </w:tc>
        <w:tc>
          <w:tcPr>
            <w:tcW w:w="863" w:type="dxa"/>
            <w:tcBorders>
              <w:bottom w:val="single" w:sz="8" w:space="0" w:color="000000"/>
            </w:tcBorders>
            <w:shd w:fill="CCEEFF" w:val="clear"/>
            <w:vAlign w:val="center"/>
          </w:tcPr>
          <w:p>
            <w:pPr>
              <w:pStyle w:val="TableContents"/>
              <w:bidi w:val="0"/>
              <w:spacing w:before="0" w:after="283"/>
              <w:jc w:val="right"/>
              <w:rPr>
                <w:b/>
              </w:rPr>
            </w:pPr>
            <w:r>
              <w:rPr>
                <w:b/>
              </w:rPr>
              <w:t>9</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vAlign w:val="center"/>
          </w:tcPr>
          <w:p>
            <w:pPr>
              <w:pStyle w:val="TableContents"/>
              <w:bidi w:val="0"/>
              <w:spacing w:before="0" w:after="283"/>
              <w:jc w:val="left"/>
              <w:rPr/>
            </w:pPr>
            <w:r>
              <w:rPr/>
              <w:t> </w:t>
            </w:r>
          </w:p>
        </w:tc>
        <w:tc>
          <w:tcPr>
            <w:tcW w:w="988" w:type="dxa"/>
            <w:tcBorders>
              <w:bottom w:val="single" w:sz="8" w:space="0" w:color="000000"/>
            </w:tcBorders>
            <w:shd w:fill="CCEEFF" w:val="clear"/>
            <w:vAlign w:val="center"/>
          </w:tcPr>
          <w:p>
            <w:pPr>
              <w:pStyle w:val="TableContents"/>
              <w:bidi w:val="0"/>
              <w:spacing w:before="0" w:after="283"/>
              <w:jc w:val="right"/>
              <w:rPr>
                <w:b/>
              </w:rPr>
            </w:pPr>
            <w:r>
              <w:rPr>
                <w:b/>
              </w:rPr>
              <w:t>14,315</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b/>
              </w:rPr>
            </w:pPr>
            <w:r>
              <w:rPr>
                <w:b/>
              </w:rPr>
              <w:t>15,850</w:t>
            </w:r>
          </w:p>
        </w:tc>
        <w:tc>
          <w:tcPr>
            <w:tcW w:w="172"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4081" w:type="dxa"/>
            <w:tcBorders/>
            <w:tcMar>
              <w:bottom w:w="0" w:type="dxa"/>
            </w:tcMar>
            <w:vAlign w:val="center"/>
          </w:tcPr>
          <w:p>
            <w:pPr>
              <w:pStyle w:val="TableContents"/>
              <w:bidi w:val="0"/>
              <w:spacing w:before="0" w:after="283"/>
              <w:jc w:val="left"/>
              <w:rPr/>
            </w:pPr>
            <w:r>
              <w:rPr/>
              <w:t>Additions, extensions and modifications to ROU assets</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12,077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right"/>
              <w:rPr>
                <w:b/>
              </w:rPr>
            </w:pPr>
            <w:r>
              <w:rPr>
                <w:b/>
              </w:rPr>
              <w:t>129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7" w:type="dxa"/>
            <w:tcBorders/>
            <w:tcMar>
              <w:bottom w:w="0" w:type="dxa"/>
            </w:tcMar>
            <w:vAlign w:val="center"/>
          </w:tcPr>
          <w:p>
            <w:pPr>
              <w:pStyle w:val="TableContents"/>
              <w:bidi w:val="0"/>
              <w:spacing w:before="0" w:after="283"/>
              <w:jc w:val="left"/>
              <w:rPr/>
            </w:pPr>
            <w:r>
              <w:rPr/>
              <w:t> </w:t>
            </w:r>
          </w:p>
        </w:tc>
        <w:tc>
          <w:tcPr>
            <w:tcW w:w="86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4" w:type="dxa"/>
            <w:tcBorders/>
            <w:tcMar>
              <w:bottom w:w="0" w:type="dxa"/>
            </w:tcMar>
            <w:vAlign w:val="center"/>
          </w:tcPr>
          <w:p>
            <w:pPr>
              <w:pStyle w:val="TableContents"/>
              <w:bidi w:val="0"/>
              <w:spacing w:before="0" w:after="283"/>
              <w:jc w:val="left"/>
              <w:rPr/>
            </w:pPr>
            <w:r>
              <w:rPr/>
              <w:t> </w:t>
            </w:r>
          </w:p>
        </w:tc>
        <w:tc>
          <w:tcPr>
            <w:tcW w:w="988" w:type="dxa"/>
            <w:tcBorders/>
            <w:tcMar>
              <w:bottom w:w="0" w:type="dxa"/>
            </w:tcMar>
            <w:vAlign w:val="center"/>
          </w:tcPr>
          <w:p>
            <w:pPr>
              <w:pStyle w:val="TableContents"/>
              <w:bidi w:val="0"/>
              <w:spacing w:before="0" w:after="283"/>
              <w:jc w:val="right"/>
              <w:rPr>
                <w:b/>
              </w:rPr>
            </w:pPr>
            <w:r>
              <w:rPr>
                <w:b/>
              </w:rPr>
              <w:t>12,206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9,919</w:t>
            </w:r>
          </w:p>
        </w:tc>
        <w:tc>
          <w:tcPr>
            <w:tcW w:w="172" w:type="dxa"/>
            <w:tcBorders/>
            <w:tcMar>
              <w:bottom w:w="0" w:type="dxa"/>
            </w:tcMar>
            <w:vAlign w:val="center"/>
          </w:tcPr>
          <w:p>
            <w:pPr>
              <w:pStyle w:val="TableContents"/>
              <w:bidi w:val="0"/>
              <w:spacing w:before="0" w:after="283"/>
              <w:jc w:val="left"/>
              <w:rPr/>
            </w:pPr>
            <w:r>
              <w:rPr/>
              <w:t> </w:t>
            </w:r>
          </w:p>
        </w:tc>
      </w:tr>
      <w:tr>
        <w:trPr/>
        <w:tc>
          <w:tcPr>
            <w:tcW w:w="4081" w:type="dxa"/>
            <w:tcBorders/>
            <w:shd w:fill="CCEEFF" w:val="clear"/>
            <w:tcMar>
              <w:bottom w:w="0" w:type="dxa"/>
            </w:tcMar>
            <w:vAlign w:val="center"/>
          </w:tcPr>
          <w:p>
            <w:pPr>
              <w:pStyle w:val="TableContents"/>
              <w:bidi w:val="0"/>
              <w:spacing w:before="0" w:after="283"/>
              <w:jc w:val="left"/>
              <w:rPr/>
            </w:pPr>
            <w:r>
              <w:rPr/>
              <w:t>Depreciation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(2,865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right"/>
              <w:rPr>
                <w:b/>
              </w:rPr>
            </w:pPr>
            <w:r>
              <w:rPr>
                <w:b/>
              </w:rPr>
              <w:t>(250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283"/>
              <w:jc w:val="right"/>
              <w:rPr>
                <w:b/>
              </w:rPr>
            </w:pPr>
            <w:r>
              <w:rPr>
                <w:b/>
              </w:rPr>
              <w:t>(9</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right"/>
              <w:rPr>
                <w:b/>
              </w:rPr>
            </w:pPr>
            <w:r>
              <w:rPr>
                <w:b/>
              </w:rPr>
              <w:t>(3,124</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4081" w:type="dxa"/>
            <w:tcBorders/>
            <w:tcMar>
              <w:bottom w:w="0" w:type="dxa"/>
            </w:tcMar>
            <w:vAlign w:val="center"/>
          </w:tcPr>
          <w:p>
            <w:pPr>
              <w:pStyle w:val="TableContents"/>
              <w:bidi w:val="0"/>
              <w:spacing w:before="0" w:after="283"/>
              <w:jc w:val="left"/>
              <w:rPr/>
            </w:pPr>
            <w:r>
              <w:rPr/>
              <w:t>Lease termination</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(373</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right"/>
              <w:rPr>
                <w:b/>
              </w:rPr>
            </w:pPr>
            <w:r>
              <w:rPr>
                <w:b/>
              </w:rPr>
              <w:t>(4</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267" w:type="dxa"/>
            <w:tcBorders/>
            <w:tcMar>
              <w:bottom w:w="0" w:type="dxa"/>
            </w:tcMar>
            <w:vAlign w:val="center"/>
          </w:tcPr>
          <w:p>
            <w:pPr>
              <w:pStyle w:val="TableContents"/>
              <w:bidi w:val="0"/>
              <w:spacing w:before="0" w:after="283"/>
              <w:jc w:val="left"/>
              <w:rPr/>
            </w:pPr>
            <w:r>
              <w:rPr/>
              <w:t> </w:t>
            </w:r>
          </w:p>
        </w:tc>
        <w:tc>
          <w:tcPr>
            <w:tcW w:w="86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4" w:type="dxa"/>
            <w:tcBorders/>
            <w:tcMar>
              <w:bottom w:w="0" w:type="dxa"/>
            </w:tcMar>
            <w:vAlign w:val="center"/>
          </w:tcPr>
          <w:p>
            <w:pPr>
              <w:pStyle w:val="TableContents"/>
              <w:bidi w:val="0"/>
              <w:spacing w:before="0" w:after="283"/>
              <w:jc w:val="left"/>
              <w:rPr/>
            </w:pPr>
            <w:r>
              <w:rPr/>
              <w:t> </w:t>
            </w:r>
          </w:p>
        </w:tc>
        <w:tc>
          <w:tcPr>
            <w:tcW w:w="988" w:type="dxa"/>
            <w:tcBorders/>
            <w:tcMar>
              <w:bottom w:w="0" w:type="dxa"/>
            </w:tcMar>
            <w:vAlign w:val="center"/>
          </w:tcPr>
          <w:p>
            <w:pPr>
              <w:pStyle w:val="TableContents"/>
              <w:bidi w:val="0"/>
              <w:spacing w:before="0" w:after="283"/>
              <w:jc w:val="right"/>
              <w:rPr>
                <w:b/>
              </w:rPr>
            </w:pPr>
            <w:r>
              <w:rPr>
                <w:b/>
              </w:rPr>
              <w:t>(377</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(518</w:t>
            </w:r>
          </w:p>
        </w:tc>
        <w:tc>
          <w:tcPr>
            <w:tcW w:w="172" w:type="dxa"/>
            <w:tcBorders/>
            <w:tcMar>
              <w:bottom w:w="0" w:type="dxa"/>
            </w:tcMar>
            <w:vAlign w:val="center"/>
          </w:tcPr>
          <w:p>
            <w:pPr>
              <w:pStyle w:val="TableContents"/>
              <w:bidi w:val="0"/>
              <w:spacing w:before="0" w:after="283"/>
              <w:jc w:val="left"/>
              <w:rPr>
                <w:b/>
              </w:rPr>
            </w:pPr>
            <w:r>
              <w:rPr>
                <w:b/>
              </w:rPr>
              <w:t>)</w:t>
            </w:r>
          </w:p>
        </w:tc>
      </w:tr>
      <w:tr>
        <w:trPr/>
        <w:tc>
          <w:tcPr>
            <w:tcW w:w="4081" w:type="dxa"/>
            <w:tcBorders/>
            <w:shd w:fill="CCEEFF" w:val="clear"/>
            <w:tcMar>
              <w:bottom w:w="0" w:type="dxa"/>
            </w:tcMar>
            <w:vAlign w:val="center"/>
          </w:tcPr>
          <w:p>
            <w:pPr>
              <w:pStyle w:val="TableContents"/>
              <w:bidi w:val="0"/>
              <w:spacing w:before="0" w:after="283"/>
              <w:jc w:val="left"/>
              <w:rPr/>
            </w:pPr>
            <w:r>
              <w:rPr/>
              <w:t>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86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(3,667</w:t>
            </w:r>
          </w:p>
        </w:tc>
        <w:tc>
          <w:tcPr>
            <w:tcW w:w="172" w:type="dxa"/>
            <w:tcBorders/>
            <w:shd w:fill="CCEEFF" w:val="clear"/>
            <w:tcMar>
              <w:bottom w:w="0" w:type="dxa"/>
            </w:tcMar>
            <w:vAlign w:val="center"/>
          </w:tcPr>
          <w:p>
            <w:pPr>
              <w:pStyle w:val="TableContents"/>
              <w:bidi w:val="0"/>
              <w:spacing w:before="0" w:after="283"/>
              <w:jc w:val="left"/>
              <w:rPr>
                <w:b/>
              </w:rPr>
            </w:pPr>
            <w:r>
              <w:rPr>
                <w:b/>
              </w:rPr>
              <w:t>)</w:t>
            </w:r>
          </w:p>
        </w:tc>
      </w:tr>
      <w:tr>
        <w:trPr/>
        <w:tc>
          <w:tcPr>
            <w:tcW w:w="4081" w:type="dxa"/>
            <w:tcBorders/>
            <w:tcMar>
              <w:bottom w:w="0" w:type="dxa"/>
            </w:tcMar>
            <w:vAlign w:val="center"/>
          </w:tcPr>
          <w:p>
            <w:pPr>
              <w:pStyle w:val="TableContents"/>
              <w:bidi w:val="0"/>
              <w:spacing w:before="0" w:after="283"/>
              <w:jc w:val="left"/>
              <w:rPr/>
            </w:pPr>
            <w:r>
              <w:rPr/>
              <w:t>Interest</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7" w:type="dxa"/>
            <w:tcBorders/>
            <w:tcMar>
              <w:bottom w:w="0" w:type="dxa"/>
            </w:tcMar>
            <w:vAlign w:val="center"/>
          </w:tcPr>
          <w:p>
            <w:pPr>
              <w:pStyle w:val="TableContents"/>
              <w:bidi w:val="0"/>
              <w:spacing w:before="0" w:after="283"/>
              <w:jc w:val="left"/>
              <w:rPr/>
            </w:pPr>
            <w:r>
              <w:rPr/>
              <w:t> </w:t>
            </w:r>
          </w:p>
        </w:tc>
        <w:tc>
          <w:tcPr>
            <w:tcW w:w="86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4" w:type="dxa"/>
            <w:tcBorders/>
            <w:tcMar>
              <w:bottom w:w="0" w:type="dxa"/>
            </w:tcMar>
            <w:vAlign w:val="center"/>
          </w:tcPr>
          <w:p>
            <w:pPr>
              <w:pStyle w:val="TableContents"/>
              <w:bidi w:val="0"/>
              <w:spacing w:before="0" w:after="283"/>
              <w:jc w:val="left"/>
              <w:rPr/>
            </w:pPr>
            <w:r>
              <w:rPr/>
              <w:t> </w:t>
            </w:r>
          </w:p>
        </w:tc>
        <w:tc>
          <w:tcPr>
            <w:tcW w:w="988"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b/>
              </w:rPr>
            </w:pPr>
            <w:r>
              <w:rPr>
                <w:b/>
              </w:rPr>
              <w:t>1,444</w:t>
            </w:r>
          </w:p>
        </w:tc>
        <w:tc>
          <w:tcPr>
            <w:tcW w:w="172" w:type="dxa"/>
            <w:tcBorders/>
            <w:tcMar>
              <w:bottom w:w="0" w:type="dxa"/>
            </w:tcMar>
            <w:vAlign w:val="center"/>
          </w:tcPr>
          <w:p>
            <w:pPr>
              <w:pStyle w:val="TableContents"/>
              <w:bidi w:val="0"/>
              <w:spacing w:before="0" w:after="283"/>
              <w:jc w:val="left"/>
              <w:rPr/>
            </w:pPr>
            <w:r>
              <w:rPr/>
              <w:t> </w:t>
            </w:r>
          </w:p>
        </w:tc>
      </w:tr>
      <w:tr>
        <w:trPr/>
        <w:tc>
          <w:tcPr>
            <w:tcW w:w="4081" w:type="dxa"/>
            <w:tcBorders>
              <w:bottom w:val="single" w:sz="8" w:space="0" w:color="000000"/>
            </w:tcBorders>
            <w:shd w:fill="CCEEFF" w:val="clear"/>
            <w:vAlign w:val="center"/>
          </w:tcPr>
          <w:p>
            <w:pPr>
              <w:pStyle w:val="TableContents"/>
              <w:bidi w:val="0"/>
              <w:spacing w:before="0" w:after="283"/>
              <w:jc w:val="left"/>
              <w:rPr/>
            </w:pPr>
            <w:r>
              <w:rPr/>
              <w:t>Foreign exchange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c>
          <w:tcPr>
            <w:tcW w:w="751"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vAlign w:val="center"/>
          </w:tcPr>
          <w:p>
            <w:pPr>
              <w:pStyle w:val="TableContents"/>
              <w:bidi w:val="0"/>
              <w:spacing w:before="0" w:after="283"/>
              <w:jc w:val="left"/>
              <w:rPr/>
            </w:pPr>
            <w:r>
              <w:rPr/>
              <w:t> </w:t>
            </w:r>
          </w:p>
        </w:tc>
        <w:tc>
          <w:tcPr>
            <w:tcW w:w="863"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vAlign w:val="center"/>
          </w:tcPr>
          <w:p>
            <w:pPr>
              <w:pStyle w:val="TableContents"/>
              <w:bidi w:val="0"/>
              <w:spacing w:before="0" w:after="283"/>
              <w:jc w:val="left"/>
              <w:rPr/>
            </w:pPr>
            <w:r>
              <w:rPr/>
              <w:t> </w:t>
            </w:r>
          </w:p>
        </w:tc>
        <w:tc>
          <w:tcPr>
            <w:tcW w:w="988"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b/>
              </w:rPr>
            </w:pPr>
            <w:r>
              <w:rPr>
                <w:b/>
              </w:rPr>
              <w:t>(1,189</w:t>
            </w:r>
          </w:p>
        </w:tc>
        <w:tc>
          <w:tcPr>
            <w:tcW w:w="172" w:type="dxa"/>
            <w:tcBorders>
              <w:bottom w:val="single" w:sz="8" w:space="0" w:color="000000"/>
            </w:tcBorders>
            <w:shd w:fill="CCEEFF" w:val="clear"/>
            <w:vAlign w:val="center"/>
          </w:tcPr>
          <w:p>
            <w:pPr>
              <w:pStyle w:val="TableContents"/>
              <w:bidi w:val="0"/>
              <w:spacing w:before="0" w:after="283"/>
              <w:jc w:val="left"/>
              <w:rPr>
                <w:b/>
              </w:rPr>
            </w:pPr>
            <w:r>
              <w:rPr>
                <w:b/>
              </w:rPr>
              <w:t>)</w:t>
            </w:r>
          </w:p>
        </w:tc>
      </w:tr>
      <w:tr>
        <w:trPr/>
        <w:tc>
          <w:tcPr>
            <w:tcW w:w="4081" w:type="dxa"/>
            <w:tcBorders>
              <w:bottom w:val="single" w:sz="8" w:space="0" w:color="000000"/>
            </w:tcBorders>
            <w:vAlign w:val="center"/>
          </w:tcPr>
          <w:p>
            <w:pPr>
              <w:pStyle w:val="TableContents"/>
              <w:bidi w:val="0"/>
              <w:spacing w:before="0" w:after="283"/>
              <w:jc w:val="left"/>
              <w:rPr>
                <w:b/>
              </w:rPr>
            </w:pPr>
            <w:r>
              <w:rPr>
                <w:b/>
              </w:rPr>
              <w:t>As of December 31, 2024</w:t>
            </w:r>
          </w:p>
        </w:tc>
        <w:tc>
          <w:tcPr>
            <w:tcW w:w="90" w:type="dxa"/>
            <w:tcBorders>
              <w:bottom w:val="single" w:sz="8" w:space="0" w:color="000000"/>
            </w:tcBorders>
            <w:vAlign w:val="center"/>
          </w:tcPr>
          <w:p>
            <w:pPr>
              <w:pStyle w:val="TableContents"/>
              <w:bidi w:val="0"/>
              <w:spacing w:before="0" w:after="283"/>
              <w:jc w:val="left"/>
              <w:rPr/>
            </w:pPr>
            <w:r>
              <w:rPr/>
              <w:t> </w:t>
            </w:r>
          </w:p>
        </w:tc>
        <w:tc>
          <w:tcPr>
            <w:tcW w:w="105"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b/>
              </w:rPr>
            </w:pPr>
            <w:r>
              <w:rPr>
                <w:b/>
              </w:rPr>
              <w:t>22,601</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9" w:type="dxa"/>
            <w:tcBorders>
              <w:bottom w:val="single" w:sz="8" w:space="0" w:color="000000"/>
            </w:tcBorders>
            <w:vAlign w:val="center"/>
          </w:tcPr>
          <w:p>
            <w:pPr>
              <w:pStyle w:val="TableContents"/>
              <w:bidi w:val="0"/>
              <w:spacing w:before="0" w:after="283"/>
              <w:jc w:val="left"/>
              <w:rPr/>
            </w:pPr>
            <w:r>
              <w:rPr/>
              <w:t> </w:t>
            </w:r>
          </w:p>
        </w:tc>
        <w:tc>
          <w:tcPr>
            <w:tcW w:w="751" w:type="dxa"/>
            <w:tcBorders>
              <w:bottom w:val="single" w:sz="8" w:space="0" w:color="000000"/>
            </w:tcBorders>
            <w:vAlign w:val="center"/>
          </w:tcPr>
          <w:p>
            <w:pPr>
              <w:pStyle w:val="TableContents"/>
              <w:bidi w:val="0"/>
              <w:spacing w:before="0" w:after="283"/>
              <w:jc w:val="right"/>
              <w:rPr>
                <w:b/>
              </w:rPr>
            </w:pPr>
            <w:r>
              <w:rPr>
                <w:b/>
              </w:rPr>
              <w:t>419</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7" w:type="dxa"/>
            <w:tcBorders>
              <w:bottom w:val="single" w:sz="8" w:space="0" w:color="000000"/>
            </w:tcBorders>
            <w:vAlign w:val="center"/>
          </w:tcPr>
          <w:p>
            <w:pPr>
              <w:pStyle w:val="TableContents"/>
              <w:bidi w:val="0"/>
              <w:spacing w:before="0" w:after="283"/>
              <w:jc w:val="left"/>
              <w:rPr/>
            </w:pPr>
            <w:r>
              <w:rPr/>
              <w:t> </w:t>
            </w:r>
          </w:p>
        </w:tc>
        <w:tc>
          <w:tcPr>
            <w:tcW w:w="863"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4" w:type="dxa"/>
            <w:tcBorders>
              <w:bottom w:val="single" w:sz="8" w:space="0" w:color="000000"/>
            </w:tcBorders>
            <w:vAlign w:val="center"/>
          </w:tcPr>
          <w:p>
            <w:pPr>
              <w:pStyle w:val="TableContents"/>
              <w:bidi w:val="0"/>
              <w:spacing w:before="0" w:after="283"/>
              <w:jc w:val="left"/>
              <w:rPr/>
            </w:pPr>
            <w:r>
              <w:rPr/>
              <w:t> </w:t>
            </w:r>
          </w:p>
        </w:tc>
        <w:tc>
          <w:tcPr>
            <w:tcW w:w="988" w:type="dxa"/>
            <w:tcBorders>
              <w:bottom w:val="single" w:sz="8" w:space="0" w:color="000000"/>
            </w:tcBorders>
            <w:vAlign w:val="center"/>
          </w:tcPr>
          <w:p>
            <w:pPr>
              <w:pStyle w:val="TableContents"/>
              <w:bidi w:val="0"/>
              <w:spacing w:before="0" w:after="283"/>
              <w:jc w:val="right"/>
              <w:rPr>
                <w:b/>
              </w:rPr>
            </w:pPr>
            <w:r>
              <w:rPr>
                <w:b/>
              </w:rPr>
              <w:t>23,020</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5"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b/>
              </w:rPr>
            </w:pPr>
            <w:r>
              <w:rPr>
                <w:b/>
              </w:rPr>
              <w:t>21,839</w:t>
            </w:r>
          </w:p>
        </w:tc>
        <w:tc>
          <w:tcPr>
            <w:tcW w:w="172" w:type="dxa"/>
            <w:tcBorders>
              <w:bottom w:val="single" w:sz="8" w:space="0" w:color="000000"/>
            </w:tcBorders>
            <w:vAlign w:val="center"/>
          </w:tcPr>
          <w:p>
            <w:pPr>
              <w:pStyle w:val="TableContents"/>
              <w:bidi w:val="0"/>
              <w:spacing w:before="0" w:after="283"/>
              <w:jc w:val="left"/>
              <w:rPr/>
            </w:pPr>
            <w:r>
              <w:rPr/>
              <w:t> </w:t>
            </w:r>
          </w:p>
        </w:tc>
      </w:tr>
      <w:tr>
        <w:trPr/>
        <w:tc>
          <w:tcPr>
            <w:tcW w:w="4081" w:type="dxa"/>
            <w:tcBorders>
              <w:bottom w:val="single" w:sz="8" w:space="0" w:color="000000"/>
            </w:tcBorders>
            <w:shd w:fill="CCEEFF" w:val="clear"/>
            <w:vAlign w:val="center"/>
          </w:tcPr>
          <w:p>
            <w:pPr>
              <w:pStyle w:val="TableContents"/>
              <w:bidi w:val="0"/>
              <w:spacing w:before="0" w:after="283"/>
              <w:jc w:val="left"/>
              <w:rPr/>
            </w:pPr>
            <w:r>
              <w:rPr/>
              <w:t>Less current portion of lease liabilities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c>
          <w:tcPr>
            <w:tcW w:w="751"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vAlign w:val="center"/>
          </w:tcPr>
          <w:p>
            <w:pPr>
              <w:pStyle w:val="TableContents"/>
              <w:bidi w:val="0"/>
              <w:spacing w:before="0" w:after="283"/>
              <w:jc w:val="left"/>
              <w:rPr/>
            </w:pPr>
            <w:r>
              <w:rPr/>
              <w:t> </w:t>
            </w:r>
          </w:p>
        </w:tc>
        <w:tc>
          <w:tcPr>
            <w:tcW w:w="86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vAlign w:val="center"/>
          </w:tcPr>
          <w:p>
            <w:pPr>
              <w:pStyle w:val="TableContents"/>
              <w:bidi w:val="0"/>
              <w:spacing w:before="0" w:after="283"/>
              <w:jc w:val="left"/>
              <w:rPr/>
            </w:pPr>
            <w:r>
              <w:rPr/>
              <w:t> </w:t>
            </w:r>
          </w:p>
        </w:tc>
        <w:tc>
          <w:tcPr>
            <w:tcW w:w="988"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b/>
              </w:rPr>
            </w:pPr>
            <w:r>
              <w:rPr>
                <w:b/>
              </w:rPr>
              <w:t>(2,089</w:t>
            </w:r>
          </w:p>
        </w:tc>
        <w:tc>
          <w:tcPr>
            <w:tcW w:w="172" w:type="dxa"/>
            <w:tcBorders>
              <w:bottom w:val="single" w:sz="8" w:space="0" w:color="000000"/>
            </w:tcBorders>
            <w:shd w:fill="CCEEFF" w:val="clear"/>
            <w:vAlign w:val="center"/>
          </w:tcPr>
          <w:p>
            <w:pPr>
              <w:pStyle w:val="TableContents"/>
              <w:bidi w:val="0"/>
              <w:spacing w:before="0" w:after="283"/>
              <w:jc w:val="left"/>
              <w:rPr>
                <w:b/>
              </w:rPr>
            </w:pPr>
            <w:r>
              <w:rPr>
                <w:b/>
              </w:rPr>
              <w:t>)</w:t>
            </w:r>
          </w:p>
        </w:tc>
      </w:tr>
      <w:tr>
        <w:trPr/>
        <w:tc>
          <w:tcPr>
            <w:tcW w:w="4081" w:type="dxa"/>
            <w:tcBorders>
              <w:bottom w:val="single" w:sz="12" w:space="0" w:color="000000"/>
            </w:tcBorders>
            <w:vAlign w:val="center"/>
          </w:tcPr>
          <w:p>
            <w:pPr>
              <w:pStyle w:val="TableContents"/>
              <w:bidi w:val="0"/>
              <w:spacing w:before="0" w:after="283"/>
              <w:jc w:val="left"/>
              <w:rPr>
                <w:b/>
              </w:rPr>
            </w:pPr>
            <w:r>
              <w:rPr>
                <w:b/>
              </w:rPr>
              <w:t>Non-current portion of lease liabilities</w:t>
            </w:r>
          </w:p>
        </w:tc>
        <w:tc>
          <w:tcPr>
            <w:tcW w:w="90" w:type="dxa"/>
            <w:tcBorders>
              <w:bottom w:val="single" w:sz="12" w:space="0" w:color="000000"/>
            </w:tcBorders>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9" w:type="dxa"/>
            <w:tcBorders>
              <w:bottom w:val="single" w:sz="12" w:space="0" w:color="000000"/>
            </w:tcBorders>
            <w:vAlign w:val="center"/>
          </w:tcPr>
          <w:p>
            <w:pPr>
              <w:pStyle w:val="TableContents"/>
              <w:bidi w:val="0"/>
              <w:spacing w:before="0" w:after="283"/>
              <w:jc w:val="left"/>
              <w:rPr/>
            </w:pPr>
            <w:r>
              <w:rPr/>
              <w:t> </w:t>
            </w:r>
          </w:p>
        </w:tc>
        <w:tc>
          <w:tcPr>
            <w:tcW w:w="751"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67" w:type="dxa"/>
            <w:tcBorders>
              <w:bottom w:val="single" w:sz="12" w:space="0" w:color="000000"/>
            </w:tcBorders>
            <w:vAlign w:val="center"/>
          </w:tcPr>
          <w:p>
            <w:pPr>
              <w:pStyle w:val="TableContents"/>
              <w:bidi w:val="0"/>
              <w:spacing w:before="0" w:after="283"/>
              <w:jc w:val="left"/>
              <w:rPr/>
            </w:pPr>
            <w:r>
              <w:rPr/>
              <w:t> </w:t>
            </w:r>
          </w:p>
        </w:tc>
        <w:tc>
          <w:tcPr>
            <w:tcW w:w="863"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4" w:type="dxa"/>
            <w:tcBorders>
              <w:bottom w:val="single" w:sz="12" w:space="0" w:color="000000"/>
            </w:tcBorders>
            <w:vAlign w:val="center"/>
          </w:tcPr>
          <w:p>
            <w:pPr>
              <w:pStyle w:val="TableContents"/>
              <w:bidi w:val="0"/>
              <w:spacing w:before="0" w:after="283"/>
              <w:jc w:val="left"/>
              <w:rPr/>
            </w:pPr>
            <w:r>
              <w:rPr/>
              <w:t> </w:t>
            </w:r>
          </w:p>
        </w:tc>
        <w:tc>
          <w:tcPr>
            <w:tcW w:w="988"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b/>
              </w:rPr>
            </w:pPr>
            <w:r>
              <w:rPr>
                <w:b/>
              </w:rPr>
              <w:t>19,750</w:t>
            </w:r>
          </w:p>
        </w:tc>
        <w:tc>
          <w:tcPr>
            <w:tcW w:w="172"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06"/>
        <w:gridCol w:w="90"/>
        <w:gridCol w:w="105"/>
        <w:gridCol w:w="830"/>
        <w:gridCol w:w="125"/>
        <w:gridCol w:w="90"/>
        <w:gridCol w:w="139"/>
        <w:gridCol w:w="751"/>
        <w:gridCol w:w="125"/>
        <w:gridCol w:w="90"/>
        <w:gridCol w:w="176"/>
        <w:gridCol w:w="954"/>
        <w:gridCol w:w="125"/>
        <w:gridCol w:w="90"/>
        <w:gridCol w:w="132"/>
        <w:gridCol w:w="1055"/>
        <w:gridCol w:w="125"/>
        <w:gridCol w:w="90"/>
        <w:gridCol w:w="105"/>
        <w:gridCol w:w="830"/>
        <w:gridCol w:w="172"/>
      </w:tblGrid>
      <w:tr>
        <w:trPr/>
        <w:tc>
          <w:tcPr>
            <w:tcW w:w="4006"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35" w:type="dxa"/>
            <w:gridSpan w:val="2"/>
            <w:tcBorders>
              <w:bottom w:val="single" w:sz="8" w:space="0" w:color="000000"/>
            </w:tcBorders>
            <w:vAlign w:val="center"/>
          </w:tcPr>
          <w:p>
            <w:pPr>
              <w:pStyle w:val="TableContents"/>
              <w:bidi w:val="0"/>
              <w:spacing w:before="0" w:after="283"/>
              <w:jc w:val="right"/>
              <w:rPr>
                <w:b/>
              </w:rPr>
            </w:pPr>
            <w:r>
              <w:rPr>
                <w:b/>
              </w:rPr>
              <w:t>Leased</w:t>
              <w:br/>
              <w:t>premises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90" w:type="dxa"/>
            <w:gridSpan w:val="2"/>
            <w:tcBorders>
              <w:bottom w:val="single" w:sz="8" w:space="0" w:color="000000"/>
            </w:tcBorders>
            <w:vAlign w:val="center"/>
          </w:tcPr>
          <w:p>
            <w:pPr>
              <w:pStyle w:val="TableContents"/>
              <w:bidi w:val="0"/>
              <w:spacing w:before="0" w:after="283"/>
              <w:jc w:val="right"/>
              <w:rPr>
                <w:b/>
              </w:rPr>
            </w:pPr>
            <w:r>
              <w:rPr>
                <w:b/>
              </w:rPr>
              <w:t>Vehicles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130" w:type="dxa"/>
            <w:gridSpan w:val="2"/>
            <w:tcBorders>
              <w:bottom w:val="single" w:sz="8" w:space="0" w:color="000000"/>
            </w:tcBorders>
            <w:vAlign w:val="center"/>
          </w:tcPr>
          <w:p>
            <w:pPr>
              <w:pStyle w:val="TableContents"/>
              <w:bidi w:val="0"/>
              <w:spacing w:before="0" w:after="283"/>
              <w:jc w:val="right"/>
              <w:rPr>
                <w:b/>
              </w:rPr>
            </w:pPr>
            <w:r>
              <w:rPr>
                <w:b/>
              </w:rPr>
              <w:t>Other</w:t>
              <w:br/>
              <w:t>equipment</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187" w:type="dxa"/>
            <w:gridSpan w:val="2"/>
            <w:tcBorders>
              <w:bottom w:val="single" w:sz="8" w:space="0" w:color="000000"/>
            </w:tcBorders>
            <w:vAlign w:val="center"/>
          </w:tcPr>
          <w:p>
            <w:pPr>
              <w:pStyle w:val="TableContents"/>
              <w:bidi w:val="0"/>
              <w:spacing w:before="0" w:after="283"/>
              <w:jc w:val="right"/>
              <w:rPr>
                <w:b/>
              </w:rPr>
            </w:pPr>
            <w:r>
              <w:rPr>
                <w:b/>
              </w:rPr>
              <w:t>Total ROU</w:t>
              <w:br/>
              <w:t>assets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35" w:type="dxa"/>
            <w:gridSpan w:val="2"/>
            <w:tcBorders>
              <w:bottom w:val="single" w:sz="8" w:space="0" w:color="000000"/>
            </w:tcBorders>
            <w:vAlign w:val="center"/>
          </w:tcPr>
          <w:p>
            <w:pPr>
              <w:pStyle w:val="TableContents"/>
              <w:bidi w:val="0"/>
              <w:spacing w:before="0" w:after="283"/>
              <w:jc w:val="right"/>
              <w:rPr>
                <w:b/>
              </w:rPr>
            </w:pPr>
            <w:r>
              <w:rPr>
                <w:b/>
              </w:rPr>
              <w:t>Lease</w:t>
              <w:br/>
              <w:t>liabilities</w:t>
            </w:r>
          </w:p>
        </w:tc>
        <w:tc>
          <w:tcPr>
            <w:tcW w:w="172" w:type="dxa"/>
            <w:tcBorders>
              <w:bottom w:val="single" w:sz="8" w:space="0" w:color="000000"/>
            </w:tcBorders>
            <w:vAlign w:val="center"/>
          </w:tcPr>
          <w:p>
            <w:pPr>
              <w:pStyle w:val="TableContents"/>
              <w:bidi w:val="0"/>
              <w:spacing w:before="0" w:after="283"/>
              <w:jc w:val="right"/>
              <w:rPr/>
            </w:pPr>
            <w:r>
              <w:rPr/>
              <w:t> </w:t>
            </w:r>
          </w:p>
        </w:tc>
      </w:tr>
      <w:tr>
        <w:trPr/>
        <w:tc>
          <w:tcPr>
            <w:tcW w:w="4006" w:type="dxa"/>
            <w:tcBorders>
              <w:bottom w:val="single" w:sz="8" w:space="0" w:color="000000"/>
            </w:tcBorders>
            <w:shd w:fill="CCEEFF" w:val="clear"/>
            <w:vAlign w:val="center"/>
          </w:tcPr>
          <w:p>
            <w:pPr>
              <w:pStyle w:val="TableContents"/>
              <w:bidi w:val="0"/>
              <w:spacing w:before="0" w:after="283"/>
              <w:jc w:val="left"/>
              <w:rPr/>
            </w:pPr>
            <w:r>
              <w:rPr/>
              <w:t>As of January 1, 2023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15,694</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c>
          <w:tcPr>
            <w:tcW w:w="751" w:type="dxa"/>
            <w:tcBorders>
              <w:bottom w:val="single" w:sz="8" w:space="0" w:color="000000"/>
            </w:tcBorders>
            <w:shd w:fill="CCEEFF" w:val="clear"/>
            <w:vAlign w:val="center"/>
          </w:tcPr>
          <w:p>
            <w:pPr>
              <w:pStyle w:val="TableContents"/>
              <w:bidi w:val="0"/>
              <w:spacing w:before="0" w:after="283"/>
              <w:jc w:val="right"/>
              <w:rPr/>
            </w:pPr>
            <w:r>
              <w:rPr/>
              <w:t>265</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283"/>
              <w:jc w:val="right"/>
              <w:rPr/>
            </w:pPr>
            <w:r>
              <w:rPr/>
              <w:t>405</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16,364</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17,864</w:t>
            </w:r>
          </w:p>
        </w:tc>
        <w:tc>
          <w:tcPr>
            <w:tcW w:w="172"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4006" w:type="dxa"/>
            <w:tcBorders/>
            <w:tcMar>
              <w:bottom w:w="0" w:type="dxa"/>
            </w:tcMar>
            <w:vAlign w:val="center"/>
          </w:tcPr>
          <w:p>
            <w:pPr>
              <w:pStyle w:val="TableContents"/>
              <w:bidi w:val="0"/>
              <w:spacing w:before="0" w:after="283"/>
              <w:jc w:val="left"/>
              <w:rPr/>
            </w:pPr>
            <w:r>
              <w:rPr/>
              <w:t>Additions and extensions to ROU assets</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1,020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right"/>
              <w:rPr/>
            </w:pPr>
            <w:r>
              <w:rPr/>
              <w:t>534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6" w:type="dxa"/>
            <w:tcBorders/>
            <w:tcMar>
              <w:bottom w:w="0" w:type="dxa"/>
            </w:tcMar>
            <w:vAlign w:val="center"/>
          </w:tcPr>
          <w:p>
            <w:pPr>
              <w:pStyle w:val="TableContents"/>
              <w:bidi w:val="0"/>
              <w:spacing w:before="0" w:after="283"/>
              <w:jc w:val="left"/>
              <w:rPr/>
            </w:pPr>
            <w:r>
              <w:rPr/>
              <w:t> </w:t>
            </w:r>
          </w:p>
        </w:tc>
        <w:tc>
          <w:tcPr>
            <w:tcW w:w="95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1,554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1,553</w:t>
            </w:r>
          </w:p>
        </w:tc>
        <w:tc>
          <w:tcPr>
            <w:tcW w:w="172" w:type="dxa"/>
            <w:tcBorders/>
            <w:tcMar>
              <w:bottom w:w="0" w:type="dxa"/>
            </w:tcMar>
            <w:vAlign w:val="center"/>
          </w:tcPr>
          <w:p>
            <w:pPr>
              <w:pStyle w:val="TableContents"/>
              <w:bidi w:val="0"/>
              <w:spacing w:before="0" w:after="283"/>
              <w:jc w:val="left"/>
              <w:rPr/>
            </w:pPr>
            <w:r>
              <w:rPr/>
              <w:t> </w:t>
            </w:r>
          </w:p>
        </w:tc>
      </w:tr>
      <w:tr>
        <w:trPr/>
        <w:tc>
          <w:tcPr>
            <w:tcW w:w="4006" w:type="dxa"/>
            <w:tcBorders/>
            <w:shd w:fill="CCEEFF" w:val="clear"/>
            <w:tcMar>
              <w:bottom w:w="0" w:type="dxa"/>
            </w:tcMar>
            <w:vAlign w:val="center"/>
          </w:tcPr>
          <w:p>
            <w:pPr>
              <w:pStyle w:val="TableContents"/>
              <w:bidi w:val="0"/>
              <w:spacing w:before="0" w:after="283"/>
              <w:jc w:val="left"/>
              <w:rPr/>
            </w:pPr>
            <w:r>
              <w:rPr/>
              <w:t>Reclass to property, plant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(364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(364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4006" w:type="dxa"/>
            <w:tcBorders/>
            <w:tcMar>
              <w:bottom w:w="0" w:type="dxa"/>
            </w:tcMar>
            <w:vAlign w:val="center"/>
          </w:tcPr>
          <w:p>
            <w:pPr>
              <w:pStyle w:val="TableContents"/>
              <w:bidi w:val="0"/>
              <w:spacing w:before="0" w:after="283"/>
              <w:jc w:val="left"/>
              <w:rPr/>
            </w:pPr>
            <w:r>
              <w:rPr/>
              <w:t>Depreciation</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(2,952</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right"/>
              <w:rPr/>
            </w:pPr>
            <w:r>
              <w:rPr/>
              <w:t>(213</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6" w:type="dxa"/>
            <w:tcBorders/>
            <w:tcMar>
              <w:bottom w:w="0" w:type="dxa"/>
            </w:tcMar>
            <w:vAlign w:val="center"/>
          </w:tcPr>
          <w:p>
            <w:pPr>
              <w:pStyle w:val="TableContents"/>
              <w:bidi w:val="0"/>
              <w:spacing w:before="0" w:after="283"/>
              <w:jc w:val="left"/>
              <w:rPr/>
            </w:pPr>
            <w:r>
              <w:rPr/>
              <w:t> </w:t>
            </w:r>
          </w:p>
        </w:tc>
        <w:tc>
          <w:tcPr>
            <w:tcW w:w="954" w:type="dxa"/>
            <w:tcBorders/>
            <w:tcMar>
              <w:bottom w:w="0" w:type="dxa"/>
            </w:tcMar>
            <w:vAlign w:val="center"/>
          </w:tcPr>
          <w:p>
            <w:pPr>
              <w:pStyle w:val="TableContents"/>
              <w:bidi w:val="0"/>
              <w:spacing w:before="0" w:after="283"/>
              <w:jc w:val="right"/>
              <w:rPr/>
            </w:pPr>
            <w:r>
              <w:rPr/>
              <w:t>(32</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32"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(3,197</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72" w:type="dxa"/>
            <w:tcBorders/>
            <w:tcMar>
              <w:bottom w:w="0" w:type="dxa"/>
            </w:tcMar>
            <w:vAlign w:val="center"/>
          </w:tcPr>
          <w:p>
            <w:pPr>
              <w:pStyle w:val="TableContents"/>
              <w:bidi w:val="0"/>
              <w:spacing w:before="0" w:after="283"/>
              <w:jc w:val="left"/>
              <w:rPr/>
            </w:pPr>
            <w:r>
              <w:rPr/>
              <w:t> </w:t>
            </w:r>
          </w:p>
        </w:tc>
      </w:tr>
      <w:tr>
        <w:trPr/>
        <w:tc>
          <w:tcPr>
            <w:tcW w:w="4006" w:type="dxa"/>
            <w:tcBorders/>
            <w:shd w:fill="CCEEFF" w:val="clear"/>
            <w:tcMar>
              <w:bottom w:w="0" w:type="dxa"/>
            </w:tcMar>
            <w:vAlign w:val="center"/>
          </w:tcPr>
          <w:p>
            <w:pPr>
              <w:pStyle w:val="TableContents"/>
              <w:bidi w:val="0"/>
              <w:spacing w:before="0" w:after="283"/>
              <w:jc w:val="left"/>
              <w:rPr/>
            </w:pPr>
            <w:r>
              <w:rPr/>
              <w:t>Lease termination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right"/>
              <w:rPr/>
            </w:pPr>
            <w:r>
              <w:rPr/>
              <w:t>(42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(23</w:t>
            </w:r>
          </w:p>
        </w:tc>
        <w:tc>
          <w:tcPr>
            <w:tcW w:w="172" w:type="dxa"/>
            <w:tcBorders/>
            <w:shd w:fill="CCEEFF" w:val="clear"/>
            <w:tcMar>
              <w:bottom w:w="0" w:type="dxa"/>
            </w:tcMar>
            <w:vAlign w:val="center"/>
          </w:tcPr>
          <w:p>
            <w:pPr>
              <w:pStyle w:val="TableContents"/>
              <w:bidi w:val="0"/>
              <w:spacing w:before="0" w:after="283"/>
              <w:jc w:val="left"/>
              <w:rPr/>
            </w:pPr>
            <w:r>
              <w:rPr/>
              <w:t>)</w:t>
            </w:r>
          </w:p>
        </w:tc>
      </w:tr>
      <w:tr>
        <w:trPr/>
        <w:tc>
          <w:tcPr>
            <w:tcW w:w="4006" w:type="dxa"/>
            <w:tcBorders/>
            <w:tcMar>
              <w:bottom w:w="0" w:type="dxa"/>
            </w:tcMar>
            <w:vAlign w:val="center"/>
          </w:tcPr>
          <w:p>
            <w:pPr>
              <w:pStyle w:val="TableContents"/>
              <w:bidi w:val="0"/>
              <w:spacing w:before="0" w:after="283"/>
              <w:jc w:val="left"/>
              <w:rPr/>
            </w:pPr>
            <w:r>
              <w:rPr/>
              <w:t>Payments</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6" w:type="dxa"/>
            <w:tcBorders/>
            <w:tcMar>
              <w:bottom w:w="0" w:type="dxa"/>
            </w:tcMar>
            <w:vAlign w:val="center"/>
          </w:tcPr>
          <w:p>
            <w:pPr>
              <w:pStyle w:val="TableContents"/>
              <w:bidi w:val="0"/>
              <w:spacing w:before="0" w:after="283"/>
              <w:jc w:val="left"/>
              <w:rPr/>
            </w:pPr>
            <w:r>
              <w:rPr/>
              <w:t> </w:t>
            </w:r>
          </w:p>
        </w:tc>
        <w:tc>
          <w:tcPr>
            <w:tcW w:w="95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(5,025</w:t>
            </w:r>
          </w:p>
        </w:tc>
        <w:tc>
          <w:tcPr>
            <w:tcW w:w="172" w:type="dxa"/>
            <w:tcBorders/>
            <w:tcMar>
              <w:bottom w:w="0" w:type="dxa"/>
            </w:tcMar>
            <w:vAlign w:val="center"/>
          </w:tcPr>
          <w:p>
            <w:pPr>
              <w:pStyle w:val="TableContents"/>
              <w:bidi w:val="0"/>
              <w:spacing w:before="0" w:after="283"/>
              <w:jc w:val="left"/>
              <w:rPr/>
            </w:pPr>
            <w:r>
              <w:rPr/>
              <w:t>)</w:t>
            </w:r>
          </w:p>
        </w:tc>
      </w:tr>
      <w:tr>
        <w:trPr/>
        <w:tc>
          <w:tcPr>
            <w:tcW w:w="4006" w:type="dxa"/>
            <w:tcBorders/>
            <w:shd w:fill="CCEEFF" w:val="clear"/>
            <w:tcMar>
              <w:bottom w:w="0" w:type="dxa"/>
            </w:tcMar>
            <w:vAlign w:val="center"/>
          </w:tcPr>
          <w:p>
            <w:pPr>
              <w:pStyle w:val="TableContents"/>
              <w:bidi w:val="0"/>
              <w:spacing w:before="0" w:after="283"/>
              <w:jc w:val="left"/>
              <w:rPr/>
            </w:pPr>
            <w:r>
              <w:rPr/>
              <w:t>Gain on extinguishment of 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(255</w:t>
            </w:r>
          </w:p>
        </w:tc>
        <w:tc>
          <w:tcPr>
            <w:tcW w:w="172" w:type="dxa"/>
            <w:tcBorders/>
            <w:shd w:fill="CCEEFF" w:val="clear"/>
            <w:tcMar>
              <w:bottom w:w="0" w:type="dxa"/>
            </w:tcMar>
            <w:vAlign w:val="center"/>
          </w:tcPr>
          <w:p>
            <w:pPr>
              <w:pStyle w:val="TableContents"/>
              <w:bidi w:val="0"/>
              <w:spacing w:before="0" w:after="283"/>
              <w:jc w:val="left"/>
              <w:rPr/>
            </w:pPr>
            <w:r>
              <w:rPr/>
              <w:t>)</w:t>
            </w:r>
          </w:p>
        </w:tc>
      </w:tr>
      <w:tr>
        <w:trPr/>
        <w:tc>
          <w:tcPr>
            <w:tcW w:w="4006" w:type="dxa"/>
            <w:tcBorders/>
            <w:tcMar>
              <w:bottom w:w="0" w:type="dxa"/>
            </w:tcMar>
            <w:vAlign w:val="center"/>
          </w:tcPr>
          <w:p>
            <w:pPr>
              <w:pStyle w:val="TableContents"/>
              <w:bidi w:val="0"/>
              <w:spacing w:before="0" w:after="283"/>
              <w:jc w:val="left"/>
              <w:rPr/>
            </w:pPr>
            <w:r>
              <w:rPr/>
              <w:t>Interest</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6" w:type="dxa"/>
            <w:tcBorders/>
            <w:tcMar>
              <w:bottom w:w="0" w:type="dxa"/>
            </w:tcMar>
            <w:vAlign w:val="center"/>
          </w:tcPr>
          <w:p>
            <w:pPr>
              <w:pStyle w:val="TableContents"/>
              <w:bidi w:val="0"/>
              <w:spacing w:before="0" w:after="283"/>
              <w:jc w:val="left"/>
              <w:rPr/>
            </w:pPr>
            <w:r>
              <w:rPr/>
              <w:t> </w:t>
            </w:r>
          </w:p>
        </w:tc>
        <w:tc>
          <w:tcPr>
            <w:tcW w:w="95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1,391</w:t>
            </w:r>
          </w:p>
        </w:tc>
        <w:tc>
          <w:tcPr>
            <w:tcW w:w="172" w:type="dxa"/>
            <w:tcBorders/>
            <w:tcMar>
              <w:bottom w:w="0" w:type="dxa"/>
            </w:tcMar>
            <w:vAlign w:val="center"/>
          </w:tcPr>
          <w:p>
            <w:pPr>
              <w:pStyle w:val="TableContents"/>
              <w:bidi w:val="0"/>
              <w:spacing w:before="0" w:after="283"/>
              <w:jc w:val="left"/>
              <w:rPr/>
            </w:pPr>
            <w:r>
              <w:rPr/>
              <w:t> </w:t>
            </w:r>
          </w:p>
        </w:tc>
      </w:tr>
      <w:tr>
        <w:trPr/>
        <w:tc>
          <w:tcPr>
            <w:tcW w:w="4006" w:type="dxa"/>
            <w:tcBorders>
              <w:bottom w:val="single" w:sz="8" w:space="0" w:color="000000"/>
            </w:tcBorders>
            <w:shd w:fill="CCEEFF" w:val="clear"/>
            <w:vAlign w:val="center"/>
          </w:tcPr>
          <w:p>
            <w:pPr>
              <w:pStyle w:val="TableContents"/>
              <w:bidi w:val="0"/>
              <w:spacing w:before="0" w:after="283"/>
              <w:jc w:val="left"/>
              <w:rPr/>
            </w:pPr>
            <w:r>
              <w:rPr/>
              <w:t>Foreign exchange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c>
          <w:tcPr>
            <w:tcW w:w="751"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345</w:t>
            </w:r>
          </w:p>
        </w:tc>
        <w:tc>
          <w:tcPr>
            <w:tcW w:w="172"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4006" w:type="dxa"/>
            <w:tcBorders>
              <w:bottom w:val="single" w:sz="8" w:space="0" w:color="000000"/>
            </w:tcBorders>
            <w:vAlign w:val="center"/>
          </w:tcPr>
          <w:p>
            <w:pPr>
              <w:pStyle w:val="TableContents"/>
              <w:bidi w:val="0"/>
              <w:spacing w:before="0" w:after="283"/>
              <w:jc w:val="left"/>
              <w:rPr/>
            </w:pPr>
            <w:r>
              <w:rPr/>
              <w:t>As of December 31, 2023</w:t>
            </w:r>
          </w:p>
        </w:tc>
        <w:tc>
          <w:tcPr>
            <w:tcW w:w="90" w:type="dxa"/>
            <w:tcBorders>
              <w:bottom w:val="single" w:sz="8" w:space="0" w:color="000000"/>
            </w:tcBorders>
            <w:vAlign w:val="center"/>
          </w:tcPr>
          <w:p>
            <w:pPr>
              <w:pStyle w:val="TableContents"/>
              <w:bidi w:val="0"/>
              <w:spacing w:before="0" w:after="283"/>
              <w:jc w:val="left"/>
              <w:rPr/>
            </w:pPr>
            <w:r>
              <w:rPr/>
              <w:t> </w:t>
            </w:r>
          </w:p>
        </w:tc>
        <w:tc>
          <w:tcPr>
            <w:tcW w:w="105"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13,762</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9" w:type="dxa"/>
            <w:tcBorders>
              <w:bottom w:val="single" w:sz="8" w:space="0" w:color="000000"/>
            </w:tcBorders>
            <w:vAlign w:val="center"/>
          </w:tcPr>
          <w:p>
            <w:pPr>
              <w:pStyle w:val="TableContents"/>
              <w:bidi w:val="0"/>
              <w:spacing w:before="0" w:after="283"/>
              <w:jc w:val="left"/>
              <w:rPr/>
            </w:pPr>
            <w:r>
              <w:rPr/>
              <w:t> </w:t>
            </w:r>
          </w:p>
        </w:tc>
        <w:tc>
          <w:tcPr>
            <w:tcW w:w="751" w:type="dxa"/>
            <w:tcBorders>
              <w:bottom w:val="single" w:sz="8" w:space="0" w:color="000000"/>
            </w:tcBorders>
            <w:vAlign w:val="center"/>
          </w:tcPr>
          <w:p>
            <w:pPr>
              <w:pStyle w:val="TableContents"/>
              <w:bidi w:val="0"/>
              <w:spacing w:before="0" w:after="283"/>
              <w:jc w:val="right"/>
              <w:rPr/>
            </w:pPr>
            <w:r>
              <w:rPr/>
              <w:t>544</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76" w:type="dxa"/>
            <w:tcBorders>
              <w:bottom w:val="single" w:sz="8" w:space="0" w:color="000000"/>
            </w:tcBorders>
            <w:vAlign w:val="center"/>
          </w:tcPr>
          <w:p>
            <w:pPr>
              <w:pStyle w:val="TableContents"/>
              <w:bidi w:val="0"/>
              <w:spacing w:before="0" w:after="283"/>
              <w:jc w:val="left"/>
              <w:rPr/>
            </w:pPr>
            <w:r>
              <w:rPr/>
              <w:t> </w:t>
            </w:r>
          </w:p>
        </w:tc>
        <w:tc>
          <w:tcPr>
            <w:tcW w:w="954" w:type="dxa"/>
            <w:tcBorders>
              <w:bottom w:val="single" w:sz="8" w:space="0" w:color="000000"/>
            </w:tcBorders>
            <w:vAlign w:val="center"/>
          </w:tcPr>
          <w:p>
            <w:pPr>
              <w:pStyle w:val="TableContents"/>
              <w:bidi w:val="0"/>
              <w:spacing w:before="0" w:after="283"/>
              <w:jc w:val="right"/>
              <w:rPr/>
            </w:pPr>
            <w:r>
              <w:rPr/>
              <w:t>9</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2" w:type="dxa"/>
            <w:tcBorders>
              <w:bottom w:val="single" w:sz="8" w:space="0" w:color="000000"/>
            </w:tcBorders>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right"/>
              <w:rPr/>
            </w:pPr>
            <w:r>
              <w:rPr/>
              <w:t>14,315</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5"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15,850</w:t>
            </w:r>
          </w:p>
        </w:tc>
        <w:tc>
          <w:tcPr>
            <w:tcW w:w="172" w:type="dxa"/>
            <w:tcBorders>
              <w:bottom w:val="single" w:sz="8" w:space="0" w:color="000000"/>
            </w:tcBorders>
            <w:vAlign w:val="center"/>
          </w:tcPr>
          <w:p>
            <w:pPr>
              <w:pStyle w:val="TableContents"/>
              <w:bidi w:val="0"/>
              <w:spacing w:before="0" w:after="283"/>
              <w:jc w:val="left"/>
              <w:rPr/>
            </w:pPr>
            <w:r>
              <w:rPr/>
              <w:t> </w:t>
            </w:r>
          </w:p>
        </w:tc>
      </w:tr>
      <w:tr>
        <w:trPr/>
        <w:tc>
          <w:tcPr>
            <w:tcW w:w="4006" w:type="dxa"/>
            <w:tcBorders>
              <w:bottom w:val="single" w:sz="8" w:space="0" w:color="000000"/>
            </w:tcBorders>
            <w:shd w:fill="CCEEFF" w:val="clear"/>
            <w:vAlign w:val="center"/>
          </w:tcPr>
          <w:p>
            <w:pPr>
              <w:pStyle w:val="TableContents"/>
              <w:bidi w:val="0"/>
              <w:spacing w:before="0" w:after="283"/>
              <w:jc w:val="left"/>
              <w:rPr/>
            </w:pPr>
            <w:r>
              <w:rPr/>
              <w:t>Less current portion of lease liabilities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c>
          <w:tcPr>
            <w:tcW w:w="751"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(2,857</w:t>
            </w:r>
          </w:p>
        </w:tc>
        <w:tc>
          <w:tcPr>
            <w:tcW w:w="172"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4006" w:type="dxa"/>
            <w:tcBorders>
              <w:bottom w:val="single" w:sz="12" w:space="0" w:color="000000"/>
            </w:tcBorders>
            <w:vAlign w:val="center"/>
          </w:tcPr>
          <w:p>
            <w:pPr>
              <w:pStyle w:val="TableContents"/>
              <w:bidi w:val="0"/>
              <w:spacing w:before="0" w:after="283"/>
              <w:jc w:val="left"/>
              <w:rPr/>
            </w:pPr>
            <w:r>
              <w:rPr/>
              <w:t>Non-current portion of lease liabilities</w:t>
            </w:r>
          </w:p>
        </w:tc>
        <w:tc>
          <w:tcPr>
            <w:tcW w:w="90" w:type="dxa"/>
            <w:tcBorders>
              <w:bottom w:val="single" w:sz="12" w:space="0" w:color="000000"/>
            </w:tcBorders>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9" w:type="dxa"/>
            <w:tcBorders>
              <w:bottom w:val="single" w:sz="12" w:space="0" w:color="000000"/>
            </w:tcBorders>
            <w:vAlign w:val="center"/>
          </w:tcPr>
          <w:p>
            <w:pPr>
              <w:pStyle w:val="TableContents"/>
              <w:bidi w:val="0"/>
              <w:spacing w:before="0" w:after="283"/>
              <w:jc w:val="left"/>
              <w:rPr/>
            </w:pPr>
            <w:r>
              <w:rPr/>
              <w:t> </w:t>
            </w:r>
          </w:p>
        </w:tc>
        <w:tc>
          <w:tcPr>
            <w:tcW w:w="751"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76" w:type="dxa"/>
            <w:tcBorders>
              <w:bottom w:val="single" w:sz="12" w:space="0" w:color="000000"/>
            </w:tcBorders>
            <w:vAlign w:val="center"/>
          </w:tcPr>
          <w:p>
            <w:pPr>
              <w:pStyle w:val="TableContents"/>
              <w:bidi w:val="0"/>
              <w:spacing w:before="0" w:after="283"/>
              <w:jc w:val="left"/>
              <w:rPr/>
            </w:pPr>
            <w:r>
              <w:rPr/>
              <w:t> </w:t>
            </w:r>
          </w:p>
        </w:tc>
        <w:tc>
          <w:tcPr>
            <w:tcW w:w="954"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2"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12,993</w:t>
            </w:r>
          </w:p>
        </w:tc>
        <w:tc>
          <w:tcPr>
            <w:tcW w:w="172"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68"/>
        <w:gridCol w:w="230"/>
        <w:gridCol w:w="204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a.</w:t>
            </w:r>
          </w:p>
        </w:tc>
        <w:tc>
          <w:tcPr>
            <w:tcW w:w="2045" w:type="dxa"/>
            <w:tcBorders/>
            <w:vAlign w:val="center"/>
          </w:tcPr>
          <w:p>
            <w:pPr>
              <w:pStyle w:val="TableContents"/>
              <w:bidi w:val="0"/>
              <w:spacing w:before="0" w:after="283"/>
              <w:jc w:val="both"/>
              <w:rPr>
                <w:b/>
              </w:rPr>
            </w:pPr>
            <w:r>
              <w:rPr>
                <w:b/>
              </w:rPr>
              <w:t>2024 lease activities</w:t>
            </w:r>
          </w:p>
        </w:tc>
      </w:tr>
    </w:tbl>
    <w:p>
      <w:pPr>
        <w:pStyle w:val="TextBody"/>
        <w:bidi w:val="0"/>
        <w:spacing w:before="12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Sharon lease agreement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2024, the Company entered into an agreement to lease an industrialized site in Sharon, Pennsylvania, United States, providing the Company immediate capacity of 12 MW of electricity and potential for up to an additional 98 MW for a total 110 MW of development capacity by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signing the lease agreement, the Company issued 1,532,745 common shares with a total value of $3,000 as a non-refundable deposit which was capitalized as part of the ROU asset. The initial lease term is five years with options to renew for a total of seventeen years along with an option to purchase the site at fair market value through the lease term or upon a change of control, as defined therein. The lease has variable minimum monthly payments increasing over the term of the lease from $33 to $138, with annual adjustments beginning after the third year. Prior to June 30, 2026, monthly lease payments can fluctuate based on the energized MW.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initial recognition, the Company recognized $11,390 of ROU asset and $8,240 of lease liability with the difference of $3,000 recorded in share capital as explained above and in Note 22.</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57 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68"/>
        <w:gridCol w:w="1115"/>
        <w:gridCol w:w="224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19:</w:t>
            </w:r>
          </w:p>
        </w:tc>
        <w:tc>
          <w:tcPr>
            <w:tcW w:w="2240" w:type="dxa"/>
            <w:tcBorders/>
            <w:vAlign w:val="center"/>
          </w:tcPr>
          <w:p>
            <w:pPr>
              <w:pStyle w:val="TableContents"/>
              <w:bidi w:val="0"/>
              <w:spacing w:before="0" w:after="283"/>
              <w:jc w:val="both"/>
              <w:rPr/>
            </w:pPr>
            <w:r>
              <w:rPr>
                <w:b/>
              </w:rPr>
              <w:t xml:space="preserve">LEASES </w:t>
            </w:r>
            <w:r>
              <w:rPr/>
              <w:t>(Continued)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663"/>
        <w:gridCol w:w="9347"/>
      </w:tblGrid>
      <w:tr>
        <w:trPr/>
        <w:tc>
          <w:tcPr>
            <w:tcW w:w="19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b/>
              </w:rPr>
            </w:pPr>
            <w:r>
              <w:rPr>
                <w:b/>
              </w:rPr>
              <w:t>a.</w:t>
            </w:r>
          </w:p>
        </w:tc>
        <w:tc>
          <w:tcPr>
            <w:tcW w:w="9347" w:type="dxa"/>
            <w:tcBorders/>
            <w:vAlign w:val="center"/>
          </w:tcPr>
          <w:p>
            <w:pPr>
              <w:pStyle w:val="TableContents"/>
              <w:bidi w:val="0"/>
              <w:spacing w:before="0" w:after="283"/>
              <w:jc w:val="both"/>
              <w:rPr/>
            </w:pPr>
            <w:r>
              <w:rPr>
                <w:b/>
              </w:rPr>
              <w:t xml:space="preserve">2024 lease activities </w:t>
            </w:r>
            <w:r>
              <w:rPr/>
              <w:t>(Continued)</w:t>
            </w:r>
          </w:p>
        </w:tc>
      </w:tr>
    </w:tbl>
    <w:p>
      <w:pPr>
        <w:pStyle w:val="TextBody"/>
        <w:bidi w:val="0"/>
        <w:spacing w:before="12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Magog lease agreement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agreed to terminate its lease for the data center in Magog, Quebec, Canada, and forfeit its fixed price purchase option in exchange for $714 (CAD$1,000) from the landlord. Concurrently, the Company signed a new lease with the same party with an initial term of 10 years with monthly payments totaling $17 (CAD$24) which took effect on December 1, 2024 and maintain an option to purchase the site at fair market value for the duration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lease agreement is considered a lease modification that resulted in the remeasurement of the lease liability by discounting the revised lease payments in addition with a corresponding adjustment made to the ROU asset of $708. The $714 payment from the landlord is considered a lease incentive which reduced the ROU asset carrying amount.</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4"/>
        <w:gridCol w:w="1060"/>
        <w:gridCol w:w="8851"/>
      </w:tblGrid>
      <w:tr>
        <w:trPr/>
        <w:tc>
          <w:tcPr>
            <w:tcW w:w="29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b/>
              </w:rPr>
            </w:pPr>
            <w:r>
              <w:rPr>
                <w:b/>
              </w:rPr>
              <w:t>b.</w:t>
            </w:r>
          </w:p>
        </w:tc>
        <w:tc>
          <w:tcPr>
            <w:tcW w:w="8851" w:type="dxa"/>
            <w:tcBorders/>
            <w:vAlign w:val="center"/>
          </w:tcPr>
          <w:p>
            <w:pPr>
              <w:pStyle w:val="TableContents"/>
              <w:bidi w:val="0"/>
              <w:spacing w:before="0" w:after="283"/>
              <w:jc w:val="both"/>
              <w:rPr>
                <w:b/>
              </w:rPr>
            </w:pPr>
            <w:r>
              <w:rPr>
                <w:b/>
              </w:rPr>
              <w:t>2023 lease activities</w:t>
            </w:r>
          </w:p>
        </w:tc>
      </w:tr>
    </w:tbl>
    <w:p>
      <w:pPr>
        <w:pStyle w:val="TextBody"/>
        <w:bidi w:val="0"/>
        <w:spacing w:before="12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Reliz Lease</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negotiated a modification to its lease agreement with Reliz Ltd. (where BlockFi was the lender to Reliz Ltd.) in order to settle its outstanding lease liability of $373 for a payment of $118. Refer to Note 29 for more details.</w:t>
      </w:r>
    </w:p>
    <w:p>
      <w:pPr>
        <w:pStyle w:val="TextBody"/>
        <w:bidi w:val="0"/>
        <w:spacing w:before="0" w:after="0"/>
        <w:ind w:left="0"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Baie-Comeau</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2023, in conjunction with the Baie-Comeau acquisition described in Note 5, the Company entered into a lease agreement with a third party for a site to install the infrastructure to operate the acquired capacity. The lease agreement is for an industrial site in Baie-Comeau, Quebec, Canada, for an initial term of 10 years at $16 (CAD$21) a month with an annual adjustment at the lesser of (i) the change in the Consumer Price Index and (ii) 3%. The lease agreement also provides the Company with the option to purchase the site for $2,248 (CAD$3,000) with an annual adjustment at the lesser of (i) the change in the Consumer Price Index and (ii) 3% throughout the lease term.</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58 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 w:name="a_028"/>
      <w:bookmarkStart w:id="62" w:name="a_028"/>
      <w:bookmarkEnd w:id="62"/>
    </w:p>
    <w:tbl>
      <w:tblPr>
        <w:tblW w:w="3243" w:type="dxa"/>
        <w:jc w:val="left"/>
        <w:tblInd w:w="0" w:type="dxa"/>
        <w:tblLayout w:type="fixed"/>
        <w:tblCellMar>
          <w:top w:w="0" w:type="dxa"/>
          <w:left w:w="0" w:type="dxa"/>
          <w:bottom w:w="0" w:type="dxa"/>
          <w:right w:w="0" w:type="dxa"/>
        </w:tblCellMar>
      </w:tblPr>
      <w:tblGrid>
        <w:gridCol w:w="68"/>
        <w:gridCol w:w="1175"/>
        <w:gridCol w:w="2000"/>
      </w:tblGrid>
      <w:tr>
        <w:trPr/>
        <w:tc>
          <w:tcPr>
            <w:tcW w:w="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b/>
              </w:rPr>
            </w:pPr>
            <w:r>
              <w:rPr>
                <w:b/>
              </w:rPr>
              <w:t xml:space="preserve">NOTE 20: </w:t>
            </w:r>
          </w:p>
        </w:tc>
        <w:tc>
          <w:tcPr>
            <w:tcW w:w="2000" w:type="dxa"/>
            <w:tcBorders/>
            <w:vAlign w:val="center"/>
          </w:tcPr>
          <w:p>
            <w:pPr>
              <w:pStyle w:val="TableContents"/>
              <w:bidi w:val="0"/>
              <w:spacing w:before="0" w:after="283"/>
              <w:jc w:val="both"/>
              <w:rPr>
                <w:b/>
              </w:rPr>
            </w:pPr>
            <w:r>
              <w:rPr>
                <w:b/>
              </w:rPr>
              <w:t>INCOME TAXES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and deferred income tax (expense) recovery</w:t>
      </w:r>
    </w:p>
    <w:p>
      <w:pPr>
        <w:pStyle w:val="TextBody"/>
        <w:bidi w:val="0"/>
        <w:spacing w:before="0" w:after="0"/>
        <w:ind w:left="0" w:right="0" w:hanging="0"/>
        <w:jc w:val="both"/>
        <w:rPr>
          <w:caps w:val="false"/>
          <w:smallCaps w:val="false"/>
        </w:rPr>
      </w:pPr>
      <w:r>
        <w:rPr>
          <w:caps w:val="false"/>
          <w:smallCaps w:val="false"/>
        </w:rPr>
        <w:t> </w:t>
      </w:r>
    </w:p>
    <w:tbl>
      <w:tblPr>
        <w:tblW w:w="6326" w:type="dxa"/>
        <w:jc w:val="left"/>
        <w:tblInd w:w="0" w:type="dxa"/>
        <w:tblLayout w:type="fixed"/>
        <w:tblCellMar>
          <w:top w:w="0" w:type="dxa"/>
          <w:left w:w="0" w:type="dxa"/>
          <w:bottom w:w="28" w:type="dxa"/>
          <w:right w:w="0" w:type="dxa"/>
        </w:tblCellMar>
      </w:tblPr>
      <w:tblGrid>
        <w:gridCol w:w="3380"/>
        <w:gridCol w:w="90"/>
        <w:gridCol w:w="136"/>
        <w:gridCol w:w="1079"/>
        <w:gridCol w:w="189"/>
        <w:gridCol w:w="136"/>
        <w:gridCol w:w="136"/>
        <w:gridCol w:w="1010"/>
        <w:gridCol w:w="170"/>
      </w:tblGrid>
      <w:tr>
        <w:trPr/>
        <w:tc>
          <w:tcPr>
            <w:tcW w:w="338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686"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8" w:space="0" w:color="000000"/>
            </w:tcBorders>
            <w:vAlign w:val="center"/>
          </w:tcPr>
          <w:p>
            <w:pPr>
              <w:pStyle w:val="TableContents"/>
              <w:bidi w:val="0"/>
              <w:spacing w:before="0" w:after="283"/>
              <w:jc w:val="right"/>
              <w:rPr/>
            </w:pPr>
            <w:r>
              <w:rPr/>
              <w:t> </w:t>
            </w:r>
          </w:p>
        </w:tc>
      </w:tr>
      <w:tr>
        <w:trPr/>
        <w:tc>
          <w:tcPr>
            <w:tcW w:w="338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215" w:type="dxa"/>
            <w:gridSpan w:val="2"/>
            <w:tcBorders>
              <w:bottom w:val="single" w:sz="8" w:space="0" w:color="000000"/>
            </w:tcBorders>
            <w:vAlign w:val="center"/>
          </w:tcPr>
          <w:p>
            <w:pPr>
              <w:pStyle w:val="TableContents"/>
              <w:bidi w:val="0"/>
              <w:spacing w:before="0" w:after="283"/>
              <w:jc w:val="right"/>
              <w:rPr>
                <w:b/>
              </w:rPr>
            </w:pPr>
            <w:r>
              <w:rPr>
                <w:b/>
              </w:rPr>
              <w:t>2024</w:t>
            </w:r>
          </w:p>
        </w:tc>
        <w:tc>
          <w:tcPr>
            <w:tcW w:w="189" w:type="dxa"/>
            <w:tcBorders>
              <w:bottom w:val="single" w:sz="8" w:space="0" w:color="000000"/>
            </w:tcBorders>
            <w:vAlign w:val="center"/>
          </w:tcPr>
          <w:p>
            <w:pPr>
              <w:pStyle w:val="TableContents"/>
              <w:bidi w:val="0"/>
              <w:spacing w:before="0" w:after="283"/>
              <w:jc w:val="right"/>
              <w:rPr/>
            </w:pPr>
            <w:r>
              <w:rPr/>
              <w:t> </w:t>
            </w:r>
          </w:p>
        </w:tc>
        <w:tc>
          <w:tcPr>
            <w:tcW w:w="136" w:type="dxa"/>
            <w:tcBorders>
              <w:bottom w:val="single" w:sz="8" w:space="0" w:color="000000"/>
            </w:tcBorders>
            <w:vAlign w:val="center"/>
          </w:tcPr>
          <w:p>
            <w:pPr>
              <w:pStyle w:val="TableContents"/>
              <w:bidi w:val="0"/>
              <w:spacing w:before="0" w:after="283"/>
              <w:jc w:val="right"/>
              <w:rPr/>
            </w:pPr>
            <w:r>
              <w:rPr/>
              <w:t> </w:t>
            </w:r>
          </w:p>
        </w:tc>
        <w:tc>
          <w:tcPr>
            <w:tcW w:w="1146" w:type="dxa"/>
            <w:gridSpan w:val="2"/>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vAlign w:val="center"/>
          </w:tcPr>
          <w:p>
            <w:pPr>
              <w:pStyle w:val="TableContents"/>
              <w:bidi w:val="0"/>
              <w:spacing w:before="0" w:after="283"/>
              <w:jc w:val="right"/>
              <w:rPr/>
            </w:pPr>
            <w:r>
              <w:rPr/>
              <w:t> </w:t>
            </w:r>
          </w:p>
        </w:tc>
      </w:tr>
      <w:tr>
        <w:trPr/>
        <w:tc>
          <w:tcPr>
            <w:tcW w:w="3380" w:type="dxa"/>
            <w:tcBorders/>
            <w:tcMar>
              <w:bottom w:w="0" w:type="dxa"/>
            </w:tcMar>
            <w:vAlign w:val="center"/>
          </w:tcPr>
          <w:p>
            <w:pPr>
              <w:pStyle w:val="TableContents"/>
              <w:bidi w:val="0"/>
              <w:spacing w:before="0" w:after="283"/>
              <w:jc w:val="left"/>
              <w:rPr>
                <w:b/>
              </w:rPr>
            </w:pPr>
            <w:r>
              <w:rPr>
                <w:b/>
              </w:rPr>
              <w:t>Current tax (expense) recovery:</w:t>
            </w:r>
          </w:p>
        </w:tc>
        <w:tc>
          <w:tcPr>
            <w:tcW w:w="90" w:type="dxa"/>
            <w:tcBorders/>
            <w:tcMar>
              <w:bottom w:w="0" w:type="dxa"/>
            </w:tcMar>
            <w:vAlign w:val="center"/>
          </w:tcPr>
          <w:p>
            <w:pPr>
              <w:pStyle w:val="TableContents"/>
              <w:bidi w:val="0"/>
              <w:spacing w:before="0" w:after="283"/>
              <w:jc w:val="left"/>
              <w:rPr/>
            </w:pPr>
            <w:r>
              <w:rPr/>
              <w:t> </w:t>
            </w:r>
          </w:p>
        </w:tc>
        <w:tc>
          <w:tcPr>
            <w:tcW w:w="1215" w:type="dxa"/>
            <w:gridSpan w:val="2"/>
            <w:tcBorders/>
            <w:tcMar>
              <w:bottom w:w="0" w:type="dxa"/>
            </w:tcMar>
            <w:vAlign w:val="center"/>
          </w:tcPr>
          <w:p>
            <w:pPr>
              <w:pStyle w:val="TableContents"/>
              <w:bidi w:val="0"/>
              <w:spacing w:before="0" w:after="283"/>
              <w:jc w:val="left"/>
              <w:rPr/>
            </w:pPr>
            <w:r>
              <w:rPr/>
              <w:t> </w:t>
            </w:r>
          </w:p>
        </w:tc>
        <w:tc>
          <w:tcPr>
            <w:tcW w:w="189"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146"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283"/>
              <w:jc w:val="left"/>
              <w:rPr/>
            </w:pPr>
            <w:r>
              <w:rPr/>
              <w:t>Current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b/>
              </w:rPr>
            </w:pPr>
            <w:r>
              <w:rPr>
                <w:b/>
              </w:rPr>
              <w:t>(498</w:t>
            </w:r>
          </w:p>
        </w:tc>
        <w:tc>
          <w:tcPr>
            <w:tcW w:w="189" w:type="dxa"/>
            <w:tcBorders/>
            <w:shd w:fill="CCEEFF" w:val="clear"/>
            <w:tcMar>
              <w:bottom w:w="0" w:type="dxa"/>
            </w:tcMar>
            <w:vAlign w:val="center"/>
          </w:tcPr>
          <w:p>
            <w:pPr>
              <w:pStyle w:val="TableContents"/>
              <w:bidi w:val="0"/>
              <w:spacing w:before="0" w:after="283"/>
              <w:jc w:val="left"/>
              <w:rPr>
                <w:b/>
              </w:rPr>
            </w:pPr>
            <w:r>
              <w:rPr>
                <w:b/>
              </w:rPr>
              <w:t>)</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(2,679</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380" w:type="dxa"/>
            <w:tcBorders>
              <w:bottom w:val="single" w:sz="8" w:space="0" w:color="000000"/>
            </w:tcBorders>
            <w:vAlign w:val="center"/>
          </w:tcPr>
          <w:p>
            <w:pPr>
              <w:pStyle w:val="TableContents"/>
              <w:bidi w:val="0"/>
              <w:spacing w:before="0" w:after="283"/>
              <w:jc w:val="left"/>
              <w:rPr/>
            </w:pPr>
            <w:r>
              <w:rPr/>
              <w:t>Prior year</w:t>
            </w:r>
          </w:p>
        </w:tc>
        <w:tc>
          <w:tcPr>
            <w:tcW w:w="90" w:type="dxa"/>
            <w:tcBorders>
              <w:bottom w:val="single" w:sz="8" w:space="0" w:color="000000"/>
            </w:tcBorders>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079" w:type="dxa"/>
            <w:tcBorders>
              <w:bottom w:val="single" w:sz="8" w:space="0" w:color="000000"/>
            </w:tcBorders>
            <w:vAlign w:val="center"/>
          </w:tcPr>
          <w:p>
            <w:pPr>
              <w:pStyle w:val="TableContents"/>
              <w:bidi w:val="0"/>
              <w:spacing w:before="0" w:after="283"/>
              <w:jc w:val="right"/>
              <w:rPr>
                <w:b/>
              </w:rPr>
            </w:pPr>
            <w:r>
              <w:rPr>
                <w:b/>
              </w:rPr>
              <w:t>748</w:t>
            </w:r>
          </w:p>
        </w:tc>
        <w:tc>
          <w:tcPr>
            <w:tcW w:w="189" w:type="dxa"/>
            <w:tcBorders>
              <w:bottom w:val="single" w:sz="8" w:space="0" w:color="000000"/>
            </w:tcBorders>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right"/>
              <w:rPr/>
            </w:pPr>
            <w:r>
              <w:rPr/>
              <w:t>(252</w:t>
            </w:r>
          </w:p>
        </w:tc>
        <w:tc>
          <w:tcPr>
            <w:tcW w:w="170" w:type="dxa"/>
            <w:tcBorders>
              <w:bottom w:val="single" w:sz="8" w:space="0" w:color="000000"/>
            </w:tcBorders>
            <w:vAlign w:val="center"/>
          </w:tcPr>
          <w:p>
            <w:pPr>
              <w:pStyle w:val="TableContents"/>
              <w:bidi w:val="0"/>
              <w:spacing w:before="0" w:after="283"/>
              <w:jc w:val="left"/>
              <w:rPr/>
            </w:pPr>
            <w:r>
              <w:rPr/>
              <w:t>)</w:t>
            </w:r>
          </w:p>
        </w:tc>
      </w:tr>
      <w:tr>
        <w:trPr/>
        <w:tc>
          <w:tcPr>
            <w:tcW w:w="338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079" w:type="dxa"/>
            <w:tcBorders>
              <w:bottom w:val="single" w:sz="8" w:space="0" w:color="000000"/>
            </w:tcBorders>
            <w:shd w:fill="CCEEFF" w:val="clear"/>
            <w:vAlign w:val="center"/>
          </w:tcPr>
          <w:p>
            <w:pPr>
              <w:pStyle w:val="TableContents"/>
              <w:bidi w:val="0"/>
              <w:spacing w:before="0" w:after="283"/>
              <w:jc w:val="right"/>
              <w:rPr>
                <w:b/>
              </w:rPr>
            </w:pPr>
            <w:r>
              <w:rPr>
                <w:b/>
              </w:rPr>
              <w:t>250</w:t>
            </w:r>
          </w:p>
        </w:tc>
        <w:tc>
          <w:tcPr>
            <w:tcW w:w="189" w:type="dxa"/>
            <w:tcBorders>
              <w:bottom w:val="single" w:sz="8" w:space="0" w:color="000000"/>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010" w:type="dxa"/>
            <w:tcBorders>
              <w:bottom w:val="single" w:sz="8" w:space="0" w:color="000000"/>
            </w:tcBorders>
            <w:shd w:fill="CCEEFF" w:val="clear"/>
            <w:vAlign w:val="center"/>
          </w:tcPr>
          <w:p>
            <w:pPr>
              <w:pStyle w:val="TableContents"/>
              <w:bidi w:val="0"/>
              <w:spacing w:before="0" w:after="283"/>
              <w:jc w:val="right"/>
              <w:rPr/>
            </w:pPr>
            <w:r>
              <w:rPr/>
              <w:t>(2,931</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33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right"/>
              <w:rPr/>
            </w:pPr>
            <w:r>
              <w:rPr/>
              <w:t> </w:t>
            </w:r>
          </w:p>
        </w:tc>
        <w:tc>
          <w:tcPr>
            <w:tcW w:w="189"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283"/>
              <w:jc w:val="left"/>
              <w:rPr>
                <w:b/>
              </w:rPr>
            </w:pPr>
            <w:r>
              <w:rPr>
                <w:b/>
              </w:rPr>
              <w:t>Deferred tax recovery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tcMar>
              <w:bottom w:w="0" w:type="dxa"/>
            </w:tcMar>
            <w:vAlign w:val="center"/>
          </w:tcPr>
          <w:p>
            <w:pPr>
              <w:pStyle w:val="TableContents"/>
              <w:bidi w:val="0"/>
              <w:spacing w:before="0" w:after="283"/>
              <w:jc w:val="left"/>
              <w:rPr/>
            </w:pPr>
            <w:r>
              <w:rPr/>
              <w:t>Current year</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right"/>
              <w:rPr>
                <w:b/>
              </w:rPr>
            </w:pPr>
            <w:r>
              <w:rPr>
                <w:b/>
              </w:rPr>
              <w:t>14,845</w:t>
            </w:r>
          </w:p>
        </w:tc>
        <w:tc>
          <w:tcPr>
            <w:tcW w:w="189"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4,703</w:t>
            </w:r>
          </w:p>
        </w:tc>
        <w:tc>
          <w:tcPr>
            <w:tcW w:w="170" w:type="dxa"/>
            <w:tcBorders/>
            <w:tcMar>
              <w:bottom w:w="0" w:type="dxa"/>
            </w:tcMar>
            <w:vAlign w:val="center"/>
          </w:tcPr>
          <w:p>
            <w:pPr>
              <w:pStyle w:val="TableContents"/>
              <w:bidi w:val="0"/>
              <w:spacing w:before="0" w:after="283"/>
              <w:jc w:val="left"/>
              <w:rPr/>
            </w:pPr>
            <w:r>
              <w:rPr/>
              <w:t> </w:t>
            </w:r>
          </w:p>
        </w:tc>
      </w:tr>
      <w:tr>
        <w:trPr/>
        <w:tc>
          <w:tcPr>
            <w:tcW w:w="3380" w:type="dxa"/>
            <w:tcBorders>
              <w:bottom w:val="single" w:sz="8" w:space="0" w:color="000000"/>
            </w:tcBorders>
            <w:shd w:fill="CCEEFF" w:val="clear"/>
            <w:vAlign w:val="center"/>
          </w:tcPr>
          <w:p>
            <w:pPr>
              <w:pStyle w:val="TableContents"/>
              <w:bidi w:val="0"/>
              <w:spacing w:before="0" w:after="283"/>
              <w:jc w:val="left"/>
              <w:rPr/>
            </w:pPr>
            <w:r>
              <w:rPr/>
              <w:t>Prior year</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079" w:type="dxa"/>
            <w:tcBorders>
              <w:bottom w:val="single" w:sz="8" w:space="0" w:color="000000"/>
            </w:tcBorders>
            <w:shd w:fill="CCEEFF" w:val="clear"/>
            <w:vAlign w:val="center"/>
          </w:tcPr>
          <w:p>
            <w:pPr>
              <w:pStyle w:val="TableContents"/>
              <w:bidi w:val="0"/>
              <w:spacing w:before="0" w:after="283"/>
              <w:jc w:val="right"/>
              <w:rPr>
                <w:b/>
              </w:rPr>
            </w:pPr>
            <w:r>
              <w:rPr>
                <w:b/>
              </w:rPr>
              <w:t>(805</w:t>
            </w:r>
          </w:p>
        </w:tc>
        <w:tc>
          <w:tcPr>
            <w:tcW w:w="189"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010" w:type="dxa"/>
            <w:tcBorders>
              <w:bottom w:val="single" w:sz="8" w:space="0" w:color="000000"/>
            </w:tcBorders>
            <w:shd w:fill="CCEEFF" w:val="clear"/>
            <w:vAlign w:val="center"/>
          </w:tcPr>
          <w:p>
            <w:pPr>
              <w:pStyle w:val="TableContents"/>
              <w:bidi w:val="0"/>
              <w:spacing w:before="0" w:after="283"/>
              <w:jc w:val="right"/>
              <w:rPr/>
            </w:pPr>
            <w:r>
              <w:rPr/>
              <w:t>(1,371</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338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079" w:type="dxa"/>
            <w:tcBorders>
              <w:bottom w:val="single" w:sz="8" w:space="0" w:color="000000"/>
            </w:tcBorders>
            <w:vAlign w:val="center"/>
          </w:tcPr>
          <w:p>
            <w:pPr>
              <w:pStyle w:val="TableContents"/>
              <w:bidi w:val="0"/>
              <w:spacing w:before="0" w:after="283"/>
              <w:jc w:val="right"/>
              <w:rPr>
                <w:b/>
              </w:rPr>
            </w:pPr>
            <w:r>
              <w:rPr>
                <w:b/>
              </w:rPr>
              <w:t>14,040</w:t>
            </w:r>
          </w:p>
        </w:tc>
        <w:tc>
          <w:tcPr>
            <w:tcW w:w="189" w:type="dxa"/>
            <w:tcBorders>
              <w:bottom w:val="single" w:sz="8" w:space="0" w:color="000000"/>
            </w:tcBorders>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right"/>
              <w:rPr/>
            </w:pPr>
            <w:r>
              <w:rPr/>
              <w:t>3,332</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338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079" w:type="dxa"/>
            <w:tcBorders>
              <w:bottom w:val="single" w:sz="12" w:space="0" w:color="000000"/>
            </w:tcBorders>
            <w:shd w:fill="CCEEFF" w:val="clear"/>
            <w:vAlign w:val="center"/>
          </w:tcPr>
          <w:p>
            <w:pPr>
              <w:pStyle w:val="TableContents"/>
              <w:bidi w:val="0"/>
              <w:spacing w:before="0" w:after="283"/>
              <w:jc w:val="right"/>
              <w:rPr>
                <w:b/>
              </w:rPr>
            </w:pPr>
            <w:r>
              <w:rPr>
                <w:b/>
              </w:rPr>
              <w:t>14,290</w:t>
            </w:r>
          </w:p>
        </w:tc>
        <w:tc>
          <w:tcPr>
            <w:tcW w:w="189"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401</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tax rate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853"/>
        <w:gridCol w:w="90"/>
        <w:gridCol w:w="90"/>
        <w:gridCol w:w="785"/>
        <w:gridCol w:w="125"/>
        <w:gridCol w:w="90"/>
        <w:gridCol w:w="90"/>
        <w:gridCol w:w="545"/>
        <w:gridCol w:w="360"/>
        <w:gridCol w:w="90"/>
        <w:gridCol w:w="90"/>
        <w:gridCol w:w="785"/>
        <w:gridCol w:w="125"/>
        <w:gridCol w:w="90"/>
        <w:gridCol w:w="90"/>
        <w:gridCol w:w="545"/>
        <w:gridCol w:w="362"/>
      </w:tblGrid>
      <w:tr>
        <w:trPr/>
        <w:tc>
          <w:tcPr>
            <w:tcW w:w="5853"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3900" w:type="dxa"/>
            <w:gridSpan w:val="14"/>
            <w:tcBorders>
              <w:bottom w:val="single" w:sz="8" w:space="0" w:color="000000"/>
            </w:tcBorders>
            <w:vAlign w:val="center"/>
          </w:tcPr>
          <w:p>
            <w:pPr>
              <w:pStyle w:val="TableContents"/>
              <w:bidi w:val="0"/>
              <w:spacing w:before="0" w:after="283"/>
              <w:jc w:val="center"/>
              <w:rPr>
                <w:b/>
              </w:rPr>
            </w:pPr>
            <w:r>
              <w:rPr>
                <w:b/>
              </w:rPr>
              <w:t>Year ended December 31,</w:t>
            </w:r>
          </w:p>
        </w:tc>
        <w:tc>
          <w:tcPr>
            <w:tcW w:w="362" w:type="dxa"/>
            <w:tcBorders>
              <w:bottom w:val="single" w:sz="8" w:space="0" w:color="000000"/>
            </w:tcBorders>
            <w:vAlign w:val="center"/>
          </w:tcPr>
          <w:p>
            <w:pPr>
              <w:pStyle w:val="TableContents"/>
              <w:bidi w:val="0"/>
              <w:spacing w:before="0" w:after="283"/>
              <w:jc w:val="right"/>
              <w:rPr/>
            </w:pPr>
            <w:r>
              <w:rPr/>
              <w:t> </w:t>
            </w:r>
          </w:p>
        </w:tc>
      </w:tr>
      <w:tr>
        <w:trPr/>
        <w:tc>
          <w:tcPr>
            <w:tcW w:w="5853"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725" w:type="dxa"/>
            <w:gridSpan w:val="6"/>
            <w:tcBorders>
              <w:bottom w:val="single" w:sz="8" w:space="0" w:color="000000"/>
            </w:tcBorders>
            <w:vAlign w:val="center"/>
          </w:tcPr>
          <w:p>
            <w:pPr>
              <w:pStyle w:val="TableContents"/>
              <w:bidi w:val="0"/>
              <w:spacing w:before="0" w:after="283"/>
              <w:jc w:val="right"/>
              <w:rPr>
                <w:b/>
              </w:rPr>
            </w:pPr>
            <w:r>
              <w:rPr>
                <w:b/>
              </w:rPr>
              <w:t>2024</w:t>
            </w:r>
          </w:p>
        </w:tc>
        <w:tc>
          <w:tcPr>
            <w:tcW w:w="36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725" w:type="dxa"/>
            <w:gridSpan w:val="6"/>
            <w:tcBorders>
              <w:bottom w:val="single" w:sz="8" w:space="0" w:color="000000"/>
            </w:tcBorders>
            <w:vAlign w:val="center"/>
          </w:tcPr>
          <w:p>
            <w:pPr>
              <w:pStyle w:val="TableContents"/>
              <w:bidi w:val="0"/>
              <w:spacing w:before="0" w:after="283"/>
              <w:jc w:val="right"/>
              <w:rPr/>
            </w:pPr>
            <w:r>
              <w:rPr/>
              <w:t>2023</w:t>
            </w:r>
          </w:p>
        </w:tc>
        <w:tc>
          <w:tcPr>
            <w:tcW w:w="362" w:type="dxa"/>
            <w:tcBorders>
              <w:bottom w:val="single" w:sz="8" w:space="0" w:color="000000"/>
            </w:tcBorders>
            <w:vAlign w:val="center"/>
          </w:tcPr>
          <w:p>
            <w:pPr>
              <w:pStyle w:val="TableContents"/>
              <w:bidi w:val="0"/>
              <w:spacing w:before="0" w:after="283"/>
              <w:jc w:val="right"/>
              <w:rPr/>
            </w:pPr>
            <w:r>
              <w:rPr/>
              <w:t> </w:t>
            </w:r>
          </w:p>
        </w:tc>
      </w:tr>
      <w:tr>
        <w:trPr/>
        <w:tc>
          <w:tcPr>
            <w:tcW w:w="5853" w:type="dxa"/>
            <w:tcBorders/>
            <w:shd w:fill="CCEEFF" w:val="clear"/>
            <w:tcMar>
              <w:bottom w:w="0" w:type="dxa"/>
            </w:tcMar>
            <w:vAlign w:val="center"/>
          </w:tcPr>
          <w:p>
            <w:pPr>
              <w:pStyle w:val="TableContents"/>
              <w:bidi w:val="0"/>
              <w:spacing w:before="0" w:after="283"/>
              <w:jc w:val="left"/>
              <w:rPr/>
            </w:pPr>
            <w:r>
              <w:rPr/>
              <w:t>Income tax recovery at statutory rate of 26.5%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18,114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b/>
              </w:rPr>
            </w:pPr>
            <w:r>
              <w:rPr>
                <w:b/>
              </w:rPr>
              <w:t>26.5</w:t>
            </w:r>
          </w:p>
        </w:tc>
        <w:tc>
          <w:tcPr>
            <w:tcW w:w="360"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28,971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26.5</w:t>
            </w:r>
          </w:p>
        </w:tc>
        <w:tc>
          <w:tcPr>
            <w:tcW w:w="362"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tcMar>
              <w:bottom w:w="0" w:type="dxa"/>
            </w:tcMar>
            <w:vAlign w:val="center"/>
          </w:tcPr>
          <w:p>
            <w:pPr>
              <w:pStyle w:val="TableContents"/>
              <w:bidi w:val="0"/>
              <w:spacing w:before="0" w:after="283"/>
              <w:jc w:val="left"/>
              <w:rPr/>
            </w:pPr>
            <w:r>
              <w:rPr/>
              <w:t>Increase (decrease) in taxes resulting from:</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right"/>
              <w:rPr/>
            </w:pPr>
            <w:r>
              <w:rPr/>
              <w:t> </w:t>
            </w:r>
          </w:p>
        </w:tc>
        <w:tc>
          <w:tcPr>
            <w:tcW w:w="3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right"/>
              <w:rPr/>
            </w:pPr>
            <w:r>
              <w:rPr/>
              <w:t> </w:t>
            </w:r>
          </w:p>
        </w:tc>
        <w:tc>
          <w:tcPr>
            <w:tcW w:w="362" w:type="dxa"/>
            <w:tcBorders/>
            <w:tcMar>
              <w:bottom w:w="0" w:type="dxa"/>
            </w:tcMar>
            <w:vAlign w:val="center"/>
          </w:tcPr>
          <w:p>
            <w:pPr>
              <w:pStyle w:val="TableContents"/>
              <w:bidi w:val="0"/>
              <w:spacing w:before="0" w:after="283"/>
              <w:jc w:val="left"/>
              <w:rPr/>
            </w:pPr>
            <w:r>
              <w:rPr/>
              <w:t> </w:t>
            </w:r>
          </w:p>
        </w:tc>
      </w:tr>
      <w:tr>
        <w:trPr/>
        <w:tc>
          <w:tcPr>
            <w:tcW w:w="5853" w:type="dxa"/>
            <w:tcBorders/>
            <w:shd w:fill="CCEEFF" w:val="clear"/>
            <w:tcMar>
              <w:bottom w:w="0" w:type="dxa"/>
            </w:tcMar>
            <w:vAlign w:val="center"/>
          </w:tcPr>
          <w:p>
            <w:pPr>
              <w:pStyle w:val="TableContents"/>
              <w:bidi w:val="0"/>
              <w:spacing w:before="0" w:after="283"/>
              <w:jc w:val="left"/>
              <w:rPr/>
            </w:pPr>
            <w:r>
              <w:rPr/>
              <w:t>Foreign tax rate differential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(2,900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b/>
              </w:rPr>
            </w:pPr>
            <w:r>
              <w:rPr>
                <w:b/>
              </w:rPr>
              <w:t>(4.2</w:t>
            </w:r>
          </w:p>
        </w:tc>
        <w:tc>
          <w:tcPr>
            <w:tcW w:w="360"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103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0.1</w:t>
            </w:r>
          </w:p>
        </w:tc>
        <w:tc>
          <w:tcPr>
            <w:tcW w:w="362"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tcMar>
              <w:bottom w:w="0" w:type="dxa"/>
            </w:tcMar>
            <w:vAlign w:val="center"/>
          </w:tcPr>
          <w:p>
            <w:pPr>
              <w:pStyle w:val="TableContents"/>
              <w:bidi w:val="0"/>
              <w:spacing w:before="0" w:after="283"/>
              <w:jc w:val="left"/>
              <w:rPr/>
            </w:pPr>
            <w:r>
              <w:rPr/>
              <w:t>Prior 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b/>
              </w:rPr>
            </w:pPr>
            <w:r>
              <w:rPr>
                <w:b/>
              </w:rPr>
              <w:t>(57</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right"/>
              <w:rPr>
                <w:b/>
              </w:rPr>
            </w:pPr>
            <w:r>
              <w:rPr>
                <w:b/>
              </w:rPr>
              <w:t>(0.1</w:t>
            </w:r>
          </w:p>
        </w:tc>
        <w:tc>
          <w:tcPr>
            <w:tcW w:w="360"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(1,623</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right"/>
              <w:rPr/>
            </w:pPr>
            <w:r>
              <w:rPr/>
              <w:t>(1.5</w:t>
            </w:r>
          </w:p>
        </w:tc>
        <w:tc>
          <w:tcPr>
            <w:tcW w:w="362" w:type="dxa"/>
            <w:tcBorders/>
            <w:tcMar>
              <w:bottom w:w="0" w:type="dxa"/>
            </w:tcMar>
            <w:vAlign w:val="center"/>
          </w:tcPr>
          <w:p>
            <w:pPr>
              <w:pStyle w:val="TableContents"/>
              <w:bidi w:val="0"/>
              <w:spacing w:before="0" w:after="283"/>
              <w:jc w:val="left"/>
              <w:rPr/>
            </w:pPr>
            <w:r>
              <w:rPr/>
              <w:t>)%</w:t>
            </w:r>
          </w:p>
        </w:tc>
      </w:tr>
      <w:tr>
        <w:trPr/>
        <w:tc>
          <w:tcPr>
            <w:tcW w:w="5853" w:type="dxa"/>
            <w:tcBorders/>
            <w:shd w:fill="CCEEFF" w:val="clear"/>
            <w:tcMar>
              <w:bottom w:w="0" w:type="dxa"/>
            </w:tcMar>
            <w:vAlign w:val="center"/>
          </w:tcPr>
          <w:p>
            <w:pPr>
              <w:pStyle w:val="TableContents"/>
              <w:bidi w:val="0"/>
              <w:spacing w:before="0" w:after="283"/>
              <w:jc w:val="left"/>
              <w:rPr/>
            </w:pPr>
            <w:r>
              <w:rPr/>
              <w:t>Non-taxable warrant loss (gain) and other permanent differences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13,207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b/>
              </w:rPr>
            </w:pPr>
            <w:r>
              <w:rPr>
                <w:b/>
              </w:rPr>
              <w:t>19.3</w:t>
            </w:r>
          </w:p>
        </w:tc>
        <w:tc>
          <w:tcPr>
            <w:tcW w:w="360"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(23,391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pPr>
            <w:r>
              <w:rPr/>
              <w:t>(21.4</w:t>
            </w:r>
          </w:p>
        </w:tc>
        <w:tc>
          <w:tcPr>
            <w:tcW w:w="362"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bottom w:val="single" w:sz="8" w:space="0" w:color="000000"/>
            </w:tcBorders>
            <w:vAlign w:val="center"/>
          </w:tcPr>
          <w:p>
            <w:pPr>
              <w:pStyle w:val="TableContents"/>
              <w:bidi w:val="0"/>
              <w:spacing w:before="0" w:after="283"/>
              <w:jc w:val="left"/>
              <w:rPr/>
            </w:pPr>
            <w:r>
              <w:rPr/>
              <w:t>Deferred tax asset not recognized</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85" w:type="dxa"/>
            <w:tcBorders>
              <w:bottom w:val="single" w:sz="8" w:space="0" w:color="000000"/>
            </w:tcBorders>
            <w:vAlign w:val="center"/>
          </w:tcPr>
          <w:p>
            <w:pPr>
              <w:pStyle w:val="TableContents"/>
              <w:bidi w:val="0"/>
              <w:spacing w:before="0" w:after="283"/>
              <w:jc w:val="right"/>
              <w:rPr>
                <w:b/>
              </w:rPr>
            </w:pPr>
            <w:r>
              <w:rPr>
                <w:b/>
              </w:rPr>
              <w:t>(14,074</w:t>
            </w:r>
          </w:p>
        </w:tc>
        <w:tc>
          <w:tcPr>
            <w:tcW w:w="125" w:type="dxa"/>
            <w:tcBorders>
              <w:bottom w:val="single" w:sz="8" w:space="0" w:color="000000"/>
            </w:tcBorders>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45" w:type="dxa"/>
            <w:tcBorders>
              <w:bottom w:val="single" w:sz="8" w:space="0" w:color="000000"/>
            </w:tcBorders>
            <w:vAlign w:val="center"/>
          </w:tcPr>
          <w:p>
            <w:pPr>
              <w:pStyle w:val="TableContents"/>
              <w:bidi w:val="0"/>
              <w:spacing w:before="0" w:after="283"/>
              <w:jc w:val="right"/>
              <w:rPr>
                <w:b/>
              </w:rPr>
            </w:pPr>
            <w:r>
              <w:rPr>
                <w:b/>
              </w:rPr>
              <w:t>(20.6</w:t>
            </w:r>
          </w:p>
        </w:tc>
        <w:tc>
          <w:tcPr>
            <w:tcW w:w="360" w:type="dxa"/>
            <w:tcBorders>
              <w:bottom w:val="single" w:sz="8" w:space="0" w:color="000000"/>
            </w:tcBorders>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85" w:type="dxa"/>
            <w:tcBorders>
              <w:bottom w:val="single" w:sz="8" w:space="0" w:color="000000"/>
            </w:tcBorders>
            <w:vAlign w:val="center"/>
          </w:tcPr>
          <w:p>
            <w:pPr>
              <w:pStyle w:val="TableContents"/>
              <w:bidi w:val="0"/>
              <w:spacing w:before="0" w:after="283"/>
              <w:jc w:val="right"/>
              <w:rPr/>
            </w:pPr>
            <w:r>
              <w:rPr/>
              <w:t>(3,659</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45" w:type="dxa"/>
            <w:tcBorders>
              <w:bottom w:val="single" w:sz="8" w:space="0" w:color="000000"/>
            </w:tcBorders>
            <w:vAlign w:val="center"/>
          </w:tcPr>
          <w:p>
            <w:pPr>
              <w:pStyle w:val="TableContents"/>
              <w:bidi w:val="0"/>
              <w:spacing w:before="0" w:after="283"/>
              <w:jc w:val="right"/>
              <w:rPr/>
            </w:pPr>
            <w:r>
              <w:rPr/>
              <w:t>(3.3</w:t>
            </w:r>
          </w:p>
        </w:tc>
        <w:tc>
          <w:tcPr>
            <w:tcW w:w="362" w:type="dxa"/>
            <w:tcBorders>
              <w:bottom w:val="single" w:sz="8" w:space="0" w:color="000000"/>
            </w:tcBorders>
            <w:vAlign w:val="center"/>
          </w:tcPr>
          <w:p>
            <w:pPr>
              <w:pStyle w:val="TableContents"/>
              <w:bidi w:val="0"/>
              <w:spacing w:before="0" w:after="283"/>
              <w:jc w:val="left"/>
              <w:rPr/>
            </w:pPr>
            <w:r>
              <w:rPr/>
              <w:t>)%</w:t>
            </w:r>
          </w:p>
        </w:tc>
      </w:tr>
      <w:tr>
        <w:trPr/>
        <w:tc>
          <w:tcPr>
            <w:tcW w:w="5853"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b/>
              </w:rPr>
            </w:pPr>
            <w:r>
              <w:rPr>
                <w:b/>
              </w:rPr>
              <w:t>14,290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45" w:type="dxa"/>
            <w:tcBorders>
              <w:bottom w:val="single" w:sz="12" w:space="0" w:color="000000"/>
            </w:tcBorders>
            <w:shd w:fill="CCEEFF" w:val="clear"/>
            <w:vAlign w:val="center"/>
          </w:tcPr>
          <w:p>
            <w:pPr>
              <w:pStyle w:val="TableContents"/>
              <w:bidi w:val="0"/>
              <w:spacing w:before="0" w:after="283"/>
              <w:jc w:val="right"/>
              <w:rPr>
                <w:b/>
              </w:rPr>
            </w:pPr>
            <w:r>
              <w:rPr>
                <w:b/>
              </w:rPr>
              <w:t>20.9</w:t>
            </w:r>
          </w:p>
        </w:tc>
        <w:tc>
          <w:tcPr>
            <w:tcW w:w="36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785" w:type="dxa"/>
            <w:tcBorders>
              <w:bottom w:val="single" w:sz="12" w:space="0" w:color="000000"/>
            </w:tcBorders>
            <w:shd w:fill="CCEEFF" w:val="clear"/>
            <w:vAlign w:val="center"/>
          </w:tcPr>
          <w:p>
            <w:pPr>
              <w:pStyle w:val="TableContents"/>
              <w:bidi w:val="0"/>
              <w:spacing w:before="0" w:after="283"/>
              <w:jc w:val="right"/>
              <w:rPr/>
            </w:pPr>
            <w:r>
              <w:rPr/>
              <w:t>401</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545" w:type="dxa"/>
            <w:tcBorders>
              <w:bottom w:val="single" w:sz="12" w:space="0" w:color="000000"/>
            </w:tcBorders>
            <w:shd w:fill="CCEEFF" w:val="clear"/>
            <w:vAlign w:val="center"/>
          </w:tcPr>
          <w:p>
            <w:pPr>
              <w:pStyle w:val="TableContents"/>
              <w:bidi w:val="0"/>
              <w:spacing w:before="0" w:after="283"/>
              <w:jc w:val="right"/>
              <w:rPr/>
            </w:pPr>
            <w:r>
              <w:rPr/>
              <w:t>0.4</w:t>
            </w:r>
          </w:p>
        </w:tc>
        <w:tc>
          <w:tcPr>
            <w:tcW w:w="362" w:type="dxa"/>
            <w:tcBorders>
              <w:bottom w:val="single" w:sz="12" w:space="0" w:color="000000"/>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assets and liabilities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the Company has analyzed the recoverability of its deferred tax assets and has concluded that it is not more likely than not that sufficient taxable profit is expected to utilize these deferred tax assets.</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59 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68"/>
        <w:gridCol w:w="1115"/>
        <w:gridCol w:w="320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20:</w:t>
            </w:r>
          </w:p>
        </w:tc>
        <w:tc>
          <w:tcPr>
            <w:tcW w:w="3200" w:type="dxa"/>
            <w:tcBorders/>
            <w:vAlign w:val="center"/>
          </w:tcPr>
          <w:p>
            <w:pPr>
              <w:pStyle w:val="TableContents"/>
              <w:bidi w:val="0"/>
              <w:spacing w:before="0" w:after="283"/>
              <w:jc w:val="both"/>
              <w:rPr/>
            </w:pPr>
            <w:r>
              <w:rPr>
                <w:b/>
              </w:rPr>
              <w:t>INCOME TAXES</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Deferred tax assets and liabilities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in deferred tax asset for the years ending December 31, 2024 and 2023, without taking into consideration the offsetting of balances within the same tax jurisdiction,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05"/>
        <w:gridCol w:w="90"/>
        <w:gridCol w:w="111"/>
        <w:gridCol w:w="974"/>
        <w:gridCol w:w="125"/>
        <w:gridCol w:w="90"/>
        <w:gridCol w:w="105"/>
        <w:gridCol w:w="695"/>
        <w:gridCol w:w="125"/>
        <w:gridCol w:w="90"/>
        <w:gridCol w:w="214"/>
        <w:gridCol w:w="976"/>
        <w:gridCol w:w="125"/>
        <w:gridCol w:w="90"/>
        <w:gridCol w:w="127"/>
        <w:gridCol w:w="943"/>
        <w:gridCol w:w="125"/>
        <w:gridCol w:w="90"/>
        <w:gridCol w:w="90"/>
        <w:gridCol w:w="710"/>
        <w:gridCol w:w="125"/>
        <w:gridCol w:w="90"/>
        <w:gridCol w:w="107"/>
        <w:gridCol w:w="853"/>
        <w:gridCol w:w="125"/>
        <w:gridCol w:w="90"/>
        <w:gridCol w:w="90"/>
        <w:gridCol w:w="785"/>
        <w:gridCol w:w="140"/>
      </w:tblGrid>
      <w:tr>
        <w:trPr/>
        <w:tc>
          <w:tcPr>
            <w:tcW w:w="1905" w:type="dxa"/>
            <w:tcBorders>
              <w:bottom w:val="single" w:sz="8" w:space="0" w:color="000000"/>
            </w:tcBorders>
            <w:vAlign w:val="center"/>
          </w:tcPr>
          <w:p>
            <w:pPr>
              <w:pStyle w:val="TableContents"/>
              <w:bidi w:val="0"/>
              <w:spacing w:before="0" w:after="283"/>
              <w:ind w:left="0" w:right="0" w:hanging="180"/>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085" w:type="dxa"/>
            <w:gridSpan w:val="2"/>
            <w:tcBorders>
              <w:bottom w:val="single" w:sz="8" w:space="0" w:color="000000"/>
            </w:tcBorders>
            <w:vAlign w:val="center"/>
          </w:tcPr>
          <w:p>
            <w:pPr>
              <w:pStyle w:val="TableContents"/>
              <w:bidi w:val="0"/>
              <w:spacing w:before="0" w:after="283"/>
              <w:jc w:val="right"/>
              <w:rPr>
                <w:b/>
              </w:rPr>
            </w:pPr>
            <w:r>
              <w:rPr>
                <w:b/>
              </w:rPr>
              <w:t>Operating</w:t>
              <w:br/>
              <w:t xml:space="preserve">losses </w:t>
              <w:br/>
              <w:t xml:space="preserve">carried </w:t>
              <w:br/>
              <w:t>forward</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00" w:type="dxa"/>
            <w:gridSpan w:val="2"/>
            <w:tcBorders>
              <w:bottom w:val="single" w:sz="8" w:space="0" w:color="000000"/>
            </w:tcBorders>
            <w:vAlign w:val="center"/>
          </w:tcPr>
          <w:p>
            <w:pPr>
              <w:pStyle w:val="TableContents"/>
              <w:bidi w:val="0"/>
              <w:spacing w:before="0" w:after="283"/>
              <w:jc w:val="right"/>
              <w:rPr>
                <w:b/>
              </w:rPr>
            </w:pPr>
            <w:r>
              <w:rPr>
                <w:b/>
              </w:rPr>
              <w:t xml:space="preserve">Lease </w:t>
              <w:br/>
              <w:t>liability</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190" w:type="dxa"/>
            <w:gridSpan w:val="2"/>
            <w:tcBorders>
              <w:bottom w:val="single" w:sz="8" w:space="0" w:color="000000"/>
            </w:tcBorders>
            <w:vAlign w:val="center"/>
          </w:tcPr>
          <w:p>
            <w:pPr>
              <w:pStyle w:val="TableContents"/>
              <w:bidi w:val="0"/>
              <w:spacing w:before="0" w:after="283"/>
              <w:jc w:val="right"/>
              <w:rPr>
                <w:b/>
              </w:rPr>
            </w:pPr>
            <w:r>
              <w:rPr>
                <w:b/>
              </w:rPr>
              <w:t xml:space="preserve">Asset </w:t>
              <w:br/>
              <w:t>Retirement</w:t>
              <w:br/>
              <w:t>provision</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070" w:type="dxa"/>
            <w:gridSpan w:val="2"/>
            <w:tcBorders>
              <w:bottom w:val="single" w:sz="8" w:space="0" w:color="000000"/>
            </w:tcBorders>
            <w:vAlign w:val="center"/>
          </w:tcPr>
          <w:p>
            <w:pPr>
              <w:pStyle w:val="TableContents"/>
              <w:bidi w:val="0"/>
              <w:spacing w:before="0" w:after="283"/>
              <w:jc w:val="right"/>
              <w:rPr>
                <w:b/>
              </w:rPr>
            </w:pPr>
            <w:r>
              <w:rPr>
                <w:b/>
              </w:rPr>
              <w:t>Financing</w:t>
              <w:br/>
              <w:t>fees</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00" w:type="dxa"/>
            <w:gridSpan w:val="2"/>
            <w:tcBorders>
              <w:bottom w:val="single" w:sz="8" w:space="0" w:color="000000"/>
            </w:tcBorders>
            <w:vAlign w:val="center"/>
          </w:tcPr>
          <w:p>
            <w:pPr>
              <w:pStyle w:val="TableContents"/>
              <w:bidi w:val="0"/>
              <w:spacing w:before="0" w:after="283"/>
              <w:jc w:val="right"/>
              <w:rPr>
                <w:b/>
              </w:rPr>
            </w:pPr>
            <w:r>
              <w:rPr>
                <w:b/>
              </w:rPr>
              <w:t>PPE</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960" w:type="dxa"/>
            <w:gridSpan w:val="2"/>
            <w:tcBorders>
              <w:bottom w:val="single" w:sz="8" w:space="0" w:color="000000"/>
            </w:tcBorders>
            <w:vAlign w:val="center"/>
          </w:tcPr>
          <w:p>
            <w:pPr>
              <w:pStyle w:val="TableContents"/>
              <w:bidi w:val="0"/>
              <w:spacing w:before="0" w:after="283"/>
              <w:jc w:val="right"/>
              <w:rPr>
                <w:b/>
              </w:rPr>
            </w:pPr>
            <w:r>
              <w:rPr>
                <w:b/>
              </w:rPr>
              <w:t xml:space="preserve">Reserves </w:t>
              <w:br/>
              <w:t>and other</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75" w:type="dxa"/>
            <w:gridSpan w:val="2"/>
            <w:tcBorders>
              <w:bottom w:val="single" w:sz="8" w:space="0" w:color="000000"/>
            </w:tcBorders>
            <w:vAlign w:val="center"/>
          </w:tcPr>
          <w:p>
            <w:pPr>
              <w:pStyle w:val="TableContents"/>
              <w:bidi w:val="0"/>
              <w:spacing w:before="0" w:after="283"/>
              <w:jc w:val="right"/>
              <w:rPr>
                <w:b/>
              </w:rPr>
            </w:pPr>
            <w:r>
              <w:rPr>
                <w:b/>
              </w:rPr>
              <w:t>Total</w:t>
            </w:r>
          </w:p>
        </w:tc>
        <w:tc>
          <w:tcPr>
            <w:tcW w:w="140" w:type="dxa"/>
            <w:tcBorders>
              <w:bottom w:val="single" w:sz="8" w:space="0" w:color="000000"/>
            </w:tcBorders>
            <w:vAlign w:val="center"/>
          </w:tcPr>
          <w:p>
            <w:pPr>
              <w:pStyle w:val="TableContents"/>
              <w:bidi w:val="0"/>
              <w:spacing w:before="0" w:after="283"/>
              <w:ind w:left="0" w:right="0" w:hanging="180"/>
              <w:jc w:val="right"/>
              <w:rPr/>
            </w:pPr>
            <w:r>
              <w:rPr/>
              <w:t> </w:t>
            </w:r>
          </w:p>
        </w:tc>
      </w:tr>
      <w:tr>
        <w:trPr/>
        <w:tc>
          <w:tcPr>
            <w:tcW w:w="1905" w:type="dxa"/>
            <w:tcBorders>
              <w:bottom w:val="single" w:sz="8" w:space="0" w:color="000000"/>
            </w:tcBorders>
            <w:shd w:fill="CCEEFF" w:val="clear"/>
            <w:vAlign w:val="center"/>
          </w:tcPr>
          <w:p>
            <w:pPr>
              <w:pStyle w:val="TableContents"/>
              <w:bidi w:val="0"/>
              <w:spacing w:before="0" w:after="283"/>
              <w:jc w:val="left"/>
              <w:rPr/>
            </w:pPr>
            <w:r>
              <w:rPr/>
              <w:t>As of January 1, 2023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vAlign w:val="center"/>
          </w:tcPr>
          <w:p>
            <w:pPr>
              <w:pStyle w:val="TableContents"/>
              <w:bidi w:val="0"/>
              <w:spacing w:before="0" w:after="283"/>
              <w:jc w:val="left"/>
              <w:rPr/>
            </w:pPr>
            <w:r>
              <w:rPr/>
              <w:t> </w:t>
            </w:r>
          </w:p>
        </w:tc>
        <w:tc>
          <w:tcPr>
            <w:tcW w:w="974"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695" w:type="dxa"/>
            <w:tcBorders>
              <w:bottom w:val="single" w:sz="8" w:space="0" w:color="000000"/>
            </w:tcBorders>
            <w:shd w:fill="CCEEFF" w:val="clear"/>
            <w:vAlign w:val="center"/>
          </w:tcPr>
          <w:p>
            <w:pPr>
              <w:pStyle w:val="TableContents"/>
              <w:bidi w:val="0"/>
              <w:spacing w:before="0" w:after="283"/>
              <w:jc w:val="right"/>
              <w:rPr/>
            </w:pPr>
            <w:r>
              <w:rPr/>
              <w:t>4,161</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vAlign w:val="center"/>
          </w:tcPr>
          <w:p>
            <w:pPr>
              <w:pStyle w:val="TableContents"/>
              <w:bidi w:val="0"/>
              <w:spacing w:before="0" w:after="283"/>
              <w:jc w:val="left"/>
              <w:rPr/>
            </w:pPr>
            <w:r>
              <w:rPr/>
              <w:t> </w:t>
            </w:r>
          </w:p>
        </w:tc>
        <w:tc>
          <w:tcPr>
            <w:tcW w:w="976" w:type="dxa"/>
            <w:tcBorders>
              <w:bottom w:val="single" w:sz="8" w:space="0" w:color="000000"/>
            </w:tcBorders>
            <w:shd w:fill="CCEEFF" w:val="clear"/>
            <w:vAlign w:val="center"/>
          </w:tcPr>
          <w:p>
            <w:pPr>
              <w:pStyle w:val="TableContents"/>
              <w:bidi w:val="0"/>
              <w:spacing w:before="0" w:after="283"/>
              <w:jc w:val="right"/>
              <w:rPr/>
            </w:pPr>
            <w:r>
              <w:rPr/>
              <w:t>126</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vAlign w:val="center"/>
          </w:tcPr>
          <w:p>
            <w:pPr>
              <w:pStyle w:val="TableContents"/>
              <w:bidi w:val="0"/>
              <w:spacing w:before="0" w:after="283"/>
              <w:jc w:val="left"/>
              <w:rPr/>
            </w:pPr>
            <w:r>
              <w:rPr/>
              <w:t> </w:t>
            </w:r>
          </w:p>
        </w:tc>
        <w:tc>
          <w:tcPr>
            <w:tcW w:w="943"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10,538</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vAlign w:val="center"/>
          </w:tcPr>
          <w:p>
            <w:pPr>
              <w:pStyle w:val="TableContents"/>
              <w:bidi w:val="0"/>
              <w:spacing w:before="0" w:after="283"/>
              <w:jc w:val="left"/>
              <w:rPr/>
            </w:pPr>
            <w:r>
              <w:rPr/>
              <w:t> </w:t>
            </w:r>
          </w:p>
        </w:tc>
        <w:tc>
          <w:tcPr>
            <w:tcW w:w="853" w:type="dxa"/>
            <w:tcBorders>
              <w:bottom w:val="single" w:sz="8" w:space="0" w:color="000000"/>
            </w:tcBorders>
            <w:shd w:fill="CCEEFF" w:val="clear"/>
            <w:vAlign w:val="center"/>
          </w:tcPr>
          <w:p>
            <w:pPr>
              <w:pStyle w:val="TableContents"/>
              <w:bidi w:val="0"/>
              <w:spacing w:before="0" w:after="283"/>
              <w:jc w:val="right"/>
              <w:rPr/>
            </w:pPr>
            <w:r>
              <w:rPr/>
              <w:t>12,623</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283"/>
              <w:jc w:val="right"/>
              <w:rPr/>
            </w:pPr>
            <w:r>
              <w:rPr/>
              <w:t>27,448</w:t>
            </w:r>
          </w:p>
        </w:tc>
        <w:tc>
          <w:tcPr>
            <w:tcW w:w="140"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1905" w:type="dxa"/>
            <w:tcBorders/>
            <w:tcMar>
              <w:bottom w:w="0" w:type="dxa"/>
            </w:tcMar>
            <w:vAlign w:val="center"/>
          </w:tcPr>
          <w:p>
            <w:pPr>
              <w:pStyle w:val="TableContents"/>
              <w:bidi w:val="0"/>
              <w:spacing w:before="0" w:after="283"/>
              <w:jc w:val="left"/>
              <w:rPr/>
            </w:pPr>
            <w:r>
              <w:rPr/>
              <w:t>Credited to statements of profit or loss</w:t>
            </w:r>
          </w:p>
        </w:tc>
        <w:tc>
          <w:tcPr>
            <w:tcW w:w="90" w:type="dxa"/>
            <w:tcBorders/>
            <w:tcMar>
              <w:bottom w:w="0" w:type="dxa"/>
            </w:tcMar>
            <w:vAlign w:val="center"/>
          </w:tcPr>
          <w:p>
            <w:pPr>
              <w:pStyle w:val="TableContents"/>
              <w:bidi w:val="0"/>
              <w:spacing w:before="0" w:after="283"/>
              <w:jc w:val="left"/>
              <w:rPr/>
            </w:pPr>
            <w:r>
              <w:rPr/>
              <w:t> </w:t>
            </w:r>
          </w:p>
        </w:tc>
        <w:tc>
          <w:tcPr>
            <w:tcW w:w="111" w:type="dxa"/>
            <w:tcBorders/>
            <w:tcMar>
              <w:bottom w:w="0" w:type="dxa"/>
            </w:tcMar>
            <w:vAlign w:val="center"/>
          </w:tcPr>
          <w:p>
            <w:pPr>
              <w:pStyle w:val="TableContents"/>
              <w:bidi w:val="0"/>
              <w:spacing w:before="0" w:after="283"/>
              <w:jc w:val="left"/>
              <w:rPr/>
            </w:pPr>
            <w:r>
              <w:rPr/>
              <w:t> </w:t>
            </w:r>
          </w:p>
        </w:tc>
        <w:tc>
          <w:tcPr>
            <w:tcW w:w="974" w:type="dxa"/>
            <w:tcBorders/>
            <w:tcMar>
              <w:bottom w:w="0" w:type="dxa"/>
            </w:tcMar>
            <w:vAlign w:val="center"/>
          </w:tcPr>
          <w:p>
            <w:pPr>
              <w:pStyle w:val="TableContents"/>
              <w:bidi w:val="0"/>
              <w:spacing w:before="0" w:after="283"/>
              <w:jc w:val="right"/>
              <w:rPr/>
            </w:pPr>
            <w:r>
              <w:rPr/>
              <w:t>52,743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pPr>
            <w:r>
              <w:rPr/>
              <w:t>(141</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right"/>
              <w:rPr/>
            </w:pPr>
            <w:r>
              <w:rPr/>
              <w:t>14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943" w:type="dxa"/>
            <w:tcBorders/>
            <w:tcMar>
              <w:bottom w:w="0" w:type="dxa"/>
            </w:tcMar>
            <w:vAlign w:val="center"/>
          </w:tcPr>
          <w:p>
            <w:pPr>
              <w:pStyle w:val="TableContents"/>
              <w:bidi w:val="0"/>
              <w:spacing w:before="0" w:after="283"/>
              <w:jc w:val="right"/>
              <w:rPr/>
            </w:pPr>
            <w:r>
              <w:rPr/>
              <w:t>3,332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(5,884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853" w:type="dxa"/>
            <w:tcBorders/>
            <w:tcMar>
              <w:bottom w:w="0" w:type="dxa"/>
            </w:tcMar>
            <w:vAlign w:val="center"/>
          </w:tcPr>
          <w:p>
            <w:pPr>
              <w:pStyle w:val="TableContents"/>
              <w:bidi w:val="0"/>
              <w:spacing w:before="0" w:after="283"/>
              <w:jc w:val="right"/>
              <w:rPr/>
            </w:pPr>
            <w:r>
              <w:rPr/>
              <w:t>(6,564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43,500</w:t>
            </w:r>
          </w:p>
        </w:tc>
        <w:tc>
          <w:tcPr>
            <w:tcW w:w="140" w:type="dxa"/>
            <w:tcBorders/>
            <w:tcMar>
              <w:bottom w:w="0" w:type="dxa"/>
            </w:tcMar>
            <w:vAlign w:val="center"/>
          </w:tcPr>
          <w:p>
            <w:pPr>
              <w:pStyle w:val="TableContents"/>
              <w:bidi w:val="0"/>
              <w:spacing w:before="0" w:after="283"/>
              <w:ind w:left="0" w:right="0" w:hanging="180"/>
              <w:jc w:val="left"/>
              <w:rPr/>
            </w:pPr>
            <w:r>
              <w:rPr/>
              <w:t> </w:t>
            </w:r>
          </w:p>
        </w:tc>
      </w:tr>
      <w:tr>
        <w:trPr/>
        <w:tc>
          <w:tcPr>
            <w:tcW w:w="1905" w:type="dxa"/>
            <w:tcBorders/>
            <w:shd w:fill="CCEEFF" w:val="clear"/>
            <w:tcMar>
              <w:bottom w:w="0" w:type="dxa"/>
            </w:tcMar>
            <w:vAlign w:val="center"/>
          </w:tcPr>
          <w:p>
            <w:pPr>
              <w:pStyle w:val="TableContents"/>
              <w:bidi w:val="0"/>
              <w:spacing w:before="0" w:after="283"/>
              <w:jc w:val="left"/>
              <w:rPr/>
            </w:pPr>
            <w:r>
              <w:rPr/>
              <w:t>Deferred tax asset derecognized in the statements of profit or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283"/>
              <w:jc w:val="right"/>
              <w:rPr/>
            </w:pPr>
            <w:r>
              <w:rPr/>
              <w:t>(45,377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4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85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(45,377</w:t>
            </w:r>
          </w:p>
        </w:tc>
        <w:tc>
          <w:tcPr>
            <w:tcW w:w="14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905" w:type="dxa"/>
            <w:tcBorders>
              <w:bottom w:val="single" w:sz="8" w:space="0" w:color="000000"/>
            </w:tcBorders>
            <w:vAlign w:val="center"/>
          </w:tcPr>
          <w:p>
            <w:pPr>
              <w:pStyle w:val="TableContents"/>
              <w:bidi w:val="0"/>
              <w:spacing w:before="0" w:after="283"/>
              <w:jc w:val="left"/>
              <w:rPr/>
            </w:pPr>
            <w:r>
              <w:rPr/>
              <w:t>Deferred tax asset derecognized in the statements of equity</w:t>
            </w:r>
          </w:p>
        </w:tc>
        <w:tc>
          <w:tcPr>
            <w:tcW w:w="90" w:type="dxa"/>
            <w:tcBorders>
              <w:bottom w:val="single" w:sz="8" w:space="0" w:color="000000"/>
            </w:tcBorders>
            <w:vAlign w:val="center"/>
          </w:tcPr>
          <w:p>
            <w:pPr>
              <w:pStyle w:val="TableContents"/>
              <w:bidi w:val="0"/>
              <w:spacing w:before="0" w:after="283"/>
              <w:jc w:val="left"/>
              <w:rPr/>
            </w:pPr>
            <w:r>
              <w:rPr/>
              <w:t> </w:t>
            </w:r>
          </w:p>
        </w:tc>
        <w:tc>
          <w:tcPr>
            <w:tcW w:w="111" w:type="dxa"/>
            <w:tcBorders>
              <w:bottom w:val="single" w:sz="8" w:space="0" w:color="000000"/>
            </w:tcBorders>
            <w:vAlign w:val="center"/>
          </w:tcPr>
          <w:p>
            <w:pPr>
              <w:pStyle w:val="TableContents"/>
              <w:bidi w:val="0"/>
              <w:spacing w:before="0" w:after="283"/>
              <w:jc w:val="left"/>
              <w:rPr/>
            </w:pPr>
            <w:r>
              <w:rPr/>
              <w:t> </w:t>
            </w:r>
          </w:p>
        </w:tc>
        <w:tc>
          <w:tcPr>
            <w:tcW w:w="974"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5" w:type="dxa"/>
            <w:tcBorders>
              <w:bottom w:val="single" w:sz="8" w:space="0" w:color="000000"/>
            </w:tcBorders>
            <w:vAlign w:val="center"/>
          </w:tcPr>
          <w:p>
            <w:pPr>
              <w:pStyle w:val="TableContents"/>
              <w:bidi w:val="0"/>
              <w:spacing w:before="0" w:after="283"/>
              <w:jc w:val="left"/>
              <w:rPr/>
            </w:pPr>
            <w:r>
              <w:rPr/>
              <w:t> </w:t>
            </w:r>
          </w:p>
        </w:tc>
        <w:tc>
          <w:tcPr>
            <w:tcW w:w="695"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14" w:type="dxa"/>
            <w:tcBorders>
              <w:bottom w:val="single" w:sz="8" w:space="0" w:color="000000"/>
            </w:tcBorders>
            <w:vAlign w:val="center"/>
          </w:tcPr>
          <w:p>
            <w:pPr>
              <w:pStyle w:val="TableContents"/>
              <w:bidi w:val="0"/>
              <w:spacing w:before="0" w:after="283"/>
              <w:jc w:val="left"/>
              <w:rPr/>
            </w:pPr>
            <w:r>
              <w:rPr/>
              <w:t> </w:t>
            </w:r>
          </w:p>
        </w:tc>
        <w:tc>
          <w:tcPr>
            <w:tcW w:w="976"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7" w:type="dxa"/>
            <w:tcBorders>
              <w:bottom w:val="single" w:sz="8" w:space="0" w:color="000000"/>
            </w:tcBorders>
            <w:vAlign w:val="center"/>
          </w:tcPr>
          <w:p>
            <w:pPr>
              <w:pStyle w:val="TableContents"/>
              <w:bidi w:val="0"/>
              <w:spacing w:before="0" w:after="283"/>
              <w:jc w:val="left"/>
              <w:rPr/>
            </w:pPr>
            <w:r>
              <w:rPr/>
              <w:t> </w:t>
            </w:r>
          </w:p>
        </w:tc>
        <w:tc>
          <w:tcPr>
            <w:tcW w:w="943" w:type="dxa"/>
            <w:tcBorders>
              <w:bottom w:val="single" w:sz="8" w:space="0" w:color="000000"/>
            </w:tcBorders>
            <w:vAlign w:val="center"/>
          </w:tcPr>
          <w:p>
            <w:pPr>
              <w:pStyle w:val="TableContents"/>
              <w:bidi w:val="0"/>
              <w:spacing w:before="0" w:after="283"/>
              <w:jc w:val="right"/>
              <w:rPr/>
            </w:pPr>
            <w:r>
              <w:rPr/>
              <w:t>(3,332</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7" w:type="dxa"/>
            <w:tcBorders>
              <w:bottom w:val="single" w:sz="8" w:space="0" w:color="000000"/>
            </w:tcBorders>
            <w:vAlign w:val="center"/>
          </w:tcPr>
          <w:p>
            <w:pPr>
              <w:pStyle w:val="TableContents"/>
              <w:bidi w:val="0"/>
              <w:spacing w:before="0" w:after="283"/>
              <w:jc w:val="left"/>
              <w:rPr/>
            </w:pPr>
            <w:r>
              <w:rPr/>
              <w:t> </w:t>
            </w:r>
          </w:p>
        </w:tc>
        <w:tc>
          <w:tcPr>
            <w:tcW w:w="853"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85" w:type="dxa"/>
            <w:tcBorders>
              <w:bottom w:val="single" w:sz="8" w:space="0" w:color="000000"/>
            </w:tcBorders>
            <w:vAlign w:val="center"/>
          </w:tcPr>
          <w:p>
            <w:pPr>
              <w:pStyle w:val="TableContents"/>
              <w:bidi w:val="0"/>
              <w:spacing w:before="0" w:after="283"/>
              <w:jc w:val="right"/>
              <w:rPr/>
            </w:pPr>
            <w:r>
              <w:rPr/>
              <w:t>(3,332</w:t>
            </w:r>
          </w:p>
        </w:tc>
        <w:tc>
          <w:tcPr>
            <w:tcW w:w="140" w:type="dxa"/>
            <w:tcBorders>
              <w:bottom w:val="single" w:sz="8" w:space="0" w:color="000000"/>
            </w:tcBorders>
            <w:vAlign w:val="center"/>
          </w:tcPr>
          <w:p>
            <w:pPr>
              <w:pStyle w:val="TableContents"/>
              <w:bidi w:val="0"/>
              <w:spacing w:before="0" w:after="283"/>
              <w:ind w:left="0" w:right="0" w:hanging="180"/>
              <w:jc w:val="left"/>
              <w:rPr/>
            </w:pPr>
            <w:r>
              <w:rPr/>
              <w:t>)</w:t>
            </w:r>
          </w:p>
        </w:tc>
      </w:tr>
      <w:tr>
        <w:trPr/>
        <w:tc>
          <w:tcPr>
            <w:tcW w:w="1905" w:type="dxa"/>
            <w:tcBorders>
              <w:bottom w:val="single" w:sz="8" w:space="0" w:color="000000"/>
            </w:tcBorders>
            <w:shd w:fill="CCEEFF" w:val="clear"/>
            <w:vAlign w:val="center"/>
          </w:tcPr>
          <w:p>
            <w:pPr>
              <w:pStyle w:val="TableContents"/>
              <w:bidi w:val="0"/>
              <w:spacing w:before="0" w:after="283"/>
              <w:jc w:val="left"/>
              <w:rPr/>
            </w:pPr>
            <w:r>
              <w:rPr/>
              <w:t>As of December 31, 2023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vAlign w:val="center"/>
          </w:tcPr>
          <w:p>
            <w:pPr>
              <w:pStyle w:val="TableContents"/>
              <w:bidi w:val="0"/>
              <w:spacing w:before="0" w:after="283"/>
              <w:jc w:val="left"/>
              <w:rPr/>
            </w:pPr>
            <w:r>
              <w:rPr/>
              <w:t> </w:t>
            </w:r>
          </w:p>
        </w:tc>
        <w:tc>
          <w:tcPr>
            <w:tcW w:w="974" w:type="dxa"/>
            <w:tcBorders>
              <w:bottom w:val="single" w:sz="8" w:space="0" w:color="000000"/>
            </w:tcBorders>
            <w:shd w:fill="CCEEFF" w:val="clear"/>
            <w:vAlign w:val="center"/>
          </w:tcPr>
          <w:p>
            <w:pPr>
              <w:pStyle w:val="TableContents"/>
              <w:bidi w:val="0"/>
              <w:spacing w:before="0" w:after="283"/>
              <w:jc w:val="right"/>
              <w:rPr/>
            </w:pPr>
            <w:r>
              <w:rPr/>
              <w:t>7,366</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695" w:type="dxa"/>
            <w:tcBorders>
              <w:bottom w:val="single" w:sz="8" w:space="0" w:color="000000"/>
            </w:tcBorders>
            <w:shd w:fill="CCEEFF" w:val="clear"/>
            <w:vAlign w:val="center"/>
          </w:tcPr>
          <w:p>
            <w:pPr>
              <w:pStyle w:val="TableContents"/>
              <w:bidi w:val="0"/>
              <w:spacing w:before="0" w:after="283"/>
              <w:jc w:val="right"/>
              <w:rPr/>
            </w:pPr>
            <w:r>
              <w:rPr/>
              <w:t>4,020</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vAlign w:val="center"/>
          </w:tcPr>
          <w:p>
            <w:pPr>
              <w:pStyle w:val="TableContents"/>
              <w:bidi w:val="0"/>
              <w:spacing w:before="0" w:after="283"/>
              <w:jc w:val="left"/>
              <w:rPr/>
            </w:pPr>
            <w:r>
              <w:rPr/>
              <w:t> </w:t>
            </w:r>
          </w:p>
        </w:tc>
        <w:tc>
          <w:tcPr>
            <w:tcW w:w="976" w:type="dxa"/>
            <w:tcBorders>
              <w:bottom w:val="single" w:sz="8" w:space="0" w:color="000000"/>
            </w:tcBorders>
            <w:shd w:fill="CCEEFF" w:val="clear"/>
            <w:vAlign w:val="center"/>
          </w:tcPr>
          <w:p>
            <w:pPr>
              <w:pStyle w:val="TableContents"/>
              <w:bidi w:val="0"/>
              <w:spacing w:before="0" w:after="283"/>
              <w:jc w:val="right"/>
              <w:rPr/>
            </w:pPr>
            <w:r>
              <w:rPr/>
              <w:t>140</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vAlign w:val="center"/>
          </w:tcPr>
          <w:p>
            <w:pPr>
              <w:pStyle w:val="TableContents"/>
              <w:bidi w:val="0"/>
              <w:spacing w:before="0" w:after="283"/>
              <w:jc w:val="left"/>
              <w:rPr/>
            </w:pPr>
            <w:r>
              <w:rPr/>
              <w:t> </w:t>
            </w:r>
          </w:p>
        </w:tc>
        <w:tc>
          <w:tcPr>
            <w:tcW w:w="943"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4,654</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vAlign w:val="center"/>
          </w:tcPr>
          <w:p>
            <w:pPr>
              <w:pStyle w:val="TableContents"/>
              <w:bidi w:val="0"/>
              <w:spacing w:before="0" w:after="283"/>
              <w:jc w:val="left"/>
              <w:rPr/>
            </w:pPr>
            <w:r>
              <w:rPr/>
              <w:t> </w:t>
            </w:r>
          </w:p>
        </w:tc>
        <w:tc>
          <w:tcPr>
            <w:tcW w:w="853" w:type="dxa"/>
            <w:tcBorders>
              <w:bottom w:val="single" w:sz="8" w:space="0" w:color="000000"/>
            </w:tcBorders>
            <w:shd w:fill="CCEEFF" w:val="clear"/>
            <w:vAlign w:val="center"/>
          </w:tcPr>
          <w:p>
            <w:pPr>
              <w:pStyle w:val="TableContents"/>
              <w:bidi w:val="0"/>
              <w:spacing w:before="0" w:after="283"/>
              <w:jc w:val="right"/>
              <w:rPr/>
            </w:pPr>
            <w:r>
              <w:rPr/>
              <w:t>6,059</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283"/>
              <w:jc w:val="right"/>
              <w:rPr/>
            </w:pPr>
            <w:r>
              <w:rPr/>
              <w:t>22,239</w:t>
            </w:r>
          </w:p>
        </w:tc>
        <w:tc>
          <w:tcPr>
            <w:tcW w:w="140"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1905" w:type="dxa"/>
            <w:tcBorders/>
            <w:tcMar>
              <w:bottom w:w="0" w:type="dxa"/>
            </w:tcMar>
            <w:vAlign w:val="center"/>
          </w:tcPr>
          <w:p>
            <w:pPr>
              <w:pStyle w:val="TableContents"/>
              <w:bidi w:val="0"/>
              <w:spacing w:before="0" w:after="283"/>
              <w:jc w:val="left"/>
              <w:rPr/>
            </w:pPr>
            <w:r>
              <w:rPr/>
              <w:t>Credited to statements of profit or loss</w:t>
            </w:r>
          </w:p>
        </w:tc>
        <w:tc>
          <w:tcPr>
            <w:tcW w:w="90" w:type="dxa"/>
            <w:tcBorders/>
            <w:tcMar>
              <w:bottom w:w="0" w:type="dxa"/>
            </w:tcMar>
            <w:vAlign w:val="center"/>
          </w:tcPr>
          <w:p>
            <w:pPr>
              <w:pStyle w:val="TableContents"/>
              <w:bidi w:val="0"/>
              <w:spacing w:before="0" w:after="283"/>
              <w:jc w:val="left"/>
              <w:rPr/>
            </w:pPr>
            <w:r>
              <w:rPr/>
              <w:t> </w:t>
            </w:r>
          </w:p>
        </w:tc>
        <w:tc>
          <w:tcPr>
            <w:tcW w:w="111" w:type="dxa"/>
            <w:tcBorders/>
            <w:tcMar>
              <w:bottom w:w="0" w:type="dxa"/>
            </w:tcMar>
            <w:vAlign w:val="center"/>
          </w:tcPr>
          <w:p>
            <w:pPr>
              <w:pStyle w:val="TableContents"/>
              <w:bidi w:val="0"/>
              <w:spacing w:before="0" w:after="283"/>
              <w:jc w:val="left"/>
              <w:rPr/>
            </w:pPr>
            <w:r>
              <w:rPr/>
              <w:t> </w:t>
            </w:r>
          </w:p>
        </w:tc>
        <w:tc>
          <w:tcPr>
            <w:tcW w:w="974" w:type="dxa"/>
            <w:tcBorders/>
            <w:tcMar>
              <w:bottom w:w="0" w:type="dxa"/>
            </w:tcMar>
            <w:vAlign w:val="center"/>
          </w:tcPr>
          <w:p>
            <w:pPr>
              <w:pStyle w:val="TableContents"/>
              <w:bidi w:val="0"/>
              <w:spacing w:before="0" w:after="283"/>
              <w:jc w:val="right"/>
              <w:rPr>
                <w:b/>
              </w:rPr>
            </w:pPr>
            <w:r>
              <w:rPr>
                <w:b/>
              </w:rPr>
              <w:t>50,236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b/>
              </w:rPr>
            </w:pPr>
            <w:r>
              <w:rPr>
                <w:b/>
              </w:rPr>
              <w:t>936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right"/>
              <w:rPr>
                <w:b/>
              </w:rPr>
            </w:pPr>
            <w:r>
              <w:rPr>
                <w:b/>
              </w:rPr>
              <w:t>(1</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943" w:type="dxa"/>
            <w:tcBorders/>
            <w:tcMar>
              <w:bottom w:w="0" w:type="dxa"/>
            </w:tcMar>
            <w:vAlign w:val="center"/>
          </w:tcPr>
          <w:p>
            <w:pPr>
              <w:pStyle w:val="TableContents"/>
              <w:bidi w:val="0"/>
              <w:spacing w:before="0" w:after="283"/>
              <w:jc w:val="right"/>
              <w:rPr>
                <w:b/>
              </w:rPr>
            </w:pPr>
            <w:r>
              <w:rPr>
                <w:b/>
              </w:rPr>
              <w:t>1,791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b/>
              </w:rPr>
            </w:pPr>
            <w:r>
              <w:rPr>
                <w:b/>
              </w:rPr>
              <w:t>4,074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853" w:type="dxa"/>
            <w:tcBorders/>
            <w:tcMar>
              <w:bottom w:w="0" w:type="dxa"/>
            </w:tcMar>
            <w:vAlign w:val="center"/>
          </w:tcPr>
          <w:p>
            <w:pPr>
              <w:pStyle w:val="TableContents"/>
              <w:bidi w:val="0"/>
              <w:spacing w:before="0" w:after="283"/>
              <w:jc w:val="right"/>
              <w:rPr>
                <w:b/>
              </w:rPr>
            </w:pPr>
            <w:r>
              <w:rPr>
                <w:b/>
              </w:rPr>
              <w:t>(1,109</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b/>
              </w:rPr>
            </w:pPr>
            <w:r>
              <w:rPr>
                <w:b/>
              </w:rPr>
              <w:t>55,927</w:t>
            </w:r>
          </w:p>
        </w:tc>
        <w:tc>
          <w:tcPr>
            <w:tcW w:w="140" w:type="dxa"/>
            <w:tcBorders/>
            <w:tcMar>
              <w:bottom w:w="0" w:type="dxa"/>
            </w:tcMar>
            <w:vAlign w:val="center"/>
          </w:tcPr>
          <w:p>
            <w:pPr>
              <w:pStyle w:val="TableContents"/>
              <w:bidi w:val="0"/>
              <w:spacing w:before="0" w:after="283"/>
              <w:ind w:left="0" w:right="0" w:hanging="180"/>
              <w:jc w:val="left"/>
              <w:rPr/>
            </w:pPr>
            <w:r>
              <w:rPr/>
              <w:t> </w:t>
            </w:r>
          </w:p>
        </w:tc>
      </w:tr>
      <w:tr>
        <w:trPr/>
        <w:tc>
          <w:tcPr>
            <w:tcW w:w="1905" w:type="dxa"/>
            <w:tcBorders/>
            <w:shd w:fill="CCEEFF" w:val="clear"/>
            <w:tcMar>
              <w:bottom w:w="0" w:type="dxa"/>
            </w:tcMar>
            <w:vAlign w:val="center"/>
          </w:tcPr>
          <w:p>
            <w:pPr>
              <w:pStyle w:val="TableContents"/>
              <w:bidi w:val="0"/>
              <w:spacing w:before="0" w:after="283"/>
              <w:jc w:val="left"/>
              <w:rPr/>
            </w:pPr>
            <w:r>
              <w:rPr/>
              <w:t>Credited to statements of equity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943" w:type="dxa"/>
            <w:tcBorders/>
            <w:shd w:fill="CCEEFF" w:val="clear"/>
            <w:tcMar>
              <w:bottom w:w="0" w:type="dxa"/>
            </w:tcMar>
            <w:vAlign w:val="center"/>
          </w:tcPr>
          <w:p>
            <w:pPr>
              <w:pStyle w:val="TableContents"/>
              <w:bidi w:val="0"/>
              <w:spacing w:before="0" w:after="283"/>
              <w:jc w:val="right"/>
              <w:rPr>
                <w:b/>
              </w:rPr>
            </w:pPr>
            <w:r>
              <w:rPr>
                <w:b/>
              </w:rPr>
              <w:t>2,500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853"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b/>
              </w:rPr>
            </w:pPr>
            <w:r>
              <w:rPr>
                <w:b/>
              </w:rPr>
              <w:t>2,500</w:t>
            </w:r>
          </w:p>
        </w:tc>
        <w:tc>
          <w:tcPr>
            <w:tcW w:w="14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905" w:type="dxa"/>
            <w:tcBorders/>
            <w:tcMar>
              <w:bottom w:w="0" w:type="dxa"/>
            </w:tcMar>
            <w:vAlign w:val="center"/>
          </w:tcPr>
          <w:p>
            <w:pPr>
              <w:pStyle w:val="TableContents"/>
              <w:bidi w:val="0"/>
              <w:spacing w:before="0" w:after="283"/>
              <w:jc w:val="left"/>
              <w:rPr/>
            </w:pPr>
            <w:r>
              <w:rPr/>
              <w:t>Deferred tax asset derecognized in the statements of profit or loss</w:t>
            </w:r>
          </w:p>
        </w:tc>
        <w:tc>
          <w:tcPr>
            <w:tcW w:w="90" w:type="dxa"/>
            <w:tcBorders/>
            <w:tcMar>
              <w:bottom w:w="0" w:type="dxa"/>
            </w:tcMar>
            <w:vAlign w:val="center"/>
          </w:tcPr>
          <w:p>
            <w:pPr>
              <w:pStyle w:val="TableContents"/>
              <w:bidi w:val="0"/>
              <w:spacing w:before="0" w:after="283"/>
              <w:jc w:val="left"/>
              <w:rPr/>
            </w:pPr>
            <w:r>
              <w:rPr/>
              <w:t> </w:t>
            </w:r>
          </w:p>
        </w:tc>
        <w:tc>
          <w:tcPr>
            <w:tcW w:w="111" w:type="dxa"/>
            <w:tcBorders/>
            <w:tcMar>
              <w:bottom w:w="0" w:type="dxa"/>
            </w:tcMar>
            <w:vAlign w:val="center"/>
          </w:tcPr>
          <w:p>
            <w:pPr>
              <w:pStyle w:val="TableContents"/>
              <w:bidi w:val="0"/>
              <w:spacing w:before="0" w:after="283"/>
              <w:jc w:val="left"/>
              <w:rPr/>
            </w:pPr>
            <w:r>
              <w:rPr/>
              <w:t> </w:t>
            </w:r>
          </w:p>
        </w:tc>
        <w:tc>
          <w:tcPr>
            <w:tcW w:w="974" w:type="dxa"/>
            <w:tcBorders/>
            <w:tcMar>
              <w:bottom w:w="0" w:type="dxa"/>
            </w:tcMar>
            <w:vAlign w:val="center"/>
          </w:tcPr>
          <w:p>
            <w:pPr>
              <w:pStyle w:val="TableContents"/>
              <w:bidi w:val="0"/>
              <w:spacing w:before="0" w:after="283"/>
              <w:jc w:val="right"/>
              <w:rPr>
                <w:b/>
              </w:rPr>
            </w:pPr>
            <w:r>
              <w:rPr>
                <w:b/>
              </w:rPr>
              <w:t>(53,558</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943" w:type="dxa"/>
            <w:tcBorders/>
            <w:tcMar>
              <w:bottom w:w="0" w:type="dxa"/>
            </w:tcMar>
            <w:vAlign w:val="center"/>
          </w:tcPr>
          <w:p>
            <w:pPr>
              <w:pStyle w:val="TableContents"/>
              <w:bidi w:val="0"/>
              <w:spacing w:before="0" w:after="283"/>
              <w:jc w:val="right"/>
              <w:rPr>
                <w:b/>
              </w:rPr>
            </w:pPr>
            <w:r>
              <w:rPr>
                <w:b/>
              </w:rPr>
              <w:t>(1,791</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85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b/>
              </w:rPr>
            </w:pPr>
            <w:r>
              <w:rPr>
                <w:b/>
              </w:rPr>
              <w:t>(55,349</w:t>
            </w:r>
          </w:p>
        </w:tc>
        <w:tc>
          <w:tcPr>
            <w:tcW w:w="140" w:type="dxa"/>
            <w:tcBorders/>
            <w:tcMar>
              <w:bottom w:w="0" w:type="dxa"/>
            </w:tcMar>
            <w:vAlign w:val="center"/>
          </w:tcPr>
          <w:p>
            <w:pPr>
              <w:pStyle w:val="TableContents"/>
              <w:bidi w:val="0"/>
              <w:spacing w:before="0" w:after="283"/>
              <w:ind w:left="0" w:right="0" w:hanging="180"/>
              <w:jc w:val="left"/>
              <w:rPr>
                <w:b/>
              </w:rPr>
            </w:pPr>
            <w:r>
              <w:rPr>
                <w:b/>
              </w:rPr>
              <w:t>)</w:t>
            </w:r>
          </w:p>
        </w:tc>
      </w:tr>
      <w:tr>
        <w:trPr/>
        <w:tc>
          <w:tcPr>
            <w:tcW w:w="1905" w:type="dxa"/>
            <w:tcBorders>
              <w:bottom w:val="single" w:sz="8" w:space="0" w:color="000000"/>
            </w:tcBorders>
            <w:shd w:fill="CCEEFF" w:val="clear"/>
            <w:vAlign w:val="center"/>
          </w:tcPr>
          <w:p>
            <w:pPr>
              <w:pStyle w:val="TableContents"/>
              <w:bidi w:val="0"/>
              <w:spacing w:before="0" w:after="283"/>
              <w:jc w:val="left"/>
              <w:rPr/>
            </w:pPr>
            <w:r>
              <w:rPr/>
              <w:t>Deferred tax asset derecognized in the statements of equity</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vAlign w:val="center"/>
          </w:tcPr>
          <w:p>
            <w:pPr>
              <w:pStyle w:val="TableContents"/>
              <w:bidi w:val="0"/>
              <w:spacing w:before="0" w:after="283"/>
              <w:jc w:val="left"/>
              <w:rPr/>
            </w:pPr>
            <w:r>
              <w:rPr/>
              <w:t> </w:t>
            </w:r>
          </w:p>
        </w:tc>
        <w:tc>
          <w:tcPr>
            <w:tcW w:w="974"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69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vAlign w:val="center"/>
          </w:tcPr>
          <w:p>
            <w:pPr>
              <w:pStyle w:val="TableContents"/>
              <w:bidi w:val="0"/>
              <w:spacing w:before="0" w:after="283"/>
              <w:jc w:val="left"/>
              <w:rPr/>
            </w:pPr>
            <w:r>
              <w:rPr/>
              <w:t> </w:t>
            </w:r>
          </w:p>
        </w:tc>
        <w:tc>
          <w:tcPr>
            <w:tcW w:w="976"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vAlign w:val="center"/>
          </w:tcPr>
          <w:p>
            <w:pPr>
              <w:pStyle w:val="TableContents"/>
              <w:bidi w:val="0"/>
              <w:spacing w:before="0" w:after="283"/>
              <w:jc w:val="left"/>
              <w:rPr/>
            </w:pPr>
            <w:r>
              <w:rPr/>
              <w:t> </w:t>
            </w:r>
          </w:p>
        </w:tc>
        <w:tc>
          <w:tcPr>
            <w:tcW w:w="943" w:type="dxa"/>
            <w:tcBorders>
              <w:bottom w:val="single" w:sz="8" w:space="0" w:color="000000"/>
            </w:tcBorders>
            <w:shd w:fill="CCEEFF" w:val="clear"/>
            <w:vAlign w:val="center"/>
          </w:tcPr>
          <w:p>
            <w:pPr>
              <w:pStyle w:val="TableContents"/>
              <w:bidi w:val="0"/>
              <w:spacing w:before="0" w:after="283"/>
              <w:jc w:val="right"/>
              <w:rPr>
                <w:b/>
              </w:rPr>
            </w:pPr>
            <w:r>
              <w:rPr>
                <w:b/>
              </w:rPr>
              <w:t>(2,500</w:t>
            </w:r>
          </w:p>
        </w:tc>
        <w:tc>
          <w:tcPr>
            <w:tcW w:w="12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vAlign w:val="center"/>
          </w:tcPr>
          <w:p>
            <w:pPr>
              <w:pStyle w:val="TableContents"/>
              <w:bidi w:val="0"/>
              <w:spacing w:before="0" w:after="283"/>
              <w:jc w:val="left"/>
              <w:rPr/>
            </w:pPr>
            <w:r>
              <w:rPr/>
              <w:t> </w:t>
            </w:r>
          </w:p>
        </w:tc>
        <w:tc>
          <w:tcPr>
            <w:tcW w:w="853"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283"/>
              <w:jc w:val="right"/>
              <w:rPr>
                <w:b/>
              </w:rPr>
            </w:pPr>
            <w:r>
              <w:rPr>
                <w:b/>
              </w:rPr>
              <w:t>(2,500</w:t>
            </w:r>
          </w:p>
        </w:tc>
        <w:tc>
          <w:tcPr>
            <w:tcW w:w="140" w:type="dxa"/>
            <w:tcBorders>
              <w:bottom w:val="single" w:sz="8" w:space="0" w:color="000000"/>
            </w:tcBorders>
            <w:shd w:fill="CCEEFF" w:val="clear"/>
            <w:vAlign w:val="center"/>
          </w:tcPr>
          <w:p>
            <w:pPr>
              <w:pStyle w:val="TableContents"/>
              <w:bidi w:val="0"/>
              <w:spacing w:before="0" w:after="283"/>
              <w:ind w:left="0" w:right="0" w:hanging="180"/>
              <w:jc w:val="left"/>
              <w:rPr>
                <w:b/>
              </w:rPr>
            </w:pPr>
            <w:r>
              <w:rPr>
                <w:b/>
              </w:rPr>
              <w:t>)</w:t>
            </w:r>
          </w:p>
        </w:tc>
      </w:tr>
      <w:tr>
        <w:trPr/>
        <w:tc>
          <w:tcPr>
            <w:tcW w:w="1905" w:type="dxa"/>
            <w:tcBorders/>
            <w:tcMar>
              <w:bottom w:w="0" w:type="dxa"/>
            </w:tcMar>
            <w:vAlign w:val="center"/>
          </w:tcPr>
          <w:p>
            <w:pPr>
              <w:pStyle w:val="TableContents"/>
              <w:bidi w:val="0"/>
              <w:spacing w:before="0" w:after="283"/>
              <w:jc w:val="left"/>
              <w:rPr>
                <w:b/>
              </w:rPr>
            </w:pPr>
            <w:r>
              <w:rPr>
                <w:b/>
              </w:rPr>
              <w:t>As of December 31, 2024</w:t>
            </w:r>
          </w:p>
        </w:tc>
        <w:tc>
          <w:tcPr>
            <w:tcW w:w="90" w:type="dxa"/>
            <w:tcBorders/>
            <w:tcMar>
              <w:bottom w:w="0" w:type="dxa"/>
            </w:tcMar>
            <w:vAlign w:val="center"/>
          </w:tcPr>
          <w:p>
            <w:pPr>
              <w:pStyle w:val="TableContents"/>
              <w:bidi w:val="0"/>
              <w:spacing w:before="0" w:after="283"/>
              <w:jc w:val="left"/>
              <w:rPr/>
            </w:pPr>
            <w:r>
              <w:rPr/>
              <w:t> </w:t>
            </w:r>
          </w:p>
        </w:tc>
        <w:tc>
          <w:tcPr>
            <w:tcW w:w="111" w:type="dxa"/>
            <w:tcBorders/>
            <w:tcMar>
              <w:bottom w:w="0" w:type="dxa"/>
            </w:tcMar>
            <w:vAlign w:val="center"/>
          </w:tcPr>
          <w:p>
            <w:pPr>
              <w:pStyle w:val="TableContents"/>
              <w:bidi w:val="0"/>
              <w:spacing w:before="0" w:after="283"/>
              <w:jc w:val="left"/>
              <w:rPr/>
            </w:pPr>
            <w:r>
              <w:rPr/>
              <w:t> </w:t>
            </w:r>
          </w:p>
        </w:tc>
        <w:tc>
          <w:tcPr>
            <w:tcW w:w="974" w:type="dxa"/>
            <w:tcBorders/>
            <w:tcMar>
              <w:bottom w:w="0" w:type="dxa"/>
            </w:tcMar>
            <w:vAlign w:val="center"/>
          </w:tcPr>
          <w:p>
            <w:pPr>
              <w:pStyle w:val="TableContents"/>
              <w:bidi w:val="0"/>
              <w:spacing w:before="0" w:after="283"/>
              <w:jc w:val="right"/>
              <w:rPr>
                <w:b/>
              </w:rPr>
            </w:pPr>
            <w:r>
              <w:rPr>
                <w:b/>
              </w:rPr>
              <w:t>4,044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b/>
              </w:rPr>
            </w:pPr>
            <w:r>
              <w:rPr>
                <w:b/>
              </w:rPr>
              <w:t>4,956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976" w:type="dxa"/>
            <w:tcBorders/>
            <w:tcMar>
              <w:bottom w:w="0" w:type="dxa"/>
            </w:tcMar>
            <w:vAlign w:val="center"/>
          </w:tcPr>
          <w:p>
            <w:pPr>
              <w:pStyle w:val="TableContents"/>
              <w:bidi w:val="0"/>
              <w:spacing w:before="0" w:after="283"/>
              <w:jc w:val="right"/>
              <w:rPr>
                <w:b/>
              </w:rPr>
            </w:pPr>
            <w:r>
              <w:rPr>
                <w:b/>
              </w:rPr>
              <w:t>139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943"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b/>
              </w:rPr>
            </w:pPr>
            <w:r>
              <w:rPr>
                <w:b/>
              </w:rPr>
              <w:t>8,728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853" w:type="dxa"/>
            <w:tcBorders/>
            <w:tcMar>
              <w:bottom w:w="0" w:type="dxa"/>
            </w:tcMar>
            <w:vAlign w:val="center"/>
          </w:tcPr>
          <w:p>
            <w:pPr>
              <w:pStyle w:val="TableContents"/>
              <w:bidi w:val="0"/>
              <w:spacing w:before="0" w:after="283"/>
              <w:jc w:val="right"/>
              <w:rPr>
                <w:b/>
              </w:rPr>
            </w:pPr>
            <w:r>
              <w:rPr>
                <w:b/>
              </w:rPr>
              <w:t>4,950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b/>
              </w:rPr>
            </w:pPr>
            <w:r>
              <w:rPr>
                <w:b/>
              </w:rPr>
              <w:t>22,817</w:t>
            </w:r>
          </w:p>
        </w:tc>
        <w:tc>
          <w:tcPr>
            <w:tcW w:w="140" w:type="dxa"/>
            <w:tcBorders/>
            <w:tcMar>
              <w:bottom w:w="0" w:type="dxa"/>
            </w:tcMar>
            <w:vAlign w:val="center"/>
          </w:tcPr>
          <w:p>
            <w:pPr>
              <w:pStyle w:val="TableContents"/>
              <w:bidi w:val="0"/>
              <w:spacing w:before="0" w:after="283"/>
              <w:ind w:left="0" w:right="0" w:hanging="180"/>
              <w:jc w:val="left"/>
              <w:rPr/>
            </w:pPr>
            <w:r>
              <w:rPr/>
              <w:t> </w:t>
            </w:r>
          </w:p>
        </w:tc>
      </w:tr>
      <w:tr>
        <w:trPr/>
        <w:tc>
          <w:tcPr>
            <w:tcW w:w="1905" w:type="dxa"/>
            <w:tcBorders>
              <w:bottom w:val="single" w:sz="8" w:space="0" w:color="000000"/>
            </w:tcBorders>
            <w:shd w:fill="CCEEFF" w:val="clear"/>
            <w:vAlign w:val="center"/>
          </w:tcPr>
          <w:p>
            <w:pPr>
              <w:pStyle w:val="TableContents"/>
              <w:bidi w:val="0"/>
              <w:spacing w:before="0" w:after="283"/>
              <w:jc w:val="left"/>
              <w:rPr>
                <w:b/>
              </w:rPr>
            </w:pPr>
            <w:r>
              <w:rPr>
                <w:b/>
              </w:rPr>
              <w:t>Offsetting deferred tax liabilities as of December 31, 2024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vAlign w:val="center"/>
          </w:tcPr>
          <w:p>
            <w:pPr>
              <w:pStyle w:val="TableContents"/>
              <w:bidi w:val="0"/>
              <w:spacing w:before="0" w:after="283"/>
              <w:jc w:val="left"/>
              <w:rPr/>
            </w:pPr>
            <w:r>
              <w:rPr/>
              <w:t> </w:t>
            </w:r>
          </w:p>
        </w:tc>
        <w:tc>
          <w:tcPr>
            <w:tcW w:w="974"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695"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vAlign w:val="center"/>
          </w:tcPr>
          <w:p>
            <w:pPr>
              <w:pStyle w:val="TableContents"/>
              <w:bidi w:val="0"/>
              <w:spacing w:before="0" w:after="283"/>
              <w:jc w:val="left"/>
              <w:rPr/>
            </w:pPr>
            <w:r>
              <w:rPr/>
              <w:t> </w:t>
            </w:r>
          </w:p>
        </w:tc>
        <w:tc>
          <w:tcPr>
            <w:tcW w:w="976"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vAlign w:val="center"/>
          </w:tcPr>
          <w:p>
            <w:pPr>
              <w:pStyle w:val="TableContents"/>
              <w:bidi w:val="0"/>
              <w:spacing w:before="0" w:after="283"/>
              <w:jc w:val="left"/>
              <w:rPr/>
            </w:pPr>
            <w:r>
              <w:rPr/>
              <w:t> </w:t>
            </w:r>
          </w:p>
        </w:tc>
        <w:tc>
          <w:tcPr>
            <w:tcW w:w="94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vAlign w:val="center"/>
          </w:tcPr>
          <w:p>
            <w:pPr>
              <w:pStyle w:val="TableContents"/>
              <w:bidi w:val="0"/>
              <w:spacing w:before="0" w:after="283"/>
              <w:jc w:val="left"/>
              <w:rPr/>
            </w:pPr>
            <w:r>
              <w:rPr/>
              <w:t> </w:t>
            </w:r>
          </w:p>
        </w:tc>
        <w:tc>
          <w:tcPr>
            <w:tcW w:w="853"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283"/>
              <w:jc w:val="right"/>
              <w:rPr>
                <w:b/>
              </w:rPr>
            </w:pPr>
            <w:r>
              <w:rPr>
                <w:b/>
              </w:rPr>
              <w:t>(22,817</w:t>
            </w:r>
          </w:p>
        </w:tc>
        <w:tc>
          <w:tcPr>
            <w:tcW w:w="140" w:type="dxa"/>
            <w:tcBorders>
              <w:bottom w:val="single" w:sz="8" w:space="0" w:color="000000"/>
            </w:tcBorders>
            <w:shd w:fill="CCEEFF" w:val="clear"/>
            <w:vAlign w:val="center"/>
          </w:tcPr>
          <w:p>
            <w:pPr>
              <w:pStyle w:val="TableContents"/>
              <w:bidi w:val="0"/>
              <w:spacing w:before="0" w:after="283"/>
              <w:ind w:left="0" w:right="0" w:hanging="180"/>
              <w:jc w:val="left"/>
              <w:rPr>
                <w:b/>
              </w:rPr>
            </w:pPr>
            <w:r>
              <w:rPr>
                <w:b/>
              </w:rPr>
              <w:t>)</w:t>
            </w:r>
          </w:p>
        </w:tc>
      </w:tr>
      <w:tr>
        <w:trPr/>
        <w:tc>
          <w:tcPr>
            <w:tcW w:w="1905" w:type="dxa"/>
            <w:tcBorders>
              <w:bottom w:val="single" w:sz="12" w:space="0" w:color="000000"/>
            </w:tcBorders>
            <w:vAlign w:val="center"/>
          </w:tcPr>
          <w:p>
            <w:pPr>
              <w:pStyle w:val="TableContents"/>
              <w:bidi w:val="0"/>
              <w:spacing w:before="0" w:after="283"/>
              <w:jc w:val="left"/>
              <w:rPr>
                <w:b/>
              </w:rPr>
            </w:pPr>
            <w:r>
              <w:rPr>
                <w:b/>
              </w:rPr>
              <w:t>Net deferred tax assets as of December 31, 2024</w:t>
            </w:r>
          </w:p>
        </w:tc>
        <w:tc>
          <w:tcPr>
            <w:tcW w:w="90" w:type="dxa"/>
            <w:tcBorders>
              <w:bottom w:val="single" w:sz="12" w:space="0" w:color="000000"/>
            </w:tcBorders>
            <w:vAlign w:val="center"/>
          </w:tcPr>
          <w:p>
            <w:pPr>
              <w:pStyle w:val="TableContents"/>
              <w:bidi w:val="0"/>
              <w:spacing w:before="0" w:after="283"/>
              <w:jc w:val="left"/>
              <w:rPr/>
            </w:pPr>
            <w:r>
              <w:rPr/>
              <w:t> </w:t>
            </w:r>
          </w:p>
        </w:tc>
        <w:tc>
          <w:tcPr>
            <w:tcW w:w="111" w:type="dxa"/>
            <w:tcBorders>
              <w:bottom w:val="single" w:sz="12" w:space="0" w:color="000000"/>
            </w:tcBorders>
            <w:vAlign w:val="center"/>
          </w:tcPr>
          <w:p>
            <w:pPr>
              <w:pStyle w:val="TableContents"/>
              <w:bidi w:val="0"/>
              <w:spacing w:before="0" w:after="283"/>
              <w:jc w:val="left"/>
              <w:rPr/>
            </w:pPr>
            <w:r>
              <w:rPr/>
              <w:t> </w:t>
            </w:r>
          </w:p>
        </w:tc>
        <w:tc>
          <w:tcPr>
            <w:tcW w:w="974"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695"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14" w:type="dxa"/>
            <w:tcBorders>
              <w:bottom w:val="single" w:sz="12" w:space="0" w:color="000000"/>
            </w:tcBorders>
            <w:vAlign w:val="center"/>
          </w:tcPr>
          <w:p>
            <w:pPr>
              <w:pStyle w:val="TableContents"/>
              <w:bidi w:val="0"/>
              <w:spacing w:before="0" w:after="283"/>
              <w:jc w:val="left"/>
              <w:rPr/>
            </w:pPr>
            <w:r>
              <w:rPr/>
              <w:t> </w:t>
            </w:r>
          </w:p>
        </w:tc>
        <w:tc>
          <w:tcPr>
            <w:tcW w:w="976"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7" w:type="dxa"/>
            <w:tcBorders>
              <w:bottom w:val="single" w:sz="12" w:space="0" w:color="000000"/>
            </w:tcBorders>
            <w:vAlign w:val="center"/>
          </w:tcPr>
          <w:p>
            <w:pPr>
              <w:pStyle w:val="TableContents"/>
              <w:bidi w:val="0"/>
              <w:spacing w:before="0" w:after="283"/>
              <w:jc w:val="left"/>
              <w:rPr/>
            </w:pPr>
            <w:r>
              <w:rPr/>
              <w:t> </w:t>
            </w:r>
          </w:p>
        </w:tc>
        <w:tc>
          <w:tcPr>
            <w:tcW w:w="943"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7" w:type="dxa"/>
            <w:tcBorders>
              <w:bottom w:val="single" w:sz="12" w:space="0" w:color="000000"/>
            </w:tcBorders>
            <w:vAlign w:val="center"/>
          </w:tcPr>
          <w:p>
            <w:pPr>
              <w:pStyle w:val="TableContents"/>
              <w:bidi w:val="0"/>
              <w:spacing w:before="0" w:after="283"/>
              <w:jc w:val="left"/>
              <w:rPr/>
            </w:pPr>
            <w:r>
              <w:rPr/>
              <w:t> </w:t>
            </w:r>
          </w:p>
        </w:tc>
        <w:tc>
          <w:tcPr>
            <w:tcW w:w="853"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85" w:type="dxa"/>
            <w:tcBorders>
              <w:bottom w:val="single" w:sz="12" w:space="0" w:color="000000"/>
            </w:tcBorders>
            <w:vAlign w:val="center"/>
          </w:tcPr>
          <w:p>
            <w:pPr>
              <w:pStyle w:val="TableContents"/>
              <w:bidi w:val="0"/>
              <w:spacing w:before="0" w:after="0"/>
              <w:jc w:val="right"/>
              <w:rPr/>
            </w:pPr>
            <w:r>
              <w:rPr/>
              <w:t>—</w:t>
            </w:r>
          </w:p>
        </w:tc>
        <w:tc>
          <w:tcPr>
            <w:tcW w:w="14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in deferred tax liability for the years ending December 31, 2024 and 2023, without taking into consideration the offsetting of balances within the same tax jurisdiction,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60"/>
        <w:gridCol w:w="90"/>
        <w:gridCol w:w="90"/>
        <w:gridCol w:w="785"/>
        <w:gridCol w:w="125"/>
        <w:gridCol w:w="90"/>
        <w:gridCol w:w="135"/>
        <w:gridCol w:w="1005"/>
        <w:gridCol w:w="125"/>
        <w:gridCol w:w="90"/>
        <w:gridCol w:w="150"/>
        <w:gridCol w:w="1198"/>
        <w:gridCol w:w="125"/>
        <w:gridCol w:w="90"/>
        <w:gridCol w:w="90"/>
        <w:gridCol w:w="785"/>
        <w:gridCol w:w="172"/>
      </w:tblGrid>
      <w:tr>
        <w:trPr/>
        <w:tc>
          <w:tcPr>
            <w:tcW w:w="506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75" w:type="dxa"/>
            <w:gridSpan w:val="2"/>
            <w:tcBorders>
              <w:bottom w:val="single" w:sz="8" w:space="0" w:color="000000"/>
            </w:tcBorders>
            <w:vAlign w:val="center"/>
          </w:tcPr>
          <w:p>
            <w:pPr>
              <w:pStyle w:val="TableContents"/>
              <w:bidi w:val="0"/>
              <w:spacing w:before="0" w:after="283"/>
              <w:jc w:val="right"/>
              <w:rPr>
                <w:b/>
              </w:rPr>
            </w:pPr>
            <w:r>
              <w:rPr>
                <w:b/>
              </w:rPr>
              <w:t>PPE</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140" w:type="dxa"/>
            <w:gridSpan w:val="2"/>
            <w:tcBorders>
              <w:bottom w:val="single" w:sz="8" w:space="0" w:color="000000"/>
            </w:tcBorders>
            <w:vAlign w:val="center"/>
          </w:tcPr>
          <w:p>
            <w:pPr>
              <w:pStyle w:val="TableContents"/>
              <w:bidi w:val="0"/>
              <w:spacing w:before="0" w:after="283"/>
              <w:jc w:val="right"/>
              <w:rPr>
                <w:b/>
              </w:rPr>
            </w:pPr>
            <w:r>
              <w:rPr>
                <w:b/>
              </w:rPr>
              <w:t>ROU Asset</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348" w:type="dxa"/>
            <w:gridSpan w:val="2"/>
            <w:tcBorders>
              <w:bottom w:val="single" w:sz="8" w:space="0" w:color="000000"/>
            </w:tcBorders>
            <w:vAlign w:val="center"/>
          </w:tcPr>
          <w:p>
            <w:pPr>
              <w:pStyle w:val="TableContents"/>
              <w:bidi w:val="0"/>
              <w:spacing w:before="0" w:after="283"/>
              <w:jc w:val="right"/>
              <w:rPr>
                <w:b/>
              </w:rPr>
            </w:pPr>
            <w:r>
              <w:rPr>
                <w:b/>
              </w:rPr>
              <w:t>Reserves and</w:t>
              <w:br/>
              <w:t>other</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875" w:type="dxa"/>
            <w:gridSpan w:val="2"/>
            <w:tcBorders>
              <w:bottom w:val="single" w:sz="8" w:space="0" w:color="000000"/>
            </w:tcBorders>
            <w:vAlign w:val="center"/>
          </w:tcPr>
          <w:p>
            <w:pPr>
              <w:pStyle w:val="TableContents"/>
              <w:bidi w:val="0"/>
              <w:spacing w:before="0" w:after="283"/>
              <w:jc w:val="right"/>
              <w:rPr>
                <w:b/>
              </w:rPr>
            </w:pPr>
            <w:r>
              <w:rPr>
                <w:b/>
              </w:rPr>
              <w:t>Total</w:t>
            </w:r>
          </w:p>
        </w:tc>
        <w:tc>
          <w:tcPr>
            <w:tcW w:w="172" w:type="dxa"/>
            <w:tcBorders>
              <w:bottom w:val="single" w:sz="8" w:space="0" w:color="000000"/>
            </w:tcBorders>
            <w:vAlign w:val="center"/>
          </w:tcPr>
          <w:p>
            <w:pPr>
              <w:pStyle w:val="TableContents"/>
              <w:bidi w:val="0"/>
              <w:spacing w:before="0" w:after="283"/>
              <w:jc w:val="right"/>
              <w:rPr/>
            </w:pPr>
            <w:r>
              <w:rPr/>
              <w:t> </w:t>
            </w:r>
          </w:p>
        </w:tc>
      </w:tr>
      <w:tr>
        <w:trPr/>
        <w:tc>
          <w:tcPr>
            <w:tcW w:w="5060" w:type="dxa"/>
            <w:tcBorders/>
            <w:shd w:fill="CCEEFF" w:val="clear"/>
            <w:tcMar>
              <w:bottom w:w="0" w:type="dxa"/>
            </w:tcMar>
            <w:vAlign w:val="center"/>
          </w:tcPr>
          <w:p>
            <w:pPr>
              <w:pStyle w:val="TableContents"/>
              <w:bidi w:val="0"/>
              <w:spacing w:before="0" w:after="283"/>
              <w:jc w:val="left"/>
              <w:rPr/>
            </w:pPr>
            <w:r>
              <w:rPr/>
              <w:t>As of January 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21,518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5,930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27,448</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5060" w:type="dxa"/>
            <w:tcBorders>
              <w:bottom w:val="single" w:sz="8" w:space="0" w:color="000000"/>
            </w:tcBorders>
            <w:vAlign w:val="center"/>
          </w:tcPr>
          <w:p>
            <w:pPr>
              <w:pStyle w:val="TableContents"/>
              <w:bidi w:val="0"/>
              <w:spacing w:before="0" w:after="283"/>
              <w:jc w:val="left"/>
              <w:rPr/>
            </w:pPr>
            <w:r>
              <w:rPr/>
              <w:t>Credited to statements of profit or loss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85" w:type="dxa"/>
            <w:tcBorders>
              <w:bottom w:val="single" w:sz="8" w:space="0" w:color="000000"/>
            </w:tcBorders>
            <w:vAlign w:val="center"/>
          </w:tcPr>
          <w:p>
            <w:pPr>
              <w:pStyle w:val="TableContents"/>
              <w:bidi w:val="0"/>
              <w:spacing w:before="0" w:after="283"/>
              <w:jc w:val="right"/>
              <w:rPr/>
            </w:pPr>
            <w:r>
              <w:rPr/>
              <w:t>(4,164</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35" w:type="dxa"/>
            <w:tcBorders>
              <w:bottom w:val="single" w:sz="8" w:space="0" w:color="000000"/>
            </w:tcBorders>
            <w:vAlign w:val="center"/>
          </w:tcPr>
          <w:p>
            <w:pPr>
              <w:pStyle w:val="TableContents"/>
              <w:bidi w:val="0"/>
              <w:spacing w:before="0" w:after="283"/>
              <w:jc w:val="left"/>
              <w:rPr/>
            </w:pPr>
            <w:r>
              <w:rPr/>
              <w:t> </w:t>
            </w:r>
          </w:p>
        </w:tc>
        <w:tc>
          <w:tcPr>
            <w:tcW w:w="1005" w:type="dxa"/>
            <w:tcBorders>
              <w:bottom w:val="single" w:sz="8" w:space="0" w:color="000000"/>
            </w:tcBorders>
            <w:vAlign w:val="center"/>
          </w:tcPr>
          <w:p>
            <w:pPr>
              <w:pStyle w:val="TableContents"/>
              <w:bidi w:val="0"/>
              <w:spacing w:before="0" w:after="283"/>
              <w:jc w:val="right"/>
              <w:rPr/>
            </w:pPr>
            <w:r>
              <w:rPr/>
              <w:t>(2,333</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50" w:type="dxa"/>
            <w:tcBorders>
              <w:bottom w:val="single" w:sz="8" w:space="0" w:color="000000"/>
            </w:tcBorders>
            <w:vAlign w:val="center"/>
          </w:tcPr>
          <w:p>
            <w:pPr>
              <w:pStyle w:val="TableContents"/>
              <w:bidi w:val="0"/>
              <w:spacing w:before="0" w:after="283"/>
              <w:jc w:val="left"/>
              <w:rPr/>
            </w:pPr>
            <w:r>
              <w:rPr/>
              <w:t> </w:t>
            </w:r>
          </w:p>
        </w:tc>
        <w:tc>
          <w:tcPr>
            <w:tcW w:w="1198" w:type="dxa"/>
            <w:tcBorders>
              <w:bottom w:val="single" w:sz="8" w:space="0" w:color="000000"/>
            </w:tcBorders>
            <w:vAlign w:val="center"/>
          </w:tcPr>
          <w:p>
            <w:pPr>
              <w:pStyle w:val="TableContents"/>
              <w:bidi w:val="0"/>
              <w:spacing w:before="0" w:after="283"/>
              <w:jc w:val="right"/>
              <w:rPr/>
            </w:pPr>
            <w:r>
              <w:rPr/>
              <w:t>1,288</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85" w:type="dxa"/>
            <w:tcBorders>
              <w:bottom w:val="single" w:sz="8" w:space="0" w:color="000000"/>
            </w:tcBorders>
            <w:vAlign w:val="center"/>
          </w:tcPr>
          <w:p>
            <w:pPr>
              <w:pStyle w:val="TableContents"/>
              <w:bidi w:val="0"/>
              <w:spacing w:before="0" w:after="283"/>
              <w:jc w:val="right"/>
              <w:rPr/>
            </w:pPr>
            <w:r>
              <w:rPr/>
              <w:t>(5,209</w:t>
            </w:r>
          </w:p>
        </w:tc>
        <w:tc>
          <w:tcPr>
            <w:tcW w:w="172" w:type="dxa"/>
            <w:tcBorders>
              <w:bottom w:val="single" w:sz="8" w:space="0" w:color="000000"/>
            </w:tcBorders>
            <w:vAlign w:val="center"/>
          </w:tcPr>
          <w:p>
            <w:pPr>
              <w:pStyle w:val="TableContents"/>
              <w:bidi w:val="0"/>
              <w:spacing w:before="0" w:after="283"/>
              <w:jc w:val="left"/>
              <w:rPr/>
            </w:pPr>
            <w:r>
              <w:rPr/>
              <w:t>)</w:t>
            </w:r>
          </w:p>
        </w:tc>
      </w:tr>
      <w:tr>
        <w:trPr/>
        <w:tc>
          <w:tcPr>
            <w:tcW w:w="5060" w:type="dxa"/>
            <w:tcBorders/>
            <w:shd w:fill="CCEEFF" w:val="clear"/>
            <w:tcMar>
              <w:bottom w:w="0" w:type="dxa"/>
            </w:tcMar>
            <w:vAlign w:val="center"/>
          </w:tcPr>
          <w:p>
            <w:pPr>
              <w:pStyle w:val="TableContents"/>
              <w:bidi w:val="0"/>
              <w:spacing w:before="0" w:after="283"/>
              <w:jc w:val="left"/>
              <w:rPr/>
            </w:pPr>
            <w:r>
              <w:rPr/>
              <w:t>As of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17,354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3,597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1,288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22,239</w:t>
            </w:r>
          </w:p>
        </w:tc>
        <w:tc>
          <w:tcPr>
            <w:tcW w:w="172" w:type="dxa"/>
            <w:tcBorders/>
            <w:shd w:fill="CCEEFF" w:val="clear"/>
            <w:tcMar>
              <w:bottom w:w="0" w:type="dxa"/>
            </w:tcMar>
            <w:vAlign w:val="center"/>
          </w:tcPr>
          <w:p>
            <w:pPr>
              <w:pStyle w:val="TableContents"/>
              <w:bidi w:val="0"/>
              <w:spacing w:before="0" w:after="283"/>
              <w:jc w:val="left"/>
              <w:rPr/>
            </w:pPr>
            <w:r>
              <w:rPr/>
              <w:t> </w:t>
            </w:r>
          </w:p>
        </w:tc>
      </w:tr>
      <w:tr>
        <w:trPr/>
        <w:tc>
          <w:tcPr>
            <w:tcW w:w="5060" w:type="dxa"/>
            <w:tcBorders/>
            <w:tcMar>
              <w:bottom w:w="0" w:type="dxa"/>
            </w:tcMar>
            <w:vAlign w:val="center"/>
          </w:tcPr>
          <w:p>
            <w:pPr>
              <w:pStyle w:val="TableContents"/>
              <w:bidi w:val="0"/>
              <w:spacing w:before="0" w:after="283"/>
              <w:jc w:val="left"/>
              <w:rPr/>
            </w:pPr>
            <w:r>
              <w:rPr/>
              <w:t>Credited to statements of profit or loss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b/>
              </w:rPr>
            </w:pPr>
            <w:r>
              <w:rPr>
                <w:b/>
              </w:rPr>
              <w:t>(14,634</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005" w:type="dxa"/>
            <w:tcBorders/>
            <w:tcMar>
              <w:bottom w:w="0" w:type="dxa"/>
            </w:tcMar>
            <w:vAlign w:val="center"/>
          </w:tcPr>
          <w:p>
            <w:pPr>
              <w:pStyle w:val="TableContents"/>
              <w:bidi w:val="0"/>
              <w:spacing w:before="0" w:after="283"/>
              <w:jc w:val="right"/>
              <w:rPr>
                <w:b/>
              </w:rPr>
            </w:pPr>
            <w:r>
              <w:rPr>
                <w:b/>
              </w:rPr>
              <w:t>1,657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right"/>
              <w:rPr>
                <w:b/>
              </w:rPr>
            </w:pPr>
            <w:r>
              <w:rPr>
                <w:b/>
              </w:rPr>
              <w:t>(484</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b/>
              </w:rPr>
            </w:pPr>
            <w:r>
              <w:rPr>
                <w:b/>
              </w:rPr>
              <w:t>(13,461</w:t>
            </w:r>
          </w:p>
        </w:tc>
        <w:tc>
          <w:tcPr>
            <w:tcW w:w="172" w:type="dxa"/>
            <w:tcBorders/>
            <w:tcMar>
              <w:bottom w:w="0" w:type="dxa"/>
            </w:tcMar>
            <w:vAlign w:val="center"/>
          </w:tcPr>
          <w:p>
            <w:pPr>
              <w:pStyle w:val="TableContents"/>
              <w:bidi w:val="0"/>
              <w:spacing w:before="0" w:after="283"/>
              <w:jc w:val="left"/>
              <w:rPr>
                <w:b/>
              </w:rPr>
            </w:pPr>
            <w:r>
              <w:rPr>
                <w:b/>
              </w:rPr>
              <w:t>)</w:t>
            </w:r>
          </w:p>
        </w:tc>
      </w:tr>
      <w:tr>
        <w:trPr/>
        <w:tc>
          <w:tcPr>
            <w:tcW w:w="5060" w:type="dxa"/>
            <w:tcBorders>
              <w:bottom w:val="single" w:sz="8" w:space="0" w:color="000000"/>
            </w:tcBorders>
            <w:shd w:fill="CCEEFF" w:val="clear"/>
            <w:vAlign w:val="center"/>
          </w:tcPr>
          <w:p>
            <w:pPr>
              <w:pStyle w:val="TableContents"/>
              <w:bidi w:val="0"/>
              <w:spacing w:before="0" w:after="283"/>
              <w:jc w:val="left"/>
              <w:rPr/>
            </w:pPr>
            <w:r>
              <w:rPr/>
              <w:t>Charged to other comprehensive income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vAlign w:val="center"/>
          </w:tcPr>
          <w:p>
            <w:pPr>
              <w:pStyle w:val="TableContents"/>
              <w:bidi w:val="0"/>
              <w:spacing w:before="0" w:after="283"/>
              <w:jc w:val="left"/>
              <w:rPr/>
            </w:pPr>
            <w:r>
              <w:rPr/>
              <w:t> </w:t>
            </w:r>
          </w:p>
        </w:tc>
        <w:tc>
          <w:tcPr>
            <w:tcW w:w="100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1198" w:type="dxa"/>
            <w:tcBorders>
              <w:bottom w:val="single" w:sz="8" w:space="0" w:color="000000"/>
            </w:tcBorders>
            <w:shd w:fill="CCEEFF" w:val="clear"/>
            <w:vAlign w:val="center"/>
          </w:tcPr>
          <w:p>
            <w:pPr>
              <w:pStyle w:val="TableContents"/>
              <w:bidi w:val="0"/>
              <w:spacing w:before="0" w:after="283"/>
              <w:jc w:val="right"/>
              <w:rPr>
                <w:b/>
              </w:rPr>
            </w:pPr>
            <w:r>
              <w:rPr>
                <w:b/>
              </w:rPr>
              <w:t>14,104</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283"/>
              <w:jc w:val="right"/>
              <w:rPr>
                <w:b/>
              </w:rPr>
            </w:pPr>
            <w:r>
              <w:rPr>
                <w:b/>
              </w:rPr>
              <w:t>14,104</w:t>
            </w:r>
          </w:p>
        </w:tc>
        <w:tc>
          <w:tcPr>
            <w:tcW w:w="172"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060" w:type="dxa"/>
            <w:tcBorders/>
            <w:tcMar>
              <w:bottom w:w="0" w:type="dxa"/>
            </w:tcMar>
            <w:vAlign w:val="center"/>
          </w:tcPr>
          <w:p>
            <w:pPr>
              <w:pStyle w:val="TableContents"/>
              <w:bidi w:val="0"/>
              <w:spacing w:before="0" w:after="283"/>
              <w:jc w:val="left"/>
              <w:rPr>
                <w:b/>
              </w:rPr>
            </w:pPr>
            <w:r>
              <w:rPr>
                <w:b/>
              </w:rPr>
              <w:t>As of December 31, 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b/>
              </w:rPr>
            </w:pPr>
            <w:r>
              <w:rPr>
                <w:b/>
              </w:rPr>
              <w:t>2,720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005" w:type="dxa"/>
            <w:tcBorders/>
            <w:tcMar>
              <w:bottom w:w="0" w:type="dxa"/>
            </w:tcMar>
            <w:vAlign w:val="center"/>
          </w:tcPr>
          <w:p>
            <w:pPr>
              <w:pStyle w:val="TableContents"/>
              <w:bidi w:val="0"/>
              <w:spacing w:before="0" w:after="283"/>
              <w:jc w:val="right"/>
              <w:rPr>
                <w:b/>
              </w:rPr>
            </w:pPr>
            <w:r>
              <w:rPr>
                <w:b/>
              </w:rPr>
              <w:t>5,254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right"/>
              <w:rPr>
                <w:b/>
              </w:rPr>
            </w:pPr>
            <w:r>
              <w:rPr>
                <w:b/>
              </w:rPr>
              <w:t>14,908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b/>
              </w:rPr>
            </w:pPr>
            <w:r>
              <w:rPr>
                <w:b/>
              </w:rPr>
              <w:t>22,882</w:t>
            </w:r>
          </w:p>
        </w:tc>
        <w:tc>
          <w:tcPr>
            <w:tcW w:w="172" w:type="dxa"/>
            <w:tcBorders/>
            <w:tcMar>
              <w:bottom w:w="0" w:type="dxa"/>
            </w:tcMar>
            <w:vAlign w:val="center"/>
          </w:tcPr>
          <w:p>
            <w:pPr>
              <w:pStyle w:val="TableContents"/>
              <w:bidi w:val="0"/>
              <w:spacing w:before="0" w:after="283"/>
              <w:jc w:val="left"/>
              <w:rPr/>
            </w:pPr>
            <w:r>
              <w:rPr/>
              <w:t> </w:t>
            </w:r>
          </w:p>
        </w:tc>
      </w:tr>
      <w:tr>
        <w:trPr/>
        <w:tc>
          <w:tcPr>
            <w:tcW w:w="5060" w:type="dxa"/>
            <w:tcBorders>
              <w:bottom w:val="single" w:sz="8" w:space="0" w:color="000000"/>
            </w:tcBorders>
            <w:shd w:fill="CCEEFF" w:val="clear"/>
            <w:vAlign w:val="center"/>
          </w:tcPr>
          <w:p>
            <w:pPr>
              <w:pStyle w:val="TableContents"/>
              <w:bidi w:val="0"/>
              <w:spacing w:before="0" w:after="283"/>
              <w:jc w:val="left"/>
              <w:rPr>
                <w:b/>
              </w:rPr>
            </w:pPr>
            <w:r>
              <w:rPr>
                <w:b/>
              </w:rPr>
              <w:t>Offsetting deferred tax assets as of December 31, 2024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vAlign w:val="center"/>
          </w:tcPr>
          <w:p>
            <w:pPr>
              <w:pStyle w:val="TableContents"/>
              <w:bidi w:val="0"/>
              <w:spacing w:before="0" w:after="283"/>
              <w:jc w:val="left"/>
              <w:rPr/>
            </w:pPr>
            <w:r>
              <w:rPr/>
              <w:t> </w:t>
            </w:r>
          </w:p>
        </w:tc>
        <w:tc>
          <w:tcPr>
            <w:tcW w:w="1005"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1198" w:type="dxa"/>
            <w:tcBorders>
              <w:bottom w:val="single" w:sz="8" w:space="0" w:color="000000"/>
            </w:tcBorders>
            <w:shd w:fill="CCEEFF" w:val="clear"/>
            <w:vAlign w:val="center"/>
          </w:tcPr>
          <w:p>
            <w:pPr>
              <w:pStyle w:val="TableContents"/>
              <w:bidi w:val="0"/>
              <w:spacing w:before="0" w:after="283"/>
              <w:jc w:val="righ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85" w:type="dxa"/>
            <w:tcBorders>
              <w:bottom w:val="single" w:sz="8" w:space="0" w:color="000000"/>
            </w:tcBorders>
            <w:shd w:fill="CCEEFF" w:val="clear"/>
            <w:vAlign w:val="center"/>
          </w:tcPr>
          <w:p>
            <w:pPr>
              <w:pStyle w:val="TableContents"/>
              <w:bidi w:val="0"/>
              <w:spacing w:before="0" w:after="283"/>
              <w:jc w:val="right"/>
              <w:rPr>
                <w:b/>
              </w:rPr>
            </w:pPr>
            <w:r>
              <w:rPr>
                <w:b/>
              </w:rPr>
              <w:t>(22,817</w:t>
            </w:r>
          </w:p>
        </w:tc>
        <w:tc>
          <w:tcPr>
            <w:tcW w:w="172" w:type="dxa"/>
            <w:tcBorders>
              <w:bottom w:val="single" w:sz="8" w:space="0" w:color="000000"/>
            </w:tcBorders>
            <w:shd w:fill="CCEEFF" w:val="clear"/>
            <w:vAlign w:val="center"/>
          </w:tcPr>
          <w:p>
            <w:pPr>
              <w:pStyle w:val="TableContents"/>
              <w:bidi w:val="0"/>
              <w:spacing w:before="0" w:after="283"/>
              <w:jc w:val="left"/>
              <w:rPr>
                <w:b/>
              </w:rPr>
            </w:pPr>
            <w:r>
              <w:rPr>
                <w:b/>
              </w:rPr>
              <w:t>)</w:t>
            </w:r>
          </w:p>
        </w:tc>
      </w:tr>
      <w:tr>
        <w:trPr/>
        <w:tc>
          <w:tcPr>
            <w:tcW w:w="5060" w:type="dxa"/>
            <w:tcBorders>
              <w:bottom w:val="single" w:sz="12" w:space="0" w:color="000000"/>
            </w:tcBorders>
            <w:vAlign w:val="center"/>
          </w:tcPr>
          <w:p>
            <w:pPr>
              <w:pStyle w:val="TableContents"/>
              <w:bidi w:val="0"/>
              <w:spacing w:before="0" w:after="283"/>
              <w:jc w:val="left"/>
              <w:rPr>
                <w:b/>
              </w:rPr>
            </w:pPr>
            <w:r>
              <w:rPr>
                <w:b/>
              </w:rPr>
              <w:t>Net deferred tax liabilities as of December 31, 2024</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85"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5" w:type="dxa"/>
            <w:tcBorders>
              <w:bottom w:val="single" w:sz="12" w:space="0" w:color="000000"/>
            </w:tcBorders>
            <w:vAlign w:val="center"/>
          </w:tcPr>
          <w:p>
            <w:pPr>
              <w:pStyle w:val="TableContents"/>
              <w:bidi w:val="0"/>
              <w:spacing w:before="0" w:after="283"/>
              <w:jc w:val="left"/>
              <w:rPr/>
            </w:pPr>
            <w:r>
              <w:rPr/>
              <w:t> </w:t>
            </w:r>
          </w:p>
        </w:tc>
        <w:tc>
          <w:tcPr>
            <w:tcW w:w="1005"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50" w:type="dxa"/>
            <w:tcBorders>
              <w:bottom w:val="single" w:sz="12" w:space="0" w:color="000000"/>
            </w:tcBorders>
            <w:vAlign w:val="center"/>
          </w:tcPr>
          <w:p>
            <w:pPr>
              <w:pStyle w:val="TableContents"/>
              <w:bidi w:val="0"/>
              <w:spacing w:before="0" w:after="283"/>
              <w:jc w:val="left"/>
              <w:rPr/>
            </w:pPr>
            <w:r>
              <w:rPr/>
              <w:t> </w:t>
            </w:r>
          </w:p>
        </w:tc>
        <w:tc>
          <w:tcPr>
            <w:tcW w:w="1198"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85" w:type="dxa"/>
            <w:tcBorders>
              <w:bottom w:val="single" w:sz="12" w:space="0" w:color="000000"/>
            </w:tcBorders>
            <w:vAlign w:val="center"/>
          </w:tcPr>
          <w:p>
            <w:pPr>
              <w:pStyle w:val="TableContents"/>
              <w:bidi w:val="0"/>
              <w:spacing w:before="0" w:after="283"/>
              <w:jc w:val="right"/>
              <w:rPr>
                <w:b/>
              </w:rPr>
            </w:pPr>
            <w:r>
              <w:rPr>
                <w:b/>
              </w:rPr>
              <w:t>65</w:t>
            </w:r>
          </w:p>
        </w:tc>
        <w:tc>
          <w:tcPr>
            <w:tcW w:w="172"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60 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3" w:name="a_029"/>
      <w:bookmarkStart w:id="64" w:name="a_029"/>
      <w:bookmarkEnd w:id="64"/>
    </w:p>
    <w:tbl>
      <w:tblPr>
        <w:tblW w:w="5223" w:type="dxa"/>
        <w:jc w:val="left"/>
        <w:tblInd w:w="0" w:type="dxa"/>
        <w:tblLayout w:type="fixed"/>
        <w:tblCellMar>
          <w:top w:w="0" w:type="dxa"/>
          <w:left w:w="0" w:type="dxa"/>
          <w:bottom w:w="0" w:type="dxa"/>
          <w:right w:w="0" w:type="dxa"/>
        </w:tblCellMar>
      </w:tblPr>
      <w:tblGrid>
        <w:gridCol w:w="68"/>
        <w:gridCol w:w="1115"/>
        <w:gridCol w:w="404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21:</w:t>
            </w:r>
          </w:p>
        </w:tc>
        <w:tc>
          <w:tcPr>
            <w:tcW w:w="4040" w:type="dxa"/>
            <w:tcBorders/>
            <w:vAlign w:val="center"/>
          </w:tcPr>
          <w:p>
            <w:pPr>
              <w:pStyle w:val="TableContents"/>
              <w:bidi w:val="0"/>
              <w:spacing w:before="0" w:after="283"/>
              <w:jc w:val="both"/>
              <w:rPr>
                <w:b/>
              </w:rPr>
            </w:pPr>
            <w:r>
              <w:rPr>
                <w:b/>
              </w:rPr>
              <w:t>ASSET RETIREMENT PROVISION</w:t>
            </w:r>
          </w:p>
        </w:tc>
      </w:tr>
    </w:tbl>
    <w:p>
      <w:pPr>
        <w:pStyle w:val="TextBody"/>
        <w:bidi w:val="0"/>
        <w:spacing w:before="0" w:after="0"/>
        <w:jc w:val="both"/>
        <w:rPr>
          <w:caps w:val="false"/>
          <w:smallCaps w:val="false"/>
        </w:rPr>
      </w:pPr>
      <w:r>
        <w:rPr>
          <w:caps w:val="false"/>
          <w:smallCaps w:val="false"/>
        </w:rPr>
        <w:t> </w:t>
      </w:r>
    </w:p>
    <w:tbl>
      <w:tblPr>
        <w:tblW w:w="8783" w:type="dxa"/>
        <w:jc w:val="left"/>
        <w:tblInd w:w="0" w:type="dxa"/>
        <w:tblLayout w:type="fixed"/>
        <w:tblCellMar>
          <w:top w:w="0" w:type="dxa"/>
          <w:left w:w="0" w:type="dxa"/>
          <w:bottom w:w="28" w:type="dxa"/>
          <w:right w:w="0" w:type="dxa"/>
        </w:tblCellMar>
      </w:tblPr>
      <w:tblGrid>
        <w:gridCol w:w="4310"/>
        <w:gridCol w:w="90"/>
        <w:gridCol w:w="267"/>
        <w:gridCol w:w="1762"/>
        <w:gridCol w:w="125"/>
        <w:gridCol w:w="90"/>
        <w:gridCol w:w="259"/>
        <w:gridCol w:w="1710"/>
        <w:gridCol w:w="170"/>
      </w:tblGrid>
      <w:tr>
        <w:trPr/>
        <w:tc>
          <w:tcPr>
            <w:tcW w:w="4310"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125"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righ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As of December 31,</w:t>
            </w:r>
          </w:p>
        </w:tc>
        <w:tc>
          <w:tcPr>
            <w:tcW w:w="170" w:type="dxa"/>
            <w:tcBorders>
              <w:bottom w:val="single" w:sz="8" w:space="0" w:color="000000"/>
            </w:tcBorders>
            <w:vAlign w:val="center"/>
          </w:tcPr>
          <w:p>
            <w:pPr>
              <w:pStyle w:val="TableContents"/>
              <w:bidi w:val="0"/>
              <w:spacing w:before="0" w:after="283"/>
              <w:jc w:val="right"/>
              <w:rPr/>
            </w:pPr>
            <w:r>
              <w:rPr/>
              <w:t> </w:t>
            </w:r>
          </w:p>
        </w:tc>
      </w:tr>
      <w:tr>
        <w:trPr/>
        <w:tc>
          <w:tcPr>
            <w:tcW w:w="431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4310" w:type="dxa"/>
            <w:tcBorders>
              <w:bottom w:val="single" w:sz="8" w:space="0" w:color="000000"/>
            </w:tcBorders>
            <w:shd w:fill="CCEEFF" w:val="clear"/>
            <w:vAlign w:val="center"/>
          </w:tcPr>
          <w:p>
            <w:pPr>
              <w:pStyle w:val="TableContents"/>
              <w:bidi w:val="0"/>
              <w:spacing w:before="0" w:after="283"/>
              <w:jc w:val="left"/>
              <w:rPr/>
            </w:pPr>
            <w:r>
              <w:rPr/>
              <w:t>Balance as of January 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vAlign w:val="center"/>
          </w:tcPr>
          <w:p>
            <w:pPr>
              <w:pStyle w:val="TableContents"/>
              <w:bidi w:val="0"/>
              <w:spacing w:before="0" w:after="283"/>
              <w:jc w:val="left"/>
              <w:rPr/>
            </w:pPr>
            <w:r>
              <w:rPr/>
              <w:t> </w:t>
            </w:r>
          </w:p>
        </w:tc>
        <w:tc>
          <w:tcPr>
            <w:tcW w:w="1762" w:type="dxa"/>
            <w:tcBorders>
              <w:bottom w:val="single" w:sz="8" w:space="0" w:color="000000"/>
            </w:tcBorders>
            <w:shd w:fill="CCEEFF" w:val="clear"/>
            <w:vAlign w:val="center"/>
          </w:tcPr>
          <w:p>
            <w:pPr>
              <w:pStyle w:val="TableContents"/>
              <w:bidi w:val="0"/>
              <w:spacing w:before="0" w:after="283"/>
              <w:jc w:val="right"/>
              <w:rPr>
                <w:b/>
              </w:rPr>
            </w:pPr>
            <w:r>
              <w:rPr>
                <w:b/>
              </w:rPr>
              <w:t>1,816</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1710" w:type="dxa"/>
            <w:tcBorders>
              <w:bottom w:val="single" w:sz="8" w:space="0" w:color="000000"/>
            </w:tcBorders>
            <w:shd w:fill="CCEEFF" w:val="clear"/>
            <w:vAlign w:val="center"/>
          </w:tcPr>
          <w:p>
            <w:pPr>
              <w:pStyle w:val="TableContents"/>
              <w:bidi w:val="0"/>
              <w:spacing w:before="0" w:after="283"/>
              <w:jc w:val="right"/>
              <w:rPr/>
            </w:pPr>
            <w:r>
              <w:rPr/>
              <w:t>1,979</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4310" w:type="dxa"/>
            <w:tcBorders/>
            <w:tcMar>
              <w:bottom w:w="0" w:type="dxa"/>
            </w:tcMar>
            <w:vAlign w:val="center"/>
          </w:tcPr>
          <w:p>
            <w:pPr>
              <w:pStyle w:val="TableContents"/>
              <w:bidi w:val="0"/>
              <w:spacing w:before="0" w:after="283"/>
              <w:jc w:val="left"/>
              <w:rPr/>
            </w:pPr>
            <w:r>
              <w:rPr/>
              <w:t>Additions during the period</w:t>
            </w:r>
          </w:p>
        </w:tc>
        <w:tc>
          <w:tcPr>
            <w:tcW w:w="90" w:type="dxa"/>
            <w:tcBorders/>
            <w:tcMar>
              <w:bottom w:w="0" w:type="dxa"/>
            </w:tcMar>
            <w:vAlign w:val="center"/>
          </w:tcPr>
          <w:p>
            <w:pPr>
              <w:pStyle w:val="TableContents"/>
              <w:bidi w:val="0"/>
              <w:spacing w:before="0" w:after="283"/>
              <w:jc w:val="left"/>
              <w:rPr/>
            </w:pPr>
            <w:r>
              <w:rPr/>
              <w:t> </w:t>
            </w:r>
          </w:p>
        </w:tc>
        <w:tc>
          <w:tcPr>
            <w:tcW w:w="267" w:type="dxa"/>
            <w:tcBorders/>
            <w:tcMar>
              <w:bottom w:w="0" w:type="dxa"/>
            </w:tcMar>
            <w:vAlign w:val="center"/>
          </w:tcPr>
          <w:p>
            <w:pPr>
              <w:pStyle w:val="TableContents"/>
              <w:bidi w:val="0"/>
              <w:spacing w:before="0" w:after="283"/>
              <w:jc w:val="left"/>
              <w:rPr/>
            </w:pPr>
            <w:r>
              <w:rPr/>
              <w:t> </w:t>
            </w:r>
          </w:p>
        </w:tc>
        <w:tc>
          <w:tcPr>
            <w:tcW w:w="1762"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1710" w:type="dxa"/>
            <w:tcBorders/>
            <w:tcMar>
              <w:bottom w:w="0" w:type="dxa"/>
            </w:tcMar>
            <w:vAlign w:val="center"/>
          </w:tcPr>
          <w:p>
            <w:pPr>
              <w:pStyle w:val="TableContents"/>
              <w:bidi w:val="0"/>
              <w:spacing w:before="0" w:after="283"/>
              <w:jc w:val="right"/>
              <w:rPr/>
            </w:pPr>
            <w:r>
              <w:rPr/>
              <w:t>209</w:t>
            </w:r>
          </w:p>
        </w:tc>
        <w:tc>
          <w:tcPr>
            <w:tcW w:w="170" w:type="dxa"/>
            <w:tcBorders/>
            <w:tcMar>
              <w:bottom w:w="0" w:type="dxa"/>
            </w:tcMar>
            <w:vAlign w:val="center"/>
          </w:tcPr>
          <w:p>
            <w:pPr>
              <w:pStyle w:val="TableContents"/>
              <w:bidi w:val="0"/>
              <w:spacing w:before="0" w:after="283"/>
              <w:jc w:val="left"/>
              <w:rPr/>
            </w:pPr>
            <w:r>
              <w:rPr/>
              <w:t> </w:t>
            </w:r>
          </w:p>
        </w:tc>
      </w:tr>
      <w:tr>
        <w:trPr/>
        <w:tc>
          <w:tcPr>
            <w:tcW w:w="4310" w:type="dxa"/>
            <w:tcBorders/>
            <w:shd w:fill="CCEEFF" w:val="clear"/>
            <w:tcMar>
              <w:bottom w:w="0" w:type="dxa"/>
            </w:tcMar>
            <w:vAlign w:val="center"/>
          </w:tcPr>
          <w:p>
            <w:pPr>
              <w:pStyle w:val="TableContents"/>
              <w:bidi w:val="0"/>
              <w:spacing w:before="0" w:after="283"/>
              <w:jc w:val="left"/>
              <w:rPr/>
            </w:pPr>
            <w:r>
              <w:rPr/>
              <w:t>Accretion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b/>
              </w:rPr>
            </w:pPr>
            <w:r>
              <w:rPr>
                <w:b/>
              </w:rPr>
              <w:t>358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710" w:type="dxa"/>
            <w:tcBorders/>
            <w:shd w:fill="CCEEFF" w:val="clear"/>
            <w:tcMar>
              <w:bottom w:w="0" w:type="dxa"/>
            </w:tcMar>
            <w:vAlign w:val="center"/>
          </w:tcPr>
          <w:p>
            <w:pPr>
              <w:pStyle w:val="TableContents"/>
              <w:bidi w:val="0"/>
              <w:spacing w:before="0" w:after="283"/>
              <w:jc w:val="right"/>
              <w:rPr/>
            </w:pPr>
            <w:r>
              <w:rPr/>
              <w:t>214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10" w:type="dxa"/>
            <w:tcBorders/>
            <w:tcMar>
              <w:bottom w:w="0" w:type="dxa"/>
            </w:tcMar>
            <w:vAlign w:val="center"/>
          </w:tcPr>
          <w:p>
            <w:pPr>
              <w:pStyle w:val="TableContents"/>
              <w:bidi w:val="0"/>
              <w:spacing w:before="0" w:after="283"/>
              <w:jc w:val="left"/>
              <w:rPr/>
            </w:pPr>
            <w:r>
              <w:rPr/>
              <w:t>Effect of change in the foreign exchange rate</w:t>
            </w:r>
          </w:p>
        </w:tc>
        <w:tc>
          <w:tcPr>
            <w:tcW w:w="90" w:type="dxa"/>
            <w:tcBorders/>
            <w:tcMar>
              <w:bottom w:w="0" w:type="dxa"/>
            </w:tcMar>
            <w:vAlign w:val="center"/>
          </w:tcPr>
          <w:p>
            <w:pPr>
              <w:pStyle w:val="TableContents"/>
              <w:bidi w:val="0"/>
              <w:spacing w:before="0" w:after="283"/>
              <w:jc w:val="left"/>
              <w:rPr/>
            </w:pPr>
            <w:r>
              <w:rPr/>
              <w:t> </w:t>
            </w:r>
          </w:p>
        </w:tc>
        <w:tc>
          <w:tcPr>
            <w:tcW w:w="267" w:type="dxa"/>
            <w:tcBorders/>
            <w:tcMar>
              <w:bottom w:w="0" w:type="dxa"/>
            </w:tcMar>
            <w:vAlign w:val="center"/>
          </w:tcPr>
          <w:p>
            <w:pPr>
              <w:pStyle w:val="TableContents"/>
              <w:bidi w:val="0"/>
              <w:spacing w:before="0" w:after="283"/>
              <w:jc w:val="left"/>
              <w:rPr/>
            </w:pPr>
            <w:r>
              <w:rPr/>
              <w:t> </w:t>
            </w:r>
          </w:p>
        </w:tc>
        <w:tc>
          <w:tcPr>
            <w:tcW w:w="1762" w:type="dxa"/>
            <w:tcBorders/>
            <w:tcMar>
              <w:bottom w:w="0" w:type="dxa"/>
            </w:tcMar>
            <w:vAlign w:val="center"/>
          </w:tcPr>
          <w:p>
            <w:pPr>
              <w:pStyle w:val="TableContents"/>
              <w:bidi w:val="0"/>
              <w:spacing w:before="0" w:after="283"/>
              <w:jc w:val="right"/>
              <w:rPr>
                <w:b/>
              </w:rPr>
            </w:pPr>
            <w:r>
              <w:rPr>
                <w:b/>
              </w:rPr>
              <w:t>(156</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1710" w:type="dxa"/>
            <w:tcBorders/>
            <w:tcMar>
              <w:bottom w:w="0" w:type="dxa"/>
            </w:tcMar>
            <w:vAlign w:val="center"/>
          </w:tcPr>
          <w:p>
            <w:pPr>
              <w:pStyle w:val="TableContents"/>
              <w:bidi w:val="0"/>
              <w:spacing w:before="0" w:after="283"/>
              <w:jc w:val="right"/>
              <w:rPr/>
            </w:pPr>
            <w:r>
              <w:rPr/>
              <w:t>12</w:t>
            </w:r>
          </w:p>
        </w:tc>
        <w:tc>
          <w:tcPr>
            <w:tcW w:w="170" w:type="dxa"/>
            <w:tcBorders/>
            <w:tcMar>
              <w:bottom w:w="0" w:type="dxa"/>
            </w:tcMar>
            <w:vAlign w:val="center"/>
          </w:tcPr>
          <w:p>
            <w:pPr>
              <w:pStyle w:val="TableContents"/>
              <w:bidi w:val="0"/>
              <w:spacing w:before="0" w:after="283"/>
              <w:jc w:val="left"/>
              <w:rPr/>
            </w:pPr>
            <w:r>
              <w:rPr/>
              <w:t> </w:t>
            </w:r>
          </w:p>
        </w:tc>
      </w:tr>
      <w:tr>
        <w:trPr/>
        <w:tc>
          <w:tcPr>
            <w:tcW w:w="4310" w:type="dxa"/>
            <w:tcBorders>
              <w:bottom w:val="single" w:sz="8" w:space="0" w:color="000000"/>
            </w:tcBorders>
            <w:shd w:fill="CCEEFF" w:val="clear"/>
            <w:vAlign w:val="center"/>
          </w:tcPr>
          <w:p>
            <w:pPr>
              <w:pStyle w:val="TableContents"/>
              <w:bidi w:val="0"/>
              <w:spacing w:before="0" w:after="283"/>
              <w:jc w:val="left"/>
              <w:rPr/>
            </w:pPr>
            <w:r>
              <w:rPr/>
              <w:t>Effect of change in discount rate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vAlign w:val="center"/>
          </w:tcPr>
          <w:p>
            <w:pPr>
              <w:pStyle w:val="TableContents"/>
              <w:bidi w:val="0"/>
              <w:spacing w:before="0" w:after="283"/>
              <w:jc w:val="left"/>
              <w:rPr/>
            </w:pPr>
            <w:r>
              <w:rPr/>
              <w:t> </w:t>
            </w:r>
          </w:p>
        </w:tc>
        <w:tc>
          <w:tcPr>
            <w:tcW w:w="1762" w:type="dxa"/>
            <w:tcBorders>
              <w:bottom w:val="single" w:sz="8" w:space="0" w:color="000000"/>
            </w:tcBorders>
            <w:shd w:fill="CCEEFF" w:val="clear"/>
            <w:vAlign w:val="center"/>
          </w:tcPr>
          <w:p>
            <w:pPr>
              <w:pStyle w:val="TableContents"/>
              <w:bidi w:val="0"/>
              <w:spacing w:before="0" w:after="283"/>
              <w:jc w:val="right"/>
              <w:rPr>
                <w:b/>
              </w:rPr>
            </w:pPr>
            <w:r>
              <w:rPr>
                <w:b/>
              </w:rPr>
              <w:t>88</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1710" w:type="dxa"/>
            <w:tcBorders>
              <w:bottom w:val="single" w:sz="8" w:space="0" w:color="000000"/>
            </w:tcBorders>
            <w:shd w:fill="CCEEFF" w:val="clear"/>
            <w:vAlign w:val="center"/>
          </w:tcPr>
          <w:p>
            <w:pPr>
              <w:pStyle w:val="TableContents"/>
              <w:bidi w:val="0"/>
              <w:spacing w:before="0" w:after="283"/>
              <w:jc w:val="right"/>
              <w:rPr/>
            </w:pPr>
            <w:r>
              <w:rPr/>
              <w:t>(598</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4310" w:type="dxa"/>
            <w:tcBorders>
              <w:bottom w:val="single" w:sz="12" w:space="0" w:color="000000"/>
            </w:tcBorders>
            <w:vAlign w:val="center"/>
          </w:tcPr>
          <w:p>
            <w:pPr>
              <w:pStyle w:val="TableContents"/>
              <w:bidi w:val="0"/>
              <w:spacing w:before="0" w:after="283"/>
              <w:jc w:val="left"/>
              <w:rPr>
                <w:b/>
              </w:rPr>
            </w:pPr>
            <w:r>
              <w:rPr>
                <w:b/>
              </w:rPr>
              <w:t>Balance as of period end</w:t>
            </w:r>
          </w:p>
        </w:tc>
        <w:tc>
          <w:tcPr>
            <w:tcW w:w="90" w:type="dxa"/>
            <w:tcBorders>
              <w:bottom w:val="single" w:sz="12" w:space="0" w:color="000000"/>
            </w:tcBorders>
            <w:vAlign w:val="center"/>
          </w:tcPr>
          <w:p>
            <w:pPr>
              <w:pStyle w:val="TableContents"/>
              <w:bidi w:val="0"/>
              <w:spacing w:before="0" w:after="283"/>
              <w:jc w:val="left"/>
              <w:rPr/>
            </w:pPr>
            <w:r>
              <w:rPr/>
              <w:t> </w:t>
            </w:r>
          </w:p>
        </w:tc>
        <w:tc>
          <w:tcPr>
            <w:tcW w:w="267" w:type="dxa"/>
            <w:tcBorders>
              <w:bottom w:val="single" w:sz="12" w:space="0" w:color="000000"/>
            </w:tcBorders>
            <w:vAlign w:val="center"/>
          </w:tcPr>
          <w:p>
            <w:pPr>
              <w:pStyle w:val="TableContents"/>
              <w:bidi w:val="0"/>
              <w:spacing w:before="0" w:after="283"/>
              <w:jc w:val="left"/>
              <w:rPr/>
            </w:pPr>
            <w:r>
              <w:rPr/>
              <w:t> </w:t>
            </w:r>
          </w:p>
        </w:tc>
        <w:tc>
          <w:tcPr>
            <w:tcW w:w="1762" w:type="dxa"/>
            <w:tcBorders>
              <w:bottom w:val="single" w:sz="12" w:space="0" w:color="000000"/>
            </w:tcBorders>
            <w:vAlign w:val="center"/>
          </w:tcPr>
          <w:p>
            <w:pPr>
              <w:pStyle w:val="TableContents"/>
              <w:bidi w:val="0"/>
              <w:spacing w:before="0" w:after="283"/>
              <w:jc w:val="right"/>
              <w:rPr>
                <w:b/>
              </w:rPr>
            </w:pPr>
            <w:r>
              <w:rPr>
                <w:b/>
              </w:rPr>
              <w:t>2,106</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59" w:type="dxa"/>
            <w:tcBorders>
              <w:bottom w:val="single" w:sz="12" w:space="0" w:color="000000"/>
            </w:tcBorders>
            <w:vAlign w:val="center"/>
          </w:tcPr>
          <w:p>
            <w:pPr>
              <w:pStyle w:val="TableContents"/>
              <w:bidi w:val="0"/>
              <w:spacing w:before="0" w:after="283"/>
              <w:jc w:val="left"/>
              <w:rPr/>
            </w:pPr>
            <w:r>
              <w:rPr/>
              <w:t> </w:t>
            </w:r>
          </w:p>
        </w:tc>
        <w:tc>
          <w:tcPr>
            <w:tcW w:w="1710" w:type="dxa"/>
            <w:tcBorders>
              <w:bottom w:val="single" w:sz="12" w:space="0" w:color="000000"/>
            </w:tcBorders>
            <w:vAlign w:val="center"/>
          </w:tcPr>
          <w:p>
            <w:pPr>
              <w:pStyle w:val="TableContents"/>
              <w:bidi w:val="0"/>
              <w:spacing w:before="0" w:after="283"/>
              <w:jc w:val="right"/>
              <w:rPr/>
            </w:pPr>
            <w:r>
              <w:rPr/>
              <w:t>1,816</w:t>
            </w:r>
          </w:p>
        </w:tc>
        <w:tc>
          <w:tcPr>
            <w:tcW w:w="17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estimated the costs of restoring its leased premises to their original state at the end of their respective lease terms to be $4,326 (December 31, 2023: $4,326), discounted to present value of $2,106 (December 31, 2023: $1,816) using annual discount rates between 7% and 15% (December 31, 2023: between 7% and 17%) over the lease periods, which were estimated to range from seven to ten years depending on the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effect of the change in discount rate was accounted for as an increase in the asset retirement provision and related property, plant and equipment totaling $88.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effect of the change in discount rate was accounted for as a reduction of asset retirement provision totaling $598 and a decrease of $499 in the related property, plant and equipment. As the decrease in the asset retirement provision exceeded the carrying amount of the related property, plant and equipment, the excess of $99 was recognized as a gain in the consolidated statements of profit or loss and comprehensive profit or loss under Net financial expenses (income) during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 w:name="a_030"/>
      <w:bookmarkStart w:id="66" w:name="a_030"/>
      <w:bookmarkEnd w:id="66"/>
    </w:p>
    <w:tbl>
      <w:tblPr>
        <w:tblW w:w="3288" w:type="dxa"/>
        <w:jc w:val="left"/>
        <w:tblInd w:w="0" w:type="dxa"/>
        <w:tblLayout w:type="fixed"/>
        <w:tblCellMar>
          <w:top w:w="0" w:type="dxa"/>
          <w:left w:w="0" w:type="dxa"/>
          <w:bottom w:w="0" w:type="dxa"/>
          <w:right w:w="0" w:type="dxa"/>
        </w:tblCellMar>
      </w:tblPr>
      <w:tblGrid>
        <w:gridCol w:w="68"/>
        <w:gridCol w:w="1115"/>
        <w:gridCol w:w="210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22:</w:t>
            </w:r>
          </w:p>
        </w:tc>
        <w:tc>
          <w:tcPr>
            <w:tcW w:w="2105" w:type="dxa"/>
            <w:tcBorders/>
            <w:vAlign w:val="center"/>
          </w:tcPr>
          <w:p>
            <w:pPr>
              <w:pStyle w:val="TableContents"/>
              <w:bidi w:val="0"/>
              <w:spacing w:before="0" w:after="283"/>
              <w:jc w:val="both"/>
              <w:rPr>
                <w:b/>
              </w:rPr>
            </w:pPr>
            <w:r>
              <w:rPr>
                <w:b/>
              </w:rPr>
              <w:t>SHARE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authorized share capital consists of an unlimited number of common shares without par value and are fully paid. As of December 31, 2024, the Company had 479,332,885 issued and outstanding common shares (December 31, 2023: 334,153,330).</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285"/>
        <w:gridCol w:w="9806"/>
      </w:tblGrid>
      <w:tr>
        <w:trPr/>
        <w:tc>
          <w:tcPr>
            <w:tcW w:w="1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i/>
              </w:rPr>
            </w:pPr>
            <w:r>
              <w:rPr>
                <w:i/>
              </w:rPr>
              <w:t>i.</w:t>
            </w:r>
          </w:p>
        </w:tc>
        <w:tc>
          <w:tcPr>
            <w:tcW w:w="9806" w:type="dxa"/>
            <w:tcBorders/>
            <w:vAlign w:val="center"/>
          </w:tcPr>
          <w:p>
            <w:pPr>
              <w:pStyle w:val="TableContents"/>
              <w:bidi w:val="0"/>
              <w:spacing w:before="0" w:after="283"/>
              <w:jc w:val="both"/>
              <w:rPr>
                <w:i/>
              </w:rPr>
            </w:pPr>
            <w:r>
              <w:rPr>
                <w:i/>
              </w:rPr>
              <w:t>At-The-Market Equity Offering Program (“ATM Program”)</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commenced an ATM Program on March 11, 2024 (the “2024 ATM Program”), pursuant to which the Company may, at its discretion and from time-to-time, sell common shares of the Company, resulting in the Company receiving aggregate gross proceeds of up to $375,000.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issued 135,474,160 common shares in the 2024 ATM Program in exchange for gross proceeds of $299,905 at an average share price of approximately $2.21. The Company received net proceeds of $290,473 after paying commissions of $8,997 to the sales agent for the 2024 ATM Program and $435 in other transaction costs. The Company capitalized $939 of professional fees and registration expenses to initiate the 2024 ATM Program.</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61 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68"/>
        <w:gridCol w:w="1115"/>
        <w:gridCol w:w="330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22:</w:t>
            </w:r>
          </w:p>
        </w:tc>
        <w:tc>
          <w:tcPr>
            <w:tcW w:w="3305" w:type="dxa"/>
            <w:tcBorders/>
            <w:vAlign w:val="center"/>
          </w:tcPr>
          <w:p>
            <w:pPr>
              <w:pStyle w:val="TableContents"/>
              <w:bidi w:val="0"/>
              <w:spacing w:before="0" w:after="283"/>
              <w:jc w:val="both"/>
              <w:rPr/>
            </w:pPr>
            <w:r>
              <w:rPr>
                <w:b/>
              </w:rPr>
              <w:t>SHARE CAPITAL</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Common shares </w:t>
      </w:r>
      <w:r>
        <w:rPr>
          <w:rFonts w:ascii="Times New Roman;Times;Serif" w:hAnsi="Times New Roman;Times;Serif"/>
          <w:b w:val="false"/>
          <w:i w:val="false"/>
          <w:caps w:val="false"/>
          <w:smallCaps w:val="false"/>
          <w:sz w:val="20"/>
        </w:rPr>
        <w:t>(Continued)</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238"/>
        <w:gridCol w:w="9872"/>
      </w:tblGrid>
      <w:tr>
        <w:trPr/>
        <w:tc>
          <w:tcPr>
            <w:tcW w:w="9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i/>
              </w:rPr>
            </w:pPr>
            <w:r>
              <w:rPr>
                <w:i/>
              </w:rPr>
              <w:t>i.</w:t>
            </w:r>
          </w:p>
        </w:tc>
        <w:tc>
          <w:tcPr>
            <w:tcW w:w="9872" w:type="dxa"/>
            <w:tcBorders/>
            <w:vAlign w:val="center"/>
          </w:tcPr>
          <w:p>
            <w:pPr>
              <w:pStyle w:val="TableContents"/>
              <w:bidi w:val="0"/>
              <w:spacing w:before="0" w:after="283"/>
              <w:jc w:val="both"/>
              <w:rPr/>
            </w:pPr>
            <w:r>
              <w:rPr>
                <w:i/>
              </w:rPr>
              <w:t xml:space="preserve">At-The-Market Equity Offering Program (“ATM Program”) </w:t>
            </w:r>
            <w:r>
              <w:rPr/>
              <w:t>(Continued)</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issued 52,120,899 common shares in its at-the-market equity offering program that commenced on August 16, 2021 (“the 2021 ATM Program”) in exchange for gross proceeds of $70,770 at an average share price of approximately $1.36. The Company received net proceeds of $68,504 after paying commissions of $2,187 to the sales agent for the 2021 ATM Program and $79 in other transaction costs.</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5"/>
        <w:gridCol w:w="1370"/>
        <w:gridCol w:w="8430"/>
      </w:tblGrid>
      <w:tr>
        <w:trPr/>
        <w:tc>
          <w:tcPr>
            <w:tcW w:w="40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i/>
              </w:rPr>
            </w:pPr>
            <w:r>
              <w:rPr>
                <w:i/>
              </w:rPr>
              <w:t>ii.</w:t>
            </w:r>
          </w:p>
        </w:tc>
        <w:tc>
          <w:tcPr>
            <w:tcW w:w="8430" w:type="dxa"/>
            <w:tcBorders/>
            <w:vAlign w:val="center"/>
          </w:tcPr>
          <w:p>
            <w:pPr>
              <w:pStyle w:val="TableContents"/>
              <w:bidi w:val="0"/>
              <w:spacing w:before="0" w:after="283"/>
              <w:jc w:val="both"/>
              <w:rPr>
                <w:i/>
              </w:rPr>
            </w:pPr>
            <w:r>
              <w:rPr>
                <w:i/>
              </w:rPr>
              <w:t>Stock Options</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option holders exercised stock options to acquire 2,644,873 common shares (year ended December 31, 2023: 3,047,346) resulting in proceeds of approximately $2,897 (year ended December 31, 2023: $1,999) being paid to the Company.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8"/>
        <w:gridCol w:w="2212"/>
        <w:gridCol w:w="7475"/>
      </w:tblGrid>
      <w:tr>
        <w:trPr/>
        <w:tc>
          <w:tcPr>
            <w:tcW w:w="518"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i/>
              </w:rPr>
            </w:pPr>
            <w:r>
              <w:rPr>
                <w:i/>
              </w:rPr>
              <w:t>iii.</w:t>
            </w:r>
          </w:p>
        </w:tc>
        <w:tc>
          <w:tcPr>
            <w:tcW w:w="7475" w:type="dxa"/>
            <w:tcBorders/>
            <w:vAlign w:val="center"/>
          </w:tcPr>
          <w:p>
            <w:pPr>
              <w:pStyle w:val="TableContents"/>
              <w:bidi w:val="0"/>
              <w:spacing w:before="0" w:after="283"/>
              <w:jc w:val="both"/>
              <w:rPr>
                <w:i/>
              </w:rPr>
            </w:pPr>
            <w:r>
              <w:rPr>
                <w:i/>
              </w:rPr>
              <w:t>Warrants</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5,000,000 warrants and 111,111 broker warrants related to the 2023 private placement were exercised resulting in the issuance of 5,111,111 common shares for proceeds of approximately $5,986.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6,962,693 warrants and 2,306,667 broker warrants related to the 2023 private placement were exercised resulting in the issuance of 9,269,360 common shares for proceeds of approximately $10,984.</w:t>
      </w:r>
    </w:p>
    <w:p>
      <w:pPr>
        <w:pStyle w:val="TextBody"/>
        <w:bidi w:val="0"/>
        <w:spacing w:before="0" w:after="0"/>
        <w:ind w:left="0" w:right="0" w:hanging="1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8"/>
        <w:gridCol w:w="1044"/>
        <w:gridCol w:w="8903"/>
      </w:tblGrid>
      <w:tr>
        <w:trPr/>
        <w:tc>
          <w:tcPr>
            <w:tcW w:w="25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i/>
              </w:rPr>
            </w:pPr>
            <w:r>
              <w:rPr>
                <w:i/>
              </w:rPr>
              <w:t>iv.</w:t>
            </w:r>
          </w:p>
        </w:tc>
        <w:tc>
          <w:tcPr>
            <w:tcW w:w="8903" w:type="dxa"/>
            <w:tcBorders/>
            <w:vAlign w:val="center"/>
          </w:tcPr>
          <w:p>
            <w:pPr>
              <w:pStyle w:val="TableContents"/>
              <w:bidi w:val="0"/>
              <w:spacing w:before="0" w:after="283"/>
              <w:jc w:val="both"/>
              <w:rPr>
                <w:i/>
              </w:rPr>
            </w:pPr>
            <w:r>
              <w:rPr>
                <w:i/>
              </w:rPr>
              <w:t>Shareholder rights plan</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was subject to the acceptance of the Toronto Stock Exchange (the “TSX”) and shareholder ratification within six months of its adoption. The TSX notified the Company that the TSX would defer its consideration of the acceptance of the July 2024 Rights Plan until (a) such time as it was satisfied that the appropriate securities commission will not intervene pursuant to National Policy 62-202 and (b) the July 2024 Rights Plan was ratified by the shareholders of the Company by no later than January 24, 2025. A deferral of acceptance of the July 2024 Rights Plan by the TSX did not affect the adoption or operation of the July 2024 Rights Plan. The Board recommended that shareholders of the Company ratify the July 2024 Rights Plan, which was approved at the Company’s special meeting of shareholders on November 20, 2024.</w:t>
      </w:r>
    </w:p>
    <w:p>
      <w:pPr>
        <w:pStyle w:val="TextBody"/>
        <w:bidi w:val="0"/>
        <w:spacing w:before="0" w:after="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62 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68"/>
        <w:gridCol w:w="1115"/>
        <w:gridCol w:w="330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22:</w:t>
            </w:r>
          </w:p>
        </w:tc>
        <w:tc>
          <w:tcPr>
            <w:tcW w:w="3305" w:type="dxa"/>
            <w:tcBorders/>
            <w:vAlign w:val="center"/>
          </w:tcPr>
          <w:p>
            <w:pPr>
              <w:pStyle w:val="TableContents"/>
              <w:bidi w:val="0"/>
              <w:spacing w:before="0" w:after="283"/>
              <w:jc w:val="both"/>
              <w:rPr/>
            </w:pPr>
            <w:r>
              <w:rPr>
                <w:b/>
              </w:rPr>
              <w:t>SHARE CAPITAL</w:t>
            </w:r>
            <w:r>
              <w:rPr/>
              <w:t xml:space="preserve"> (Continued)</w:t>
            </w:r>
          </w:p>
        </w:tc>
      </w:tr>
    </w:tbl>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Common shares </w:t>
      </w:r>
      <w:r>
        <w:rPr>
          <w:rFonts w:ascii="Times New Roman;Times;Serif" w:hAnsi="Times New Roman;Times;Serif"/>
          <w:b w:val="false"/>
          <w:i w:val="false"/>
          <w:caps w:val="false"/>
          <w:smallCaps w:val="false"/>
          <w:sz w:val="20"/>
        </w:rPr>
        <w:t>(Continued)</w:t>
      </w:r>
    </w:p>
    <w:p>
      <w:pPr>
        <w:pStyle w:val="TextBody"/>
        <w:bidi w:val="0"/>
        <w:spacing w:before="0" w:after="0"/>
        <w:ind w:left="23" w:right="0" w:hanging="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9"/>
        <w:gridCol w:w="790"/>
        <w:gridCol w:w="9166"/>
      </w:tblGrid>
      <w:tr>
        <w:trPr/>
        <w:tc>
          <w:tcPr>
            <w:tcW w:w="24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i/>
              </w:rPr>
            </w:pPr>
            <w:r>
              <w:rPr>
                <w:i/>
              </w:rPr>
              <w:t>v.</w:t>
            </w:r>
          </w:p>
        </w:tc>
        <w:tc>
          <w:tcPr>
            <w:tcW w:w="9166" w:type="dxa"/>
            <w:tcBorders/>
            <w:vAlign w:val="center"/>
          </w:tcPr>
          <w:p>
            <w:pPr>
              <w:pStyle w:val="TableContents"/>
              <w:bidi w:val="0"/>
              <w:spacing w:before="0" w:after="283"/>
              <w:jc w:val="both"/>
              <w:rPr>
                <w:i/>
              </w:rPr>
            </w:pPr>
            <w:r>
              <w:rPr>
                <w:i/>
              </w:rPr>
              <w:t>Sharon Lease Agreement</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2024, the Company entered into an agreement to lease an industrialized site in Sharon, Pennsylvania, United States, and issued 1,532,745 common shares with a total value of $3,000 as a non-refundable deposit. Refer to Note 19 for more details.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3"/>
        <w:gridCol w:w="1027"/>
        <w:gridCol w:w="8925"/>
      </w:tblGrid>
      <w:tr>
        <w:trPr/>
        <w:tc>
          <w:tcPr>
            <w:tcW w:w="25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i/>
              </w:rPr>
            </w:pPr>
            <w:r>
              <w:rPr>
                <w:i/>
              </w:rPr>
              <w:t>vi.</w:t>
            </w:r>
          </w:p>
        </w:tc>
        <w:tc>
          <w:tcPr>
            <w:tcW w:w="8925" w:type="dxa"/>
            <w:tcBorders/>
            <w:vAlign w:val="center"/>
          </w:tcPr>
          <w:p>
            <w:pPr>
              <w:pStyle w:val="TableContents"/>
              <w:bidi w:val="0"/>
              <w:spacing w:before="0" w:after="283"/>
              <w:jc w:val="both"/>
              <w:rPr>
                <w:i/>
              </w:rPr>
            </w:pPr>
            <w:r>
              <w:rPr>
                <w:i/>
              </w:rPr>
              <w:t xml:space="preserve">2023 private placement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Company completed a private placement for total gross proceeds of $43,799 (CAD $60,001) in exchange for 44,444,446 common shares and 22,222,223 warrants to purchase common shares.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 w:name="a_031"/>
      <w:bookmarkStart w:id="68" w:name="a_031"/>
      <w:bookmarkEnd w:id="68"/>
    </w:p>
    <w:tbl>
      <w:tblPr>
        <w:tblW w:w="4533" w:type="dxa"/>
        <w:jc w:val="left"/>
        <w:tblInd w:w="0" w:type="dxa"/>
        <w:tblLayout w:type="fixed"/>
        <w:tblCellMar>
          <w:top w:w="0" w:type="dxa"/>
          <w:left w:w="0" w:type="dxa"/>
          <w:bottom w:w="0" w:type="dxa"/>
          <w:right w:w="0" w:type="dxa"/>
        </w:tblCellMar>
      </w:tblPr>
      <w:tblGrid>
        <w:gridCol w:w="68"/>
        <w:gridCol w:w="1115"/>
        <w:gridCol w:w="335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23:</w:t>
            </w:r>
          </w:p>
        </w:tc>
        <w:tc>
          <w:tcPr>
            <w:tcW w:w="3350" w:type="dxa"/>
            <w:tcBorders/>
            <w:vAlign w:val="center"/>
          </w:tcPr>
          <w:p>
            <w:pPr>
              <w:pStyle w:val="TableContents"/>
              <w:bidi w:val="0"/>
              <w:spacing w:before="0" w:after="283"/>
              <w:jc w:val="both"/>
              <w:rPr>
                <w:b/>
              </w:rPr>
            </w:pPr>
            <w:r>
              <w:rPr>
                <w:b/>
              </w:rPr>
              <w:t>FINANCIAL INSTRUMENTS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543"/>
        <w:gridCol w:w="9502"/>
      </w:tblGrid>
      <w:tr>
        <w:trPr/>
        <w:tc>
          <w:tcPr>
            <w:tcW w:w="1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b/>
              </w:rPr>
            </w:pPr>
            <w:r>
              <w:rPr>
                <w:b/>
              </w:rPr>
              <w:t>a.</w:t>
            </w:r>
          </w:p>
        </w:tc>
        <w:tc>
          <w:tcPr>
            <w:tcW w:w="9502" w:type="dxa"/>
            <w:tcBorders/>
            <w:vAlign w:val="center"/>
          </w:tcPr>
          <w:p>
            <w:pPr>
              <w:pStyle w:val="TableContents"/>
              <w:bidi w:val="0"/>
              <w:spacing w:before="0" w:after="283"/>
              <w:jc w:val="both"/>
              <w:rPr>
                <w:b/>
              </w:rPr>
            </w:pPr>
            <w:r>
              <w:rPr>
                <w:b/>
              </w:rPr>
              <w:t>Measurement categories and fair value</w:t>
            </w:r>
          </w:p>
        </w:tc>
      </w:tr>
    </w:tbl>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financial liabilities have been classified into categories that determine their basis of measurement. The following tables show the carrying values and the fair value of assets and liabilities for each of the applicable categories: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55"/>
        <w:gridCol w:w="90"/>
        <w:gridCol w:w="751"/>
        <w:gridCol w:w="90"/>
        <w:gridCol w:w="217"/>
        <w:gridCol w:w="1714"/>
        <w:gridCol w:w="90"/>
        <w:gridCol w:w="90"/>
        <w:gridCol w:w="210"/>
        <w:gridCol w:w="1661"/>
        <w:gridCol w:w="137"/>
      </w:tblGrid>
      <w:tr>
        <w:trPr/>
        <w:tc>
          <w:tcPr>
            <w:tcW w:w="515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51"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31"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71" w:type="dxa"/>
            <w:gridSpan w:val="2"/>
            <w:tcBorders>
              <w:bottom w:val="single" w:sz="8" w:space="0" w:color="000000"/>
            </w:tcBorders>
            <w:vAlign w:val="center"/>
          </w:tcPr>
          <w:p>
            <w:pPr>
              <w:pStyle w:val="TableContents"/>
              <w:bidi w:val="0"/>
              <w:spacing w:before="0" w:after="283"/>
              <w:jc w:val="right"/>
              <w:rPr/>
            </w:pPr>
            <w:r>
              <w:rPr/>
              <w:t>As of December 31,</w:t>
            </w:r>
          </w:p>
        </w:tc>
        <w:tc>
          <w:tcPr>
            <w:tcW w:w="137" w:type="dxa"/>
            <w:tcBorders>
              <w:bottom w:val="single" w:sz="8" w:space="0" w:color="000000"/>
            </w:tcBorders>
            <w:vAlign w:val="center"/>
          </w:tcPr>
          <w:p>
            <w:pPr>
              <w:pStyle w:val="TableContents"/>
              <w:bidi w:val="0"/>
              <w:spacing w:before="0" w:after="283"/>
              <w:jc w:val="left"/>
              <w:rPr/>
            </w:pPr>
            <w:r>
              <w:rPr/>
              <w:t> </w:t>
            </w:r>
          </w:p>
        </w:tc>
      </w:tr>
      <w:tr>
        <w:trPr/>
        <w:tc>
          <w:tcPr>
            <w:tcW w:w="5996" w:type="dxa"/>
            <w:gridSpan w:val="3"/>
            <w:tcBorders>
              <w:bottom w:val="single" w:sz="8" w:space="0" w:color="000000"/>
            </w:tcBorders>
            <w:vAlign w:val="center"/>
          </w:tcPr>
          <w:p>
            <w:pPr>
              <w:pStyle w:val="TableContents"/>
              <w:bidi w:val="0"/>
              <w:spacing w:before="0" w:after="283"/>
              <w:jc w:val="left"/>
              <w:rPr>
                <w:b/>
              </w:rPr>
            </w:pPr>
            <w:r>
              <w:rPr>
                <w:b/>
              </w:rPr>
              <w:t>Measurement</w:t>
            </w:r>
          </w:p>
        </w:tc>
        <w:tc>
          <w:tcPr>
            <w:tcW w:w="90" w:type="dxa"/>
            <w:tcBorders>
              <w:bottom w:val="single" w:sz="8" w:space="0" w:color="000000"/>
            </w:tcBorders>
            <w:vAlign w:val="center"/>
          </w:tcPr>
          <w:p>
            <w:pPr>
              <w:pStyle w:val="TableContents"/>
              <w:bidi w:val="0"/>
              <w:spacing w:before="0" w:after="283"/>
              <w:jc w:val="left"/>
              <w:rPr/>
            </w:pPr>
            <w:r>
              <w:rPr/>
              <w:t> </w:t>
            </w:r>
          </w:p>
        </w:tc>
        <w:tc>
          <w:tcPr>
            <w:tcW w:w="1931" w:type="dxa"/>
            <w:gridSpan w:val="2"/>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71" w:type="dxa"/>
            <w:gridSpan w:val="2"/>
            <w:tcBorders>
              <w:bottom w:val="single" w:sz="8" w:space="0" w:color="000000"/>
            </w:tcBorders>
            <w:vAlign w:val="center"/>
          </w:tcPr>
          <w:p>
            <w:pPr>
              <w:pStyle w:val="TableContents"/>
              <w:bidi w:val="0"/>
              <w:spacing w:before="0" w:after="283"/>
              <w:jc w:val="right"/>
              <w:rPr/>
            </w:pPr>
            <w:r>
              <w:rPr/>
              <w:t>2023</w:t>
            </w:r>
          </w:p>
        </w:tc>
        <w:tc>
          <w:tcPr>
            <w:tcW w:w="137" w:type="dxa"/>
            <w:tcBorders>
              <w:bottom w:val="single" w:sz="8" w:space="0" w:color="000000"/>
            </w:tcBorders>
            <w:vAlign w:val="center"/>
          </w:tcPr>
          <w:p>
            <w:pPr>
              <w:pStyle w:val="TableContents"/>
              <w:bidi w:val="0"/>
              <w:spacing w:before="0" w:after="283"/>
              <w:jc w:val="left"/>
              <w:rPr/>
            </w:pPr>
            <w:r>
              <w:rPr/>
              <w:t> </w:t>
            </w:r>
          </w:p>
        </w:tc>
      </w:tr>
      <w:tr>
        <w:trPr/>
        <w:tc>
          <w:tcPr>
            <w:tcW w:w="5155" w:type="dxa"/>
            <w:tcBorders/>
            <w:tcMar>
              <w:bottom w:w="0" w:type="dxa"/>
            </w:tcMar>
            <w:vAlign w:val="center"/>
          </w:tcPr>
          <w:p>
            <w:pPr>
              <w:pStyle w:val="TableContents"/>
              <w:bidi w:val="0"/>
              <w:spacing w:before="0" w:after="283"/>
              <w:jc w:val="left"/>
              <w:rPr>
                <w:b/>
              </w:rPr>
            </w:pPr>
            <w:r>
              <w:rPr>
                <w:b/>
              </w:rPr>
              <w:t>Financial assets at amortized cost</w:t>
            </w:r>
          </w:p>
        </w:tc>
        <w:tc>
          <w:tcPr>
            <w:tcW w:w="90"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31"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71" w:type="dxa"/>
            <w:gridSpan w:val="2"/>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5155" w:type="dxa"/>
            <w:tcBorders/>
            <w:shd w:fill="CCEEFF" w:val="clear"/>
            <w:tcMar>
              <w:bottom w:w="0" w:type="dxa"/>
            </w:tcMar>
            <w:vAlign w:val="center"/>
          </w:tcPr>
          <w:p>
            <w:pPr>
              <w:pStyle w:val="TableContents"/>
              <w:bidi w:val="0"/>
              <w:spacing w:before="0" w:after="283"/>
              <w:jc w:val="left"/>
              <w:rPr/>
            </w:pPr>
            <w:r>
              <w:rPr/>
              <w:t>Cash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right"/>
              <w:rPr/>
            </w:pPr>
            <w:r>
              <w:rPr/>
              <w:t>Level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right"/>
              <w:rPr>
                <w:b/>
              </w:rPr>
            </w:pPr>
            <w:r>
              <w:rPr>
                <w:b/>
              </w:rPr>
              <w:t>59,542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661" w:type="dxa"/>
            <w:tcBorders/>
            <w:shd w:fill="CCEEFF" w:val="clear"/>
            <w:tcMar>
              <w:bottom w:w="0" w:type="dxa"/>
            </w:tcMar>
            <w:vAlign w:val="center"/>
          </w:tcPr>
          <w:p>
            <w:pPr>
              <w:pStyle w:val="TableContents"/>
              <w:bidi w:val="0"/>
              <w:spacing w:before="0" w:after="283"/>
              <w:jc w:val="right"/>
              <w:rPr/>
            </w:pPr>
            <w:r>
              <w:rPr/>
              <w:t>84,038</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55" w:type="dxa"/>
            <w:tcBorders/>
            <w:tcMar>
              <w:bottom w:w="0" w:type="dxa"/>
            </w:tcMar>
            <w:vAlign w:val="center"/>
          </w:tcPr>
          <w:p>
            <w:pPr>
              <w:pStyle w:val="TableContents"/>
              <w:bidi w:val="0"/>
              <w:spacing w:before="0" w:after="283"/>
              <w:jc w:val="left"/>
              <w:rPr/>
            </w:pPr>
            <w:r>
              <w:rPr/>
              <w:t>Trade receivables</w:t>
            </w:r>
          </w:p>
        </w:tc>
        <w:tc>
          <w:tcPr>
            <w:tcW w:w="90"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right"/>
              <w:rPr/>
            </w:pPr>
            <w:r>
              <w:rPr/>
              <w:t>Level 3</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283"/>
              <w:jc w:val="right"/>
              <w:rPr>
                <w:b/>
              </w:rPr>
            </w:pPr>
            <w:r>
              <w:rPr>
                <w:b/>
              </w:rPr>
              <w:t>1,259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661" w:type="dxa"/>
            <w:tcBorders/>
            <w:tcMar>
              <w:bottom w:w="0" w:type="dxa"/>
            </w:tcMar>
            <w:vAlign w:val="center"/>
          </w:tcPr>
          <w:p>
            <w:pPr>
              <w:pStyle w:val="TableContents"/>
              <w:bidi w:val="0"/>
              <w:spacing w:before="0" w:after="283"/>
              <w:jc w:val="right"/>
              <w:rPr/>
            </w:pPr>
            <w:r>
              <w:rPr/>
              <w:t>714</w:t>
            </w:r>
          </w:p>
        </w:tc>
        <w:tc>
          <w:tcPr>
            <w:tcW w:w="137" w:type="dxa"/>
            <w:tcBorders/>
            <w:tcMar>
              <w:bottom w:w="0" w:type="dxa"/>
            </w:tcMar>
            <w:vAlign w:val="center"/>
          </w:tcPr>
          <w:p>
            <w:pPr>
              <w:pStyle w:val="TableContents"/>
              <w:bidi w:val="0"/>
              <w:spacing w:before="0" w:after="283"/>
              <w:jc w:val="left"/>
              <w:rPr/>
            </w:pPr>
            <w:r>
              <w:rPr/>
              <w:t> </w:t>
            </w:r>
          </w:p>
        </w:tc>
      </w:tr>
      <w:tr>
        <w:trPr/>
        <w:tc>
          <w:tcPr>
            <w:tcW w:w="5155" w:type="dxa"/>
            <w:tcBorders/>
            <w:shd w:fill="CCEEFF" w:val="clear"/>
            <w:tcMar>
              <w:bottom w:w="0" w:type="dxa"/>
            </w:tcMar>
            <w:vAlign w:val="center"/>
          </w:tcPr>
          <w:p>
            <w:pPr>
              <w:pStyle w:val="TableContents"/>
              <w:bidi w:val="0"/>
              <w:spacing w:before="0" w:after="283"/>
              <w:jc w:val="left"/>
              <w:rPr/>
            </w:pPr>
            <w:r>
              <w:rPr/>
              <w:t>Other receivables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right"/>
              <w:rPr/>
            </w:pPr>
            <w:r>
              <w:rPr/>
              <w:t>Level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right"/>
              <w:rPr>
                <w:b/>
              </w:rPr>
            </w:pPr>
            <w:r>
              <w:rPr>
                <w:b/>
              </w:rPr>
              <w:t>1,387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661" w:type="dxa"/>
            <w:tcBorders/>
            <w:shd w:fill="CCEEFF" w:val="clear"/>
            <w:tcMar>
              <w:bottom w:w="0" w:type="dxa"/>
            </w:tcMar>
            <w:vAlign w:val="center"/>
          </w:tcPr>
          <w:p>
            <w:pPr>
              <w:pStyle w:val="TableContents"/>
              <w:bidi w:val="0"/>
              <w:spacing w:before="0" w:after="283"/>
              <w:jc w:val="right"/>
              <w:rPr/>
            </w:pPr>
            <w:r>
              <w:rPr/>
              <w:t>689</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55" w:type="dxa"/>
            <w:tcBorders/>
            <w:tcMar>
              <w:bottom w:w="0" w:type="dxa"/>
            </w:tcMar>
            <w:vAlign w:val="center"/>
          </w:tcPr>
          <w:p>
            <w:pPr>
              <w:pStyle w:val="TableContents"/>
              <w:bidi w:val="0"/>
              <w:spacing w:before="0" w:after="283"/>
              <w:jc w:val="left"/>
              <w:rPr/>
            </w:pPr>
            <w:r>
              <w:rPr/>
              <w:t>Security deposits for energy</w:t>
            </w:r>
          </w:p>
        </w:tc>
        <w:tc>
          <w:tcPr>
            <w:tcW w:w="90"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right"/>
              <w:rPr/>
            </w:pPr>
            <w:r>
              <w:rPr/>
              <w:t>Level 2</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283"/>
              <w:jc w:val="right"/>
              <w:rPr>
                <w:b/>
              </w:rPr>
            </w:pPr>
            <w:r>
              <w:rPr>
                <w:b/>
              </w:rPr>
              <w:t>7,740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661" w:type="dxa"/>
            <w:tcBorders/>
            <w:tcMar>
              <w:bottom w:w="0" w:type="dxa"/>
            </w:tcMar>
            <w:vAlign w:val="center"/>
          </w:tcPr>
          <w:p>
            <w:pPr>
              <w:pStyle w:val="TableContents"/>
              <w:bidi w:val="0"/>
              <w:spacing w:before="0" w:after="283"/>
              <w:jc w:val="right"/>
              <w:rPr/>
            </w:pPr>
            <w:r>
              <w:rPr/>
              <w:t>277</w:t>
            </w:r>
          </w:p>
        </w:tc>
        <w:tc>
          <w:tcPr>
            <w:tcW w:w="137" w:type="dxa"/>
            <w:tcBorders/>
            <w:tcMar>
              <w:bottom w:w="0" w:type="dxa"/>
            </w:tcMar>
            <w:vAlign w:val="center"/>
          </w:tcPr>
          <w:p>
            <w:pPr>
              <w:pStyle w:val="TableContents"/>
              <w:bidi w:val="0"/>
              <w:spacing w:before="0" w:after="283"/>
              <w:jc w:val="left"/>
              <w:rPr/>
            </w:pPr>
            <w:r>
              <w:rPr/>
              <w:t> </w:t>
            </w:r>
          </w:p>
        </w:tc>
      </w:tr>
      <w:tr>
        <w:trPr/>
        <w:tc>
          <w:tcPr>
            <w:tcW w:w="5155" w:type="dxa"/>
            <w:tcBorders/>
            <w:shd w:fill="CCEEFF" w:val="clear"/>
            <w:tcMar>
              <w:bottom w:w="0" w:type="dxa"/>
            </w:tcMar>
            <w:vAlign w:val="center"/>
          </w:tcPr>
          <w:p>
            <w:pPr>
              <w:pStyle w:val="TableContents"/>
              <w:bidi w:val="0"/>
              <w:spacing w:before="0" w:after="283"/>
              <w:jc w:val="left"/>
              <w:rPr/>
            </w:pPr>
            <w:r>
              <w:rPr/>
              <w:t>Refundable Hosting 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right"/>
              <w:rPr/>
            </w:pPr>
            <w:r>
              <w:rPr/>
              <w:t>Level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right"/>
              <w:rPr>
                <w:b/>
              </w:rPr>
            </w:pPr>
            <w:r>
              <w:rPr>
                <w:b/>
              </w:rPr>
              <w:t>14,216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661" w:type="dxa"/>
            <w:tcBorders/>
            <w:shd w:fill="CCEEFF" w:val="clear"/>
            <w:tcMar>
              <w:bottom w:w="0" w:type="dxa"/>
            </w:tcMar>
            <w:vAlign w:val="center"/>
          </w:tcPr>
          <w:p>
            <w:pPr>
              <w:pStyle w:val="TableContents"/>
              <w:bidi w:val="0"/>
              <w:spacing w:before="0" w:after="0"/>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661"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5155" w:type="dxa"/>
            <w:tcBorders/>
            <w:shd w:fill="CCEEFF" w:val="clear"/>
            <w:tcMar>
              <w:bottom w:w="0" w:type="dxa"/>
            </w:tcMar>
            <w:vAlign w:val="center"/>
          </w:tcPr>
          <w:p>
            <w:pPr>
              <w:pStyle w:val="TableContents"/>
              <w:bidi w:val="0"/>
              <w:spacing w:before="0" w:after="283"/>
              <w:jc w:val="left"/>
              <w:rPr>
                <w:b/>
              </w:rPr>
            </w:pPr>
            <w:r>
              <w:rPr>
                <w:b/>
              </w:rPr>
              <w:t>Financial assets at fair value through profit and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661"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55" w:type="dxa"/>
            <w:tcBorders>
              <w:bottom w:val="single" w:sz="8" w:space="0" w:color="000000"/>
            </w:tcBorders>
            <w:vAlign w:val="center"/>
          </w:tcPr>
          <w:p>
            <w:pPr>
              <w:pStyle w:val="TableContents"/>
              <w:bidi w:val="0"/>
              <w:spacing w:before="0" w:after="283"/>
              <w:jc w:val="left"/>
              <w:rPr/>
            </w:pPr>
            <w:r>
              <w:rPr/>
              <w:t>Derivative assets</w:t>
            </w:r>
          </w:p>
        </w:tc>
        <w:tc>
          <w:tcPr>
            <w:tcW w:w="90" w:type="dxa"/>
            <w:tcBorders>
              <w:bottom w:val="single" w:sz="8" w:space="0" w:color="000000"/>
            </w:tcBorders>
            <w:vAlign w:val="center"/>
          </w:tcPr>
          <w:p>
            <w:pPr>
              <w:pStyle w:val="TableContents"/>
              <w:bidi w:val="0"/>
              <w:spacing w:before="0" w:after="283"/>
              <w:jc w:val="left"/>
              <w:rPr/>
            </w:pPr>
            <w:r>
              <w:rPr/>
              <w:t> </w:t>
            </w:r>
          </w:p>
        </w:tc>
        <w:tc>
          <w:tcPr>
            <w:tcW w:w="751" w:type="dxa"/>
            <w:tcBorders>
              <w:bottom w:val="single" w:sz="8" w:space="0" w:color="000000"/>
            </w:tcBorders>
            <w:vAlign w:val="center"/>
          </w:tcPr>
          <w:p>
            <w:pPr>
              <w:pStyle w:val="TableContents"/>
              <w:bidi w:val="0"/>
              <w:spacing w:before="0" w:after="283"/>
              <w:jc w:val="right"/>
              <w:rPr/>
            </w:pPr>
            <w:r>
              <w:rPr/>
              <w:t>Level 2</w:t>
            </w:r>
          </w:p>
        </w:tc>
        <w:tc>
          <w:tcPr>
            <w:tcW w:w="90" w:type="dxa"/>
            <w:tcBorders>
              <w:bottom w:val="single" w:sz="8" w:space="0" w:color="000000"/>
            </w:tcBorders>
            <w:vAlign w:val="center"/>
          </w:tcPr>
          <w:p>
            <w:pPr>
              <w:pStyle w:val="TableContents"/>
              <w:bidi w:val="0"/>
              <w:spacing w:before="0" w:after="283"/>
              <w:jc w:val="left"/>
              <w:rPr/>
            </w:pPr>
            <w:r>
              <w:rPr/>
              <w:t> </w:t>
            </w:r>
          </w:p>
        </w:tc>
        <w:tc>
          <w:tcPr>
            <w:tcW w:w="217" w:type="dxa"/>
            <w:tcBorders>
              <w:bottom w:val="single" w:sz="8" w:space="0" w:color="000000"/>
            </w:tcBorders>
            <w:vAlign w:val="center"/>
          </w:tcPr>
          <w:p>
            <w:pPr>
              <w:pStyle w:val="TableContents"/>
              <w:bidi w:val="0"/>
              <w:spacing w:before="0" w:after="283"/>
              <w:jc w:val="left"/>
              <w:rPr/>
            </w:pPr>
            <w:r>
              <w:rPr/>
              <w:t> </w:t>
            </w:r>
          </w:p>
        </w:tc>
        <w:tc>
          <w:tcPr>
            <w:tcW w:w="1714" w:type="dxa"/>
            <w:tcBorders>
              <w:bottom w:val="single" w:sz="8" w:space="0" w:color="000000"/>
            </w:tcBorders>
            <w:vAlign w:val="center"/>
          </w:tcPr>
          <w:p>
            <w:pPr>
              <w:pStyle w:val="TableContents"/>
              <w:bidi w:val="0"/>
              <w:spacing w:before="0" w:after="283"/>
              <w:jc w:val="right"/>
              <w:rPr>
                <w:b/>
              </w:rPr>
            </w:pPr>
            <w:r>
              <w:rPr>
                <w:b/>
              </w:rPr>
              <w:t>3,418</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10" w:type="dxa"/>
            <w:tcBorders>
              <w:bottom w:val="single" w:sz="8" w:space="0" w:color="000000"/>
            </w:tcBorders>
            <w:vAlign w:val="center"/>
          </w:tcPr>
          <w:p>
            <w:pPr>
              <w:pStyle w:val="TableContents"/>
              <w:bidi w:val="0"/>
              <w:spacing w:before="0" w:after="283"/>
              <w:jc w:val="left"/>
              <w:rPr/>
            </w:pPr>
            <w:r>
              <w:rPr/>
              <w:t> </w:t>
            </w:r>
          </w:p>
        </w:tc>
        <w:tc>
          <w:tcPr>
            <w:tcW w:w="1661" w:type="dxa"/>
            <w:tcBorders>
              <w:bottom w:val="single" w:sz="8" w:space="0" w:color="000000"/>
            </w:tcBorders>
            <w:vAlign w:val="center"/>
          </w:tcPr>
          <w:p>
            <w:pPr>
              <w:pStyle w:val="TableContents"/>
              <w:bidi w:val="0"/>
              <w:spacing w:before="0" w:after="283"/>
              <w:jc w:val="right"/>
              <w:rPr/>
            </w:pPr>
            <w:r>
              <w:rPr/>
              <w:t>1,281</w:t>
            </w:r>
          </w:p>
        </w:tc>
        <w:tc>
          <w:tcPr>
            <w:tcW w:w="137" w:type="dxa"/>
            <w:tcBorders>
              <w:bottom w:val="single" w:sz="8" w:space="0" w:color="000000"/>
            </w:tcBorders>
            <w:vAlign w:val="center"/>
          </w:tcPr>
          <w:p>
            <w:pPr>
              <w:pStyle w:val="TableContents"/>
              <w:bidi w:val="0"/>
              <w:spacing w:before="0" w:after="283"/>
              <w:jc w:val="left"/>
              <w:rPr/>
            </w:pPr>
            <w:r>
              <w:rPr/>
              <w:t> </w:t>
            </w:r>
          </w:p>
        </w:tc>
      </w:tr>
      <w:tr>
        <w:trPr/>
        <w:tc>
          <w:tcPr>
            <w:tcW w:w="5155" w:type="dxa"/>
            <w:tcBorders>
              <w:bottom w:val="single" w:sz="8" w:space="0" w:color="000000"/>
            </w:tcBorders>
            <w:shd w:fill="CCEEFF" w:val="clear"/>
            <w:vAlign w:val="center"/>
          </w:tcPr>
          <w:p>
            <w:pPr>
              <w:pStyle w:val="TableContents"/>
              <w:bidi w:val="0"/>
              <w:spacing w:before="0" w:after="283"/>
              <w:jc w:val="left"/>
              <w:rPr>
                <w:b/>
              </w:rPr>
            </w:pPr>
            <w:r>
              <w:rPr>
                <w:b/>
              </w:rPr>
              <w:t>Total carrying amount and fair value</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51"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vAlign w:val="center"/>
          </w:tcPr>
          <w:p>
            <w:pPr>
              <w:pStyle w:val="TableContents"/>
              <w:bidi w:val="0"/>
              <w:spacing w:before="0" w:after="283"/>
              <w:jc w:val="left"/>
              <w:rPr/>
            </w:pPr>
            <w:r>
              <w:rPr/>
              <w:t> </w:t>
            </w:r>
          </w:p>
        </w:tc>
        <w:tc>
          <w:tcPr>
            <w:tcW w:w="1714" w:type="dxa"/>
            <w:tcBorders>
              <w:bottom w:val="single" w:sz="8" w:space="0" w:color="000000"/>
            </w:tcBorders>
            <w:shd w:fill="CCEEFF" w:val="clear"/>
            <w:vAlign w:val="center"/>
          </w:tcPr>
          <w:p>
            <w:pPr>
              <w:pStyle w:val="TableContents"/>
              <w:bidi w:val="0"/>
              <w:spacing w:before="0" w:after="283"/>
              <w:jc w:val="right"/>
              <w:rPr>
                <w:b/>
              </w:rPr>
            </w:pPr>
            <w:r>
              <w:rPr>
                <w:b/>
              </w:rPr>
              <w:t>87,562</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vAlign w:val="center"/>
          </w:tcPr>
          <w:p>
            <w:pPr>
              <w:pStyle w:val="TableContents"/>
              <w:bidi w:val="0"/>
              <w:spacing w:before="0" w:after="283"/>
              <w:jc w:val="left"/>
              <w:rPr/>
            </w:pPr>
            <w:r>
              <w:rPr/>
              <w:t> </w:t>
            </w:r>
          </w:p>
        </w:tc>
        <w:tc>
          <w:tcPr>
            <w:tcW w:w="1661" w:type="dxa"/>
            <w:tcBorders>
              <w:bottom w:val="single" w:sz="8" w:space="0" w:color="000000"/>
            </w:tcBorders>
            <w:shd w:fill="CCEEFF" w:val="clear"/>
            <w:vAlign w:val="center"/>
          </w:tcPr>
          <w:p>
            <w:pPr>
              <w:pStyle w:val="TableContents"/>
              <w:bidi w:val="0"/>
              <w:spacing w:before="0" w:after="283"/>
              <w:jc w:val="right"/>
              <w:rPr/>
            </w:pPr>
            <w:r>
              <w:rPr/>
              <w:t>86,999</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661"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5155" w:type="dxa"/>
            <w:tcBorders/>
            <w:shd w:fill="CCEEFF" w:val="clear"/>
            <w:tcMar>
              <w:bottom w:w="0" w:type="dxa"/>
            </w:tcMar>
            <w:vAlign w:val="center"/>
          </w:tcPr>
          <w:p>
            <w:pPr>
              <w:pStyle w:val="TableContents"/>
              <w:bidi w:val="0"/>
              <w:spacing w:before="0" w:after="283"/>
              <w:jc w:val="left"/>
              <w:rPr>
                <w:b/>
              </w:rPr>
            </w:pPr>
            <w:r>
              <w:rPr>
                <w:b/>
              </w:rPr>
              <w:t>Financial liabilities at amortized cost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661"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55" w:type="dxa"/>
            <w:tcBorders/>
            <w:tcMar>
              <w:bottom w:w="0" w:type="dxa"/>
            </w:tcMar>
            <w:vAlign w:val="center"/>
          </w:tcPr>
          <w:p>
            <w:pPr>
              <w:pStyle w:val="TableContents"/>
              <w:bidi w:val="0"/>
              <w:spacing w:before="0" w:after="283"/>
              <w:jc w:val="left"/>
              <w:rPr/>
            </w:pPr>
            <w:r>
              <w:rPr/>
              <w:t>Trade accounts payable and accrued liabilities</w:t>
            </w:r>
          </w:p>
        </w:tc>
        <w:tc>
          <w:tcPr>
            <w:tcW w:w="90"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right"/>
              <w:rPr/>
            </w:pPr>
            <w:r>
              <w:rPr/>
              <w:t>Level 3</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283"/>
              <w:jc w:val="right"/>
              <w:rPr>
                <w:b/>
              </w:rPr>
            </w:pPr>
            <w:r>
              <w:rPr>
                <w:b/>
              </w:rPr>
              <w:t>22,158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661" w:type="dxa"/>
            <w:tcBorders/>
            <w:tcMar>
              <w:bottom w:w="0" w:type="dxa"/>
            </w:tcMar>
            <w:vAlign w:val="center"/>
          </w:tcPr>
          <w:p>
            <w:pPr>
              <w:pStyle w:val="TableContents"/>
              <w:bidi w:val="0"/>
              <w:spacing w:before="0" w:after="283"/>
              <w:jc w:val="right"/>
              <w:rPr/>
            </w:pPr>
            <w:r>
              <w:rPr/>
              <w:t>9,077</w:t>
            </w:r>
          </w:p>
        </w:tc>
        <w:tc>
          <w:tcPr>
            <w:tcW w:w="137" w:type="dxa"/>
            <w:tcBorders/>
            <w:tcMar>
              <w:bottom w:w="0" w:type="dxa"/>
            </w:tcMar>
            <w:vAlign w:val="center"/>
          </w:tcPr>
          <w:p>
            <w:pPr>
              <w:pStyle w:val="TableContents"/>
              <w:bidi w:val="0"/>
              <w:spacing w:before="0" w:after="283"/>
              <w:jc w:val="left"/>
              <w:rPr/>
            </w:pPr>
            <w:r>
              <w:rPr/>
              <w:t> </w:t>
            </w:r>
          </w:p>
        </w:tc>
      </w:tr>
      <w:tr>
        <w:trPr/>
        <w:tc>
          <w:tcPr>
            <w:tcW w:w="5155" w:type="dxa"/>
            <w:tcBorders/>
            <w:shd w:fill="CCEEFF" w:val="clear"/>
            <w:tcMar>
              <w:bottom w:w="0" w:type="dxa"/>
            </w:tcMar>
            <w:vAlign w:val="center"/>
          </w:tcPr>
          <w:p>
            <w:pPr>
              <w:pStyle w:val="TableContents"/>
              <w:bidi w:val="0"/>
              <w:spacing w:before="0" w:after="283"/>
              <w:jc w:val="left"/>
              <w:rPr/>
            </w:pPr>
            <w:r>
              <w:rPr/>
              <w:t>Long-term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right"/>
              <w:rPr/>
            </w:pPr>
            <w:r>
              <w:rPr/>
              <w:t>Level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right"/>
              <w:rPr>
                <w:b/>
              </w:rPr>
            </w:pPr>
            <w:r>
              <w:rPr>
                <w:b/>
              </w:rPr>
              <w:t>1,576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661" w:type="dxa"/>
            <w:tcBorders/>
            <w:shd w:fill="CCEEFF" w:val="clear"/>
            <w:tcMar>
              <w:bottom w:w="0" w:type="dxa"/>
            </w:tcMar>
            <w:vAlign w:val="center"/>
          </w:tcPr>
          <w:p>
            <w:pPr>
              <w:pStyle w:val="TableContents"/>
              <w:bidi w:val="0"/>
              <w:spacing w:before="0" w:after="283"/>
              <w:jc w:val="right"/>
              <w:rPr/>
            </w:pPr>
            <w:r>
              <w:rPr/>
              <w:t>4,022</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661"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5155" w:type="dxa"/>
            <w:tcBorders/>
            <w:shd w:fill="CCEEFF" w:val="clear"/>
            <w:tcMar>
              <w:bottom w:w="0" w:type="dxa"/>
            </w:tcMar>
            <w:vAlign w:val="center"/>
          </w:tcPr>
          <w:p>
            <w:pPr>
              <w:pStyle w:val="TableContents"/>
              <w:bidi w:val="0"/>
              <w:spacing w:before="0" w:after="283"/>
              <w:jc w:val="left"/>
              <w:rPr>
                <w:b/>
              </w:rPr>
            </w:pPr>
            <w:r>
              <w:rPr>
                <w:b/>
              </w:rPr>
              <w:t>Financial liabilities at fair value through profit and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1661"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155" w:type="dxa"/>
            <w:tcBorders/>
            <w:tcMar>
              <w:bottom w:w="0" w:type="dxa"/>
            </w:tcMar>
            <w:vAlign w:val="center"/>
          </w:tcPr>
          <w:p>
            <w:pPr>
              <w:pStyle w:val="TableContents"/>
              <w:bidi w:val="0"/>
              <w:spacing w:before="0" w:after="283"/>
              <w:jc w:val="left"/>
              <w:rPr/>
            </w:pPr>
            <w:r>
              <w:rPr/>
              <w:t>Derivative liabilities</w:t>
            </w:r>
          </w:p>
        </w:tc>
        <w:tc>
          <w:tcPr>
            <w:tcW w:w="90" w:type="dxa"/>
            <w:tcBorders/>
            <w:tcMar>
              <w:bottom w:w="0" w:type="dxa"/>
            </w:tcMar>
            <w:vAlign w:val="center"/>
          </w:tcPr>
          <w:p>
            <w:pPr>
              <w:pStyle w:val="TableContents"/>
              <w:bidi w:val="0"/>
              <w:spacing w:before="0" w:after="283"/>
              <w:jc w:val="left"/>
              <w:rPr/>
            </w:pPr>
            <w:r>
              <w:rPr/>
              <w:t> </w:t>
            </w:r>
          </w:p>
        </w:tc>
        <w:tc>
          <w:tcPr>
            <w:tcW w:w="751" w:type="dxa"/>
            <w:tcBorders/>
            <w:tcMar>
              <w:bottom w:w="0" w:type="dxa"/>
            </w:tcMar>
            <w:vAlign w:val="center"/>
          </w:tcPr>
          <w:p>
            <w:pPr>
              <w:pStyle w:val="TableContents"/>
              <w:bidi w:val="0"/>
              <w:spacing w:before="0" w:after="283"/>
              <w:jc w:val="right"/>
              <w:rPr/>
            </w:pPr>
            <w:r>
              <w:rPr/>
              <w:t>Level 2</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1714" w:type="dxa"/>
            <w:tcBorders/>
            <w:tcMar>
              <w:bottom w:w="0" w:type="dxa"/>
            </w:tcMar>
            <w:vAlign w:val="center"/>
          </w:tcPr>
          <w:p>
            <w:pPr>
              <w:pStyle w:val="TableContents"/>
              <w:bidi w:val="0"/>
              <w:spacing w:before="0" w:after="283"/>
              <w:jc w:val="right"/>
              <w:rPr>
                <w:b/>
              </w:rPr>
            </w:pPr>
            <w:r>
              <w:rPr>
                <w:b/>
              </w:rPr>
              <w:t>128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0" w:type="dxa"/>
            <w:tcBorders/>
            <w:tcMar>
              <w:bottom w:w="0" w:type="dxa"/>
            </w:tcMar>
            <w:vAlign w:val="center"/>
          </w:tcPr>
          <w:p>
            <w:pPr>
              <w:pStyle w:val="TableContents"/>
              <w:bidi w:val="0"/>
              <w:spacing w:before="0" w:after="283"/>
              <w:jc w:val="left"/>
              <w:rPr/>
            </w:pPr>
            <w:r>
              <w:rPr/>
              <w:t> </w:t>
            </w:r>
          </w:p>
        </w:tc>
        <w:tc>
          <w:tcPr>
            <w:tcW w:w="1661" w:type="dxa"/>
            <w:tcBorders/>
            <w:tcMar>
              <w:bottom w:w="0" w:type="dxa"/>
            </w:tcMar>
            <w:vAlign w:val="center"/>
          </w:tcPr>
          <w:p>
            <w:pPr>
              <w:pStyle w:val="TableContents"/>
              <w:bidi w:val="0"/>
              <w:spacing w:before="0" w:after="0"/>
              <w:jc w:val="right"/>
              <w:rPr/>
            </w:pPr>
            <w:r>
              <w:rPr/>
              <w:t>—</w:t>
            </w:r>
          </w:p>
        </w:tc>
        <w:tc>
          <w:tcPr>
            <w:tcW w:w="137" w:type="dxa"/>
            <w:tcBorders/>
            <w:tcMar>
              <w:bottom w:w="0" w:type="dxa"/>
            </w:tcMar>
            <w:vAlign w:val="center"/>
          </w:tcPr>
          <w:p>
            <w:pPr>
              <w:pStyle w:val="TableContents"/>
              <w:bidi w:val="0"/>
              <w:spacing w:before="0" w:after="283"/>
              <w:jc w:val="left"/>
              <w:rPr/>
            </w:pPr>
            <w:r>
              <w:rPr/>
              <w:t> </w:t>
            </w:r>
          </w:p>
        </w:tc>
      </w:tr>
      <w:tr>
        <w:trPr/>
        <w:tc>
          <w:tcPr>
            <w:tcW w:w="5155" w:type="dxa"/>
            <w:tcBorders>
              <w:bottom w:val="single" w:sz="8" w:space="0" w:color="000000"/>
            </w:tcBorders>
            <w:shd w:fill="CCEEFF" w:val="clear"/>
            <w:vAlign w:val="center"/>
          </w:tcPr>
          <w:p>
            <w:pPr>
              <w:pStyle w:val="TableContents"/>
              <w:bidi w:val="0"/>
              <w:spacing w:before="0" w:after="283"/>
              <w:jc w:val="left"/>
              <w:rPr/>
            </w:pPr>
            <w:r>
              <w:rPr/>
              <w:t>Warrant liabilities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51" w:type="dxa"/>
            <w:tcBorders>
              <w:bottom w:val="single" w:sz="8" w:space="0" w:color="000000"/>
            </w:tcBorders>
            <w:shd w:fill="CCEEFF" w:val="clear"/>
            <w:vAlign w:val="center"/>
          </w:tcPr>
          <w:p>
            <w:pPr>
              <w:pStyle w:val="TableContents"/>
              <w:bidi w:val="0"/>
              <w:spacing w:before="0" w:after="283"/>
              <w:jc w:val="right"/>
              <w:rPr/>
            </w:pPr>
            <w:r>
              <w:rPr/>
              <w:t>Level 2</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vAlign w:val="center"/>
          </w:tcPr>
          <w:p>
            <w:pPr>
              <w:pStyle w:val="TableContents"/>
              <w:bidi w:val="0"/>
              <w:spacing w:before="0" w:after="283"/>
              <w:jc w:val="left"/>
              <w:rPr/>
            </w:pPr>
            <w:r>
              <w:rPr/>
              <w:t> </w:t>
            </w:r>
          </w:p>
        </w:tc>
        <w:tc>
          <w:tcPr>
            <w:tcW w:w="1714" w:type="dxa"/>
            <w:tcBorders>
              <w:bottom w:val="single" w:sz="8" w:space="0" w:color="000000"/>
            </w:tcBorders>
            <w:shd w:fill="CCEEFF" w:val="clear"/>
            <w:vAlign w:val="center"/>
          </w:tcPr>
          <w:p>
            <w:pPr>
              <w:pStyle w:val="TableContents"/>
              <w:bidi w:val="0"/>
              <w:spacing w:before="0" w:after="283"/>
              <w:jc w:val="right"/>
              <w:rPr>
                <w:b/>
              </w:rPr>
            </w:pPr>
            <w:r>
              <w:rPr>
                <w:b/>
              </w:rPr>
              <w:t>8,013</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vAlign w:val="center"/>
          </w:tcPr>
          <w:p>
            <w:pPr>
              <w:pStyle w:val="TableContents"/>
              <w:bidi w:val="0"/>
              <w:spacing w:before="0" w:after="283"/>
              <w:jc w:val="left"/>
              <w:rPr/>
            </w:pPr>
            <w:r>
              <w:rPr/>
              <w:t> </w:t>
            </w:r>
          </w:p>
        </w:tc>
        <w:tc>
          <w:tcPr>
            <w:tcW w:w="1661" w:type="dxa"/>
            <w:tcBorders>
              <w:bottom w:val="single" w:sz="8" w:space="0" w:color="000000"/>
            </w:tcBorders>
            <w:shd w:fill="CCEEFF" w:val="clear"/>
            <w:vAlign w:val="center"/>
          </w:tcPr>
          <w:p>
            <w:pPr>
              <w:pStyle w:val="TableContents"/>
              <w:bidi w:val="0"/>
              <w:spacing w:before="0" w:after="283"/>
              <w:jc w:val="right"/>
              <w:rPr/>
            </w:pPr>
            <w:r>
              <w:rPr/>
              <w:t>40,426</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55" w:type="dxa"/>
            <w:tcBorders>
              <w:bottom w:val="single" w:sz="8" w:space="0" w:color="000000"/>
            </w:tcBorders>
            <w:vAlign w:val="center"/>
          </w:tcPr>
          <w:p>
            <w:pPr>
              <w:pStyle w:val="TableContents"/>
              <w:bidi w:val="0"/>
              <w:spacing w:before="0" w:after="283"/>
              <w:jc w:val="left"/>
              <w:rPr>
                <w:b/>
              </w:rPr>
            </w:pPr>
            <w:r>
              <w:rPr>
                <w:b/>
              </w:rPr>
              <w:t>Total carrying amount and fair value</w:t>
            </w:r>
          </w:p>
        </w:tc>
        <w:tc>
          <w:tcPr>
            <w:tcW w:w="90" w:type="dxa"/>
            <w:tcBorders>
              <w:bottom w:val="single" w:sz="8" w:space="0" w:color="000000"/>
            </w:tcBorders>
            <w:vAlign w:val="center"/>
          </w:tcPr>
          <w:p>
            <w:pPr>
              <w:pStyle w:val="TableContents"/>
              <w:bidi w:val="0"/>
              <w:spacing w:before="0" w:after="283"/>
              <w:jc w:val="left"/>
              <w:rPr/>
            </w:pPr>
            <w:r>
              <w:rPr/>
              <w:t> </w:t>
            </w:r>
          </w:p>
        </w:tc>
        <w:tc>
          <w:tcPr>
            <w:tcW w:w="751"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17" w:type="dxa"/>
            <w:tcBorders>
              <w:bottom w:val="single" w:sz="8" w:space="0" w:color="000000"/>
            </w:tcBorders>
            <w:vAlign w:val="center"/>
          </w:tcPr>
          <w:p>
            <w:pPr>
              <w:pStyle w:val="TableContents"/>
              <w:bidi w:val="0"/>
              <w:spacing w:before="0" w:after="283"/>
              <w:jc w:val="left"/>
              <w:rPr/>
            </w:pPr>
            <w:r>
              <w:rPr/>
              <w:t> </w:t>
            </w:r>
          </w:p>
        </w:tc>
        <w:tc>
          <w:tcPr>
            <w:tcW w:w="1714" w:type="dxa"/>
            <w:tcBorders>
              <w:bottom w:val="single" w:sz="8" w:space="0" w:color="000000"/>
            </w:tcBorders>
            <w:vAlign w:val="center"/>
          </w:tcPr>
          <w:p>
            <w:pPr>
              <w:pStyle w:val="TableContents"/>
              <w:bidi w:val="0"/>
              <w:spacing w:before="0" w:after="283"/>
              <w:jc w:val="right"/>
              <w:rPr>
                <w:b/>
              </w:rPr>
            </w:pPr>
            <w:r>
              <w:rPr>
                <w:b/>
              </w:rPr>
              <w:t>31,875</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10" w:type="dxa"/>
            <w:tcBorders>
              <w:bottom w:val="single" w:sz="8" w:space="0" w:color="000000"/>
            </w:tcBorders>
            <w:vAlign w:val="center"/>
          </w:tcPr>
          <w:p>
            <w:pPr>
              <w:pStyle w:val="TableContents"/>
              <w:bidi w:val="0"/>
              <w:spacing w:before="0" w:after="283"/>
              <w:jc w:val="left"/>
              <w:rPr/>
            </w:pPr>
            <w:r>
              <w:rPr/>
              <w:t> </w:t>
            </w:r>
          </w:p>
        </w:tc>
        <w:tc>
          <w:tcPr>
            <w:tcW w:w="1661" w:type="dxa"/>
            <w:tcBorders>
              <w:bottom w:val="single" w:sz="8" w:space="0" w:color="000000"/>
            </w:tcBorders>
            <w:vAlign w:val="center"/>
          </w:tcPr>
          <w:p>
            <w:pPr>
              <w:pStyle w:val="TableContents"/>
              <w:bidi w:val="0"/>
              <w:spacing w:before="0" w:after="283"/>
              <w:jc w:val="right"/>
              <w:rPr/>
            </w:pPr>
            <w:r>
              <w:rPr/>
              <w:t>53,525</w:t>
            </w:r>
          </w:p>
        </w:tc>
        <w:tc>
          <w:tcPr>
            <w:tcW w:w="137" w:type="dxa"/>
            <w:tcBorders>
              <w:bottom w:val="single" w:sz="8" w:space="0" w:color="000000"/>
            </w:tcBorders>
            <w:vAlign w:val="center"/>
          </w:tcPr>
          <w:p>
            <w:pPr>
              <w:pStyle w:val="TableContents"/>
              <w:bidi w:val="0"/>
              <w:spacing w:before="0" w:after="283"/>
              <w:jc w:val="left"/>
              <w:rPr/>
            </w:pPr>
            <w:r>
              <w:rPr/>
              <w:t> </w:t>
            </w:r>
          </w:p>
        </w:tc>
      </w:tr>
      <w:tr>
        <w:trPr/>
        <w:tc>
          <w:tcPr>
            <w:tcW w:w="515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51"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vAlign w:val="center"/>
          </w:tcPr>
          <w:p>
            <w:pPr>
              <w:pStyle w:val="TableContents"/>
              <w:bidi w:val="0"/>
              <w:spacing w:before="0" w:after="283"/>
              <w:jc w:val="left"/>
              <w:rPr/>
            </w:pPr>
            <w:r>
              <w:rPr/>
              <w:t> </w:t>
            </w:r>
          </w:p>
        </w:tc>
        <w:tc>
          <w:tcPr>
            <w:tcW w:w="1714" w:type="dxa"/>
            <w:tcBorders>
              <w:bottom w:val="single" w:sz="8" w:space="0" w:color="000000"/>
            </w:tcBorders>
            <w:shd w:fill="CCEEFF" w:val="clear"/>
            <w:vAlign w:val="center"/>
          </w:tcPr>
          <w:p>
            <w:pPr>
              <w:pStyle w:val="TableContents"/>
              <w:bidi w:val="0"/>
              <w:spacing w:before="0" w:after="283"/>
              <w:jc w:val="righ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vAlign w:val="center"/>
          </w:tcPr>
          <w:p>
            <w:pPr>
              <w:pStyle w:val="TableContents"/>
              <w:bidi w:val="0"/>
              <w:spacing w:before="0" w:after="283"/>
              <w:jc w:val="left"/>
              <w:rPr/>
            </w:pPr>
            <w:r>
              <w:rPr/>
              <w:t> </w:t>
            </w:r>
          </w:p>
        </w:tc>
        <w:tc>
          <w:tcPr>
            <w:tcW w:w="1661" w:type="dxa"/>
            <w:tcBorders>
              <w:bottom w:val="single" w:sz="8" w:space="0" w:color="000000"/>
            </w:tcBorders>
            <w:shd w:fill="CCEEFF" w:val="clear"/>
            <w:vAlign w:val="center"/>
          </w:tcPr>
          <w:p>
            <w:pPr>
              <w:pStyle w:val="TableContents"/>
              <w:bidi w:val="0"/>
              <w:spacing w:before="0" w:after="283"/>
              <w:jc w:val="right"/>
              <w:rPr/>
            </w:pPr>
            <w:r>
              <w:rPr/>
              <w:t> </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155" w:type="dxa"/>
            <w:tcBorders>
              <w:bottom w:val="single" w:sz="12" w:space="0" w:color="000000"/>
            </w:tcBorders>
            <w:vAlign w:val="center"/>
          </w:tcPr>
          <w:p>
            <w:pPr>
              <w:pStyle w:val="TableContents"/>
              <w:bidi w:val="0"/>
              <w:spacing w:before="0" w:after="283"/>
              <w:jc w:val="left"/>
              <w:rPr>
                <w:b/>
              </w:rPr>
            </w:pPr>
            <w:r>
              <w:rPr>
                <w:b/>
              </w:rPr>
              <w:t>Net carrying amount and fair value</w:t>
            </w:r>
          </w:p>
        </w:tc>
        <w:tc>
          <w:tcPr>
            <w:tcW w:w="90" w:type="dxa"/>
            <w:tcBorders>
              <w:bottom w:val="single" w:sz="12" w:space="0" w:color="000000"/>
            </w:tcBorders>
            <w:vAlign w:val="center"/>
          </w:tcPr>
          <w:p>
            <w:pPr>
              <w:pStyle w:val="TableContents"/>
              <w:bidi w:val="0"/>
              <w:spacing w:before="0" w:after="283"/>
              <w:jc w:val="left"/>
              <w:rPr/>
            </w:pPr>
            <w:r>
              <w:rPr/>
              <w:t> </w:t>
            </w:r>
          </w:p>
        </w:tc>
        <w:tc>
          <w:tcPr>
            <w:tcW w:w="751"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17" w:type="dxa"/>
            <w:tcBorders>
              <w:bottom w:val="single" w:sz="12" w:space="0" w:color="000000"/>
            </w:tcBorders>
            <w:vAlign w:val="center"/>
          </w:tcPr>
          <w:p>
            <w:pPr>
              <w:pStyle w:val="TableContents"/>
              <w:bidi w:val="0"/>
              <w:spacing w:before="0" w:after="283"/>
              <w:jc w:val="left"/>
              <w:rPr/>
            </w:pPr>
            <w:r>
              <w:rPr/>
              <w:t> </w:t>
            </w:r>
          </w:p>
        </w:tc>
        <w:tc>
          <w:tcPr>
            <w:tcW w:w="1714" w:type="dxa"/>
            <w:tcBorders>
              <w:bottom w:val="single" w:sz="12" w:space="0" w:color="000000"/>
            </w:tcBorders>
            <w:vAlign w:val="center"/>
          </w:tcPr>
          <w:p>
            <w:pPr>
              <w:pStyle w:val="TableContents"/>
              <w:bidi w:val="0"/>
              <w:spacing w:before="0" w:after="283"/>
              <w:jc w:val="right"/>
              <w:rPr>
                <w:b/>
              </w:rPr>
            </w:pPr>
            <w:r>
              <w:rPr>
                <w:b/>
              </w:rPr>
              <w:t>55,687</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10" w:type="dxa"/>
            <w:tcBorders>
              <w:bottom w:val="single" w:sz="12" w:space="0" w:color="000000"/>
            </w:tcBorders>
            <w:vAlign w:val="center"/>
          </w:tcPr>
          <w:p>
            <w:pPr>
              <w:pStyle w:val="TableContents"/>
              <w:bidi w:val="0"/>
              <w:spacing w:before="0" w:after="283"/>
              <w:jc w:val="left"/>
              <w:rPr/>
            </w:pPr>
            <w:r>
              <w:rPr/>
              <w:t> </w:t>
            </w:r>
          </w:p>
        </w:tc>
        <w:tc>
          <w:tcPr>
            <w:tcW w:w="1661" w:type="dxa"/>
            <w:tcBorders>
              <w:bottom w:val="single" w:sz="12" w:space="0" w:color="000000"/>
            </w:tcBorders>
            <w:vAlign w:val="center"/>
          </w:tcPr>
          <w:p>
            <w:pPr>
              <w:pStyle w:val="TableContents"/>
              <w:bidi w:val="0"/>
              <w:spacing w:before="0" w:after="283"/>
              <w:jc w:val="right"/>
              <w:rPr/>
            </w:pPr>
            <w:r>
              <w:rPr/>
              <w:t>33,474</w:t>
            </w:r>
          </w:p>
        </w:tc>
        <w:tc>
          <w:tcPr>
            <w:tcW w:w="137"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trade receivables, other receivables, security deposits for energy, Refundable Hosting Deposits, trade payables and accrued liabilities, and long-term debt presented in the table above are a reasonable approximation of their fair value.</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63 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68"/>
        <w:gridCol w:w="1115"/>
        <w:gridCol w:w="455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23:</w:t>
            </w:r>
          </w:p>
        </w:tc>
        <w:tc>
          <w:tcPr>
            <w:tcW w:w="4550" w:type="dxa"/>
            <w:tcBorders/>
            <w:vAlign w:val="center"/>
          </w:tcPr>
          <w:p>
            <w:pPr>
              <w:pStyle w:val="TableContents"/>
              <w:bidi w:val="0"/>
              <w:spacing w:before="0" w:after="283"/>
              <w:jc w:val="both"/>
              <w:rPr/>
            </w:pPr>
            <w:r>
              <w:rPr>
                <w:b/>
              </w:rPr>
              <w:t>FINANCIAL INSTRUMENTS</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425"/>
        <w:gridCol w:w="9655"/>
      </w:tblGrid>
      <w:tr>
        <w:trPr/>
        <w:tc>
          <w:tcPr>
            <w:tcW w:w="1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b/>
              </w:rPr>
            </w:pPr>
            <w:r>
              <w:rPr>
                <w:b/>
              </w:rPr>
              <w:t>a.</w:t>
            </w:r>
          </w:p>
        </w:tc>
        <w:tc>
          <w:tcPr>
            <w:tcW w:w="9655" w:type="dxa"/>
            <w:tcBorders/>
            <w:vAlign w:val="center"/>
          </w:tcPr>
          <w:p>
            <w:pPr>
              <w:pStyle w:val="TableContents"/>
              <w:bidi w:val="0"/>
              <w:spacing w:before="0" w:after="283"/>
              <w:jc w:val="both"/>
              <w:rPr/>
            </w:pPr>
            <w:r>
              <w:rPr>
                <w:b/>
              </w:rPr>
              <w:t xml:space="preserve">Measurement categories and fair value </w:t>
            </w:r>
            <w:r>
              <w:rPr/>
              <w:t>(Continued)</w:t>
            </w:r>
          </w:p>
        </w:tc>
      </w:tr>
    </w:tbl>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369"/>
        <w:gridCol w:w="9689"/>
      </w:tblGrid>
      <w:tr>
        <w:trPr/>
        <w:tc>
          <w:tcPr>
            <w:tcW w:w="14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i/>
              </w:rPr>
            </w:pPr>
            <w:r>
              <w:rPr>
                <w:i/>
              </w:rPr>
              <w:t>i.</w:t>
            </w:r>
          </w:p>
        </w:tc>
        <w:tc>
          <w:tcPr>
            <w:tcW w:w="9689"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BTC option and selling contracts (derivatives)</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 contracts is categorized as Level 2 in the fair value hierarchy and is presented under derivative assets and liabilities in the consolidated statements of financial position when there is an outstanding contract at period end. Their fair values are a recurring measurement. 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475"/>
        <w:gridCol w:w="9590"/>
      </w:tblGrid>
      <w:tr>
        <w:trPr/>
        <w:tc>
          <w:tcPr>
            <w:tcW w:w="1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i/>
              </w:rPr>
            </w:pPr>
            <w:r>
              <w:rPr>
                <w:i/>
              </w:rPr>
              <w:t>ii.</w:t>
            </w:r>
          </w:p>
        </w:tc>
        <w:tc>
          <w:tcPr>
            <w:tcW w:w="9590" w:type="dxa"/>
            <w:tcBorders/>
            <w:vAlign w:val="center"/>
          </w:tcPr>
          <w:p>
            <w:pPr>
              <w:pStyle w:val="TableContents"/>
              <w:bidi w:val="0"/>
              <w:spacing w:before="0" w:after="283"/>
              <w:jc w:val="both"/>
              <w:rPr>
                <w:i/>
              </w:rPr>
            </w:pPr>
            <w:r>
              <w:rPr>
                <w:i/>
              </w:rPr>
              <w:t>BTC Redemption Option (embedded derivative)</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Supplementary Agreements explained in Note 9 provide the Company with the option to redeem the BTC Pledged at a market rate price determined when the BTC was first pledged (“Agreed BTC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redeem the BTC Pledged meets the definition of an embedded derivative as the derivative that is embedded in the non-financial contract is not closely related to the host contract. The embedded derivative is recorded at fair value through profit or loss and is categorized as Level 2 in the fair value hierarchy and is presented under derivative assets and liabilities in the consolidated statements of financial position. Its fair value is a recurring measurement and is determined using a combination of the Monte Carlo simulation model to simulate the future price of BTC using probability factors and the Black-Scholes Model to estimate the value of each BTC Redemption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fair value is determined by multiplying the number of redeemable BTC pledged by the present value of the difference between the Agreed BTC Price and the simulated spot price of BTC while considering the likelihood of exercising the quarterly installments, with the change in fair value recorded to Net financial income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the Company exercised the first BTC Installment. Refer to Note 32 for more details.</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 related to the 2021 and 2023 private placements are classified as financial liabilities at fair value through profit or loss with the change in fair value recorded to Net financial income (expenses). The fair value measurement is categorized as Level 2 in the fair value hierarchy, is a recurring measurement and is calculated using a Black-Scholes pricing model at each reporting date. Refer to Note 17 for more details.</w:t>
      </w:r>
    </w:p>
    <w:p>
      <w:pPr>
        <w:pStyle w:val="TextBody"/>
        <w:bidi w:val="0"/>
        <w:spacing w:before="0" w:after="0"/>
        <w:ind w:left="11" w:right="0" w:hanging="11"/>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64 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 w:right="0" w:hanging="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11" w:right="0" w:hanging="11"/>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68"/>
        <w:gridCol w:w="1115"/>
        <w:gridCol w:w="455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23:</w:t>
            </w:r>
          </w:p>
        </w:tc>
        <w:tc>
          <w:tcPr>
            <w:tcW w:w="4550" w:type="dxa"/>
            <w:tcBorders/>
            <w:vAlign w:val="center"/>
          </w:tcPr>
          <w:p>
            <w:pPr>
              <w:pStyle w:val="TableContents"/>
              <w:bidi w:val="0"/>
              <w:spacing w:before="0" w:after="283"/>
              <w:jc w:val="both"/>
              <w:rPr/>
            </w:pPr>
            <w:r>
              <w:rPr>
                <w:b/>
              </w:rPr>
              <w:t xml:space="preserve">FINANCIAL INSTRUMENTS </w:t>
            </w:r>
            <w:r>
              <w:rPr>
                <w:b w:val="false"/>
                <w:i w:val="false"/>
                <w:caps w:val="false"/>
                <w:smallCaps w:val="false"/>
              </w:rPr>
              <w:t>(Continued)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425"/>
        <w:gridCol w:w="9655"/>
      </w:tblGrid>
      <w:tr>
        <w:trPr/>
        <w:tc>
          <w:tcPr>
            <w:tcW w:w="1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b/>
              </w:rPr>
            </w:pPr>
            <w:r>
              <w:rPr>
                <w:b/>
              </w:rPr>
              <w:t>a.</w:t>
            </w:r>
          </w:p>
        </w:tc>
        <w:tc>
          <w:tcPr>
            <w:tcW w:w="9655" w:type="dxa"/>
            <w:tcBorders/>
            <w:vAlign w:val="center"/>
          </w:tcPr>
          <w:p>
            <w:pPr>
              <w:pStyle w:val="TableContents"/>
              <w:bidi w:val="0"/>
              <w:spacing w:before="0" w:after="283"/>
              <w:jc w:val="both"/>
              <w:rPr/>
            </w:pPr>
            <w:r>
              <w:rPr>
                <w:b/>
              </w:rPr>
              <w:t xml:space="preserve">Measurement categories and fair value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Refundable deposits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3"/>
        <w:gridCol w:w="558"/>
        <w:gridCol w:w="9424"/>
      </w:tblGrid>
      <w:tr>
        <w:trPr/>
        <w:tc>
          <w:tcPr>
            <w:tcW w:w="22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i/>
              </w:rPr>
            </w:pPr>
            <w:r>
              <w:rPr>
                <w:i/>
              </w:rPr>
              <w:t>i.</w:t>
            </w:r>
          </w:p>
        </w:tc>
        <w:tc>
          <w:tcPr>
            <w:tcW w:w="9424" w:type="dxa"/>
            <w:tcBorders/>
            <w:vAlign w:val="center"/>
          </w:tcPr>
          <w:p>
            <w:pPr>
              <w:pStyle w:val="TableContents"/>
              <w:bidi w:val="0"/>
              <w:spacing w:before="0" w:after="283"/>
              <w:jc w:val="both"/>
              <w:rPr>
                <w:i/>
              </w:rPr>
            </w:pPr>
            <w:r>
              <w:rPr>
                <w:i/>
              </w:rPr>
              <w:t>Refundable Hosting Deposits</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Refundable Hosting Deposits are measured at amortized cost using the EIR method and are classified as Level 2 according to the Company’s fair value hierarchy. Their fair values are a recurring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technique used is the income approach (discounted future cash flows) with an initial EIR greater than the SOFR + 1% rate in the Hosting Agreements. This resulted in the Panther Creek Refundable Deposit and the Scrubgrass Refundable Deposit being issued at a fair value of $7,125 and $7,542, respectively, which are both lower than the $7,800 principal amount of each deposit. Upon initial recognition of the Refundable Deposits, the difference between the fair value and principal of $675 and $258, respectively, were recognized as a loss in Net financial income (expenses) during the year ended December 31, 2024. The EIR applicable as of December 31, 2024 was 12% and 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interest income amounted to $364 and was recognized in Net financial income (expenses) during the year ended December 31, 2024. In addition, using a general approach, the Company estimated a total ECL of $815 which was recognized in Net financial income (expenses). Refer to Note 15 for more details.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9"/>
        <w:gridCol w:w="778"/>
        <w:gridCol w:w="9198"/>
      </w:tblGrid>
      <w:tr>
        <w:trPr/>
        <w:tc>
          <w:tcPr>
            <w:tcW w:w="22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i/>
              </w:rPr>
            </w:pPr>
            <w:r>
              <w:rPr>
                <w:i/>
              </w:rPr>
              <w:t>ii.</w:t>
            </w:r>
          </w:p>
        </w:tc>
        <w:tc>
          <w:tcPr>
            <w:tcW w:w="9198" w:type="dxa"/>
            <w:tcBorders/>
            <w:vAlign w:val="center"/>
          </w:tcPr>
          <w:p>
            <w:pPr>
              <w:pStyle w:val="TableContents"/>
              <w:bidi w:val="0"/>
              <w:spacing w:before="0" w:after="283"/>
              <w:jc w:val="both"/>
              <w:rPr>
                <w:i/>
              </w:rPr>
            </w:pPr>
            <w:r>
              <w:rPr>
                <w:i/>
              </w:rPr>
              <w:t>Security deposits for energy</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security deposits for energy are measured at amortized cost using the EIR method. They are classified as Level 2 according to the Company’s fair value hierarchy. Their fair values are a recurring measurement. The valuation technique used is the income approach (discounted future cash flows) with an EIR of 6% over approximately 3 years. Upon initial recognition, the difference between the fair value and principal of $1,571 was recognized as a loss in Net financial income (expenses) during the year ended December 31, 2024.</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movement in the refundable deposits:</w:t>
      </w:r>
    </w:p>
    <w:p>
      <w:pPr>
        <w:pStyle w:val="TextBody"/>
        <w:bidi w:val="0"/>
        <w:spacing w:before="0" w:after="0"/>
        <w:ind w:left="23" w:right="0" w:hanging="6"/>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49"/>
        <w:gridCol w:w="90"/>
        <w:gridCol w:w="128"/>
        <w:gridCol w:w="855"/>
        <w:gridCol w:w="125"/>
        <w:gridCol w:w="90"/>
        <w:gridCol w:w="143"/>
        <w:gridCol w:w="942"/>
        <w:gridCol w:w="125"/>
        <w:gridCol w:w="90"/>
        <w:gridCol w:w="227"/>
        <w:gridCol w:w="1810"/>
        <w:gridCol w:w="125"/>
        <w:gridCol w:w="90"/>
        <w:gridCol w:w="186"/>
        <w:gridCol w:w="1379"/>
        <w:gridCol w:w="125"/>
        <w:gridCol w:w="90"/>
        <w:gridCol w:w="185"/>
        <w:gridCol w:w="1475"/>
        <w:gridCol w:w="176"/>
      </w:tblGrid>
      <w:tr>
        <w:trPr/>
        <w:tc>
          <w:tcPr>
            <w:tcW w:w="1749"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190" w:type="dxa"/>
            <w:gridSpan w:val="18"/>
            <w:tcBorders>
              <w:bottom w:val="single" w:sz="8" w:space="0" w:color="000000"/>
            </w:tcBorders>
            <w:vAlign w:val="center"/>
          </w:tcPr>
          <w:p>
            <w:pPr>
              <w:pStyle w:val="TableContents"/>
              <w:bidi w:val="0"/>
              <w:spacing w:before="0" w:after="283"/>
              <w:jc w:val="right"/>
              <w:rPr>
                <w:b/>
              </w:rPr>
            </w:pPr>
            <w:r>
              <w:rPr>
                <w:b/>
              </w:rPr>
              <w:t>As of December 31,</w:t>
            </w:r>
          </w:p>
        </w:tc>
        <w:tc>
          <w:tcPr>
            <w:tcW w:w="176" w:type="dxa"/>
            <w:tcBorders>
              <w:bottom w:val="single" w:sz="8" w:space="0" w:color="000000"/>
            </w:tcBorders>
            <w:vAlign w:val="center"/>
          </w:tcPr>
          <w:p>
            <w:pPr>
              <w:pStyle w:val="TableContents"/>
              <w:bidi w:val="0"/>
              <w:spacing w:before="0" w:after="283"/>
              <w:jc w:val="left"/>
              <w:rPr/>
            </w:pPr>
            <w:r>
              <w:rPr/>
              <w:t> </w:t>
            </w:r>
          </w:p>
        </w:tc>
      </w:tr>
      <w:tr>
        <w:trPr/>
        <w:tc>
          <w:tcPr>
            <w:tcW w:w="1749"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190" w:type="dxa"/>
            <w:gridSpan w:val="18"/>
            <w:tcBorders>
              <w:bottom w:val="single" w:sz="8" w:space="0" w:color="000000"/>
            </w:tcBorders>
            <w:vAlign w:val="center"/>
          </w:tcPr>
          <w:p>
            <w:pPr>
              <w:pStyle w:val="TableContents"/>
              <w:bidi w:val="0"/>
              <w:spacing w:before="0" w:after="283"/>
              <w:jc w:val="right"/>
              <w:rPr>
                <w:b/>
              </w:rPr>
            </w:pPr>
            <w:r>
              <w:rPr>
                <w:b/>
              </w:rPr>
              <w:t>2024</w:t>
            </w:r>
          </w:p>
        </w:tc>
        <w:tc>
          <w:tcPr>
            <w:tcW w:w="176" w:type="dxa"/>
            <w:tcBorders>
              <w:bottom w:val="single" w:sz="8" w:space="0" w:color="000000"/>
            </w:tcBorders>
            <w:vAlign w:val="center"/>
          </w:tcPr>
          <w:p>
            <w:pPr>
              <w:pStyle w:val="TableContents"/>
              <w:bidi w:val="0"/>
              <w:spacing w:before="0" w:after="283"/>
              <w:jc w:val="left"/>
              <w:rPr/>
            </w:pPr>
            <w:r>
              <w:rPr/>
              <w:t> </w:t>
            </w:r>
          </w:p>
        </w:tc>
      </w:tr>
      <w:tr>
        <w:trPr/>
        <w:tc>
          <w:tcPr>
            <w:tcW w:w="1749"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83" w:type="dxa"/>
            <w:gridSpan w:val="2"/>
            <w:tcBorders>
              <w:bottom w:val="single" w:sz="8" w:space="0" w:color="000000"/>
            </w:tcBorders>
            <w:vAlign w:val="center"/>
          </w:tcPr>
          <w:p>
            <w:pPr>
              <w:pStyle w:val="TableContents"/>
              <w:bidi w:val="0"/>
              <w:spacing w:before="0" w:after="283"/>
              <w:jc w:val="right"/>
              <w:rPr/>
            </w:pPr>
            <w:r>
              <w:rPr/>
              <w:t>Panther Creek</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85" w:type="dxa"/>
            <w:gridSpan w:val="2"/>
            <w:tcBorders>
              <w:bottom w:val="single" w:sz="8" w:space="0" w:color="000000"/>
            </w:tcBorders>
            <w:vAlign w:val="center"/>
          </w:tcPr>
          <w:p>
            <w:pPr>
              <w:pStyle w:val="TableContents"/>
              <w:bidi w:val="0"/>
              <w:spacing w:before="0" w:after="283"/>
              <w:jc w:val="right"/>
              <w:rPr/>
            </w:pPr>
            <w:r>
              <w:rPr/>
              <w:t>Scrubgrass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37" w:type="dxa"/>
            <w:gridSpan w:val="2"/>
            <w:tcBorders>
              <w:bottom w:val="single" w:sz="8" w:space="0" w:color="000000"/>
            </w:tcBorders>
            <w:vAlign w:val="center"/>
          </w:tcPr>
          <w:p>
            <w:pPr>
              <w:pStyle w:val="TableContents"/>
              <w:bidi w:val="0"/>
              <w:spacing w:before="0" w:after="283"/>
              <w:jc w:val="right"/>
              <w:rPr>
                <w:b/>
              </w:rPr>
            </w:pPr>
            <w:r>
              <w:rPr>
                <w:b/>
              </w:rPr>
              <w:t>Total Refundable Hosting Deposits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565" w:type="dxa"/>
            <w:gridSpan w:val="2"/>
            <w:tcBorders>
              <w:bottom w:val="single" w:sz="8" w:space="0" w:color="000000"/>
            </w:tcBorders>
            <w:vAlign w:val="center"/>
          </w:tcPr>
          <w:p>
            <w:pPr>
              <w:pStyle w:val="TableContents"/>
              <w:bidi w:val="0"/>
              <w:spacing w:before="0" w:after="283"/>
              <w:jc w:val="right"/>
              <w:rPr>
                <w:b/>
              </w:rPr>
            </w:pPr>
            <w:r>
              <w:rPr>
                <w:b/>
              </w:rPr>
              <w:t>Security deposits for energy</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660" w:type="dxa"/>
            <w:gridSpan w:val="2"/>
            <w:tcBorders>
              <w:bottom w:val="single" w:sz="8" w:space="0" w:color="000000"/>
            </w:tcBorders>
            <w:vAlign w:val="center"/>
          </w:tcPr>
          <w:p>
            <w:pPr>
              <w:pStyle w:val="TableContents"/>
              <w:bidi w:val="0"/>
              <w:spacing w:before="0" w:after="283"/>
              <w:jc w:val="right"/>
              <w:rPr>
                <w:b/>
              </w:rPr>
            </w:pPr>
            <w:r>
              <w:rPr>
                <w:b/>
              </w:rPr>
              <w:t>Total refundable deposits</w:t>
            </w:r>
          </w:p>
        </w:tc>
        <w:tc>
          <w:tcPr>
            <w:tcW w:w="176" w:type="dxa"/>
            <w:tcBorders>
              <w:bottom w:val="single" w:sz="8" w:space="0" w:color="000000"/>
            </w:tcBorders>
            <w:vAlign w:val="center"/>
          </w:tcPr>
          <w:p>
            <w:pPr>
              <w:pStyle w:val="TableContents"/>
              <w:bidi w:val="0"/>
              <w:spacing w:before="0" w:after="283"/>
              <w:jc w:val="left"/>
              <w:rPr/>
            </w:pPr>
            <w:r>
              <w:rPr/>
              <w:t> </w:t>
            </w:r>
          </w:p>
        </w:tc>
      </w:tr>
      <w:tr>
        <w:trPr/>
        <w:tc>
          <w:tcPr>
            <w:tcW w:w="1749" w:type="dxa"/>
            <w:tcBorders>
              <w:bottom w:val="single" w:sz="8" w:space="0" w:color="000000"/>
            </w:tcBorders>
            <w:shd w:fill="CCEEFF" w:val="clear"/>
            <w:vAlign w:val="center"/>
          </w:tcPr>
          <w:p>
            <w:pPr>
              <w:pStyle w:val="TableContents"/>
              <w:bidi w:val="0"/>
              <w:spacing w:before="0" w:after="283"/>
              <w:jc w:val="left"/>
              <w:rPr/>
            </w:pPr>
            <w:r>
              <w:rPr/>
              <w:t>Balance as of January 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vAlign w:val="center"/>
          </w:tcPr>
          <w:p>
            <w:pPr>
              <w:pStyle w:val="TableContents"/>
              <w:bidi w:val="0"/>
              <w:spacing w:before="0" w:after="283"/>
              <w:jc w:val="left"/>
              <w:rPr/>
            </w:pPr>
            <w:r>
              <w:rPr/>
              <w:t> </w:t>
            </w:r>
          </w:p>
        </w:tc>
        <w:tc>
          <w:tcPr>
            <w:tcW w:w="855"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vAlign w:val="center"/>
          </w:tcPr>
          <w:p>
            <w:pPr>
              <w:pStyle w:val="TableContents"/>
              <w:bidi w:val="0"/>
              <w:spacing w:before="0" w:after="283"/>
              <w:jc w:val="left"/>
              <w:rPr/>
            </w:pPr>
            <w:r>
              <w:rPr/>
              <w:t> </w:t>
            </w:r>
          </w:p>
        </w:tc>
        <w:tc>
          <w:tcPr>
            <w:tcW w:w="942"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1810" w:type="dxa"/>
            <w:tcBorders>
              <w:bottom w:val="single" w:sz="8" w:space="0" w:color="000000"/>
            </w:tcBorders>
            <w:shd w:fill="CCEEFF" w:val="clear"/>
            <w:vAlign w:val="center"/>
          </w:tcPr>
          <w:p>
            <w:pPr>
              <w:pStyle w:val="TableContents"/>
              <w:bidi w:val="0"/>
              <w:spacing w:before="0" w:after="0"/>
              <w:jc w:val="right"/>
              <w:rPr/>
            </w:pPr>
            <w:r>
              <w:rPr/>
              <w:t>—</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vAlign w:val="center"/>
          </w:tcPr>
          <w:p>
            <w:pPr>
              <w:pStyle w:val="TableContents"/>
              <w:bidi w:val="0"/>
              <w:spacing w:before="0" w:after="283"/>
              <w:jc w:val="left"/>
              <w:rPr/>
            </w:pPr>
            <w:r>
              <w:rPr/>
              <w:t> </w:t>
            </w:r>
          </w:p>
        </w:tc>
        <w:tc>
          <w:tcPr>
            <w:tcW w:w="1379" w:type="dxa"/>
            <w:tcBorders>
              <w:bottom w:val="single" w:sz="8" w:space="0" w:color="000000"/>
            </w:tcBorders>
            <w:shd w:fill="CCEEFF" w:val="clear"/>
            <w:vAlign w:val="center"/>
          </w:tcPr>
          <w:p>
            <w:pPr>
              <w:pStyle w:val="TableContents"/>
              <w:bidi w:val="0"/>
              <w:spacing w:before="0" w:after="283"/>
              <w:jc w:val="right"/>
              <w:rPr/>
            </w:pPr>
            <w:r>
              <w:rPr/>
              <w:t>277</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vAlign w:val="center"/>
          </w:tcPr>
          <w:p>
            <w:pPr>
              <w:pStyle w:val="TableContents"/>
              <w:bidi w:val="0"/>
              <w:spacing w:before="0" w:after="283"/>
              <w:jc w:val="left"/>
              <w:rPr/>
            </w:pPr>
            <w:r>
              <w:rPr/>
              <w:t> </w:t>
            </w:r>
          </w:p>
        </w:tc>
        <w:tc>
          <w:tcPr>
            <w:tcW w:w="1475" w:type="dxa"/>
            <w:tcBorders>
              <w:bottom w:val="single" w:sz="8" w:space="0" w:color="000000"/>
            </w:tcBorders>
            <w:shd w:fill="CCEEFF" w:val="clear"/>
            <w:vAlign w:val="center"/>
          </w:tcPr>
          <w:p>
            <w:pPr>
              <w:pStyle w:val="TableContents"/>
              <w:bidi w:val="0"/>
              <w:spacing w:before="0" w:after="283"/>
              <w:jc w:val="right"/>
              <w:rPr>
                <w:b/>
              </w:rPr>
            </w:pPr>
            <w:r>
              <w:rPr>
                <w:b/>
              </w:rPr>
              <w:t>277</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1749" w:type="dxa"/>
            <w:tcBorders/>
            <w:tcMar>
              <w:bottom w:w="0" w:type="dxa"/>
            </w:tcMar>
            <w:vAlign w:val="center"/>
          </w:tcPr>
          <w:p>
            <w:pPr>
              <w:pStyle w:val="TableContents"/>
              <w:bidi w:val="0"/>
              <w:spacing w:before="0" w:after="283"/>
              <w:jc w:val="left"/>
              <w:rPr/>
            </w:pPr>
            <w:r>
              <w:rPr/>
              <w:t>Additions</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855" w:type="dxa"/>
            <w:tcBorders/>
            <w:tcMar>
              <w:bottom w:w="0" w:type="dxa"/>
            </w:tcMar>
            <w:vAlign w:val="center"/>
          </w:tcPr>
          <w:p>
            <w:pPr>
              <w:pStyle w:val="TableContents"/>
              <w:bidi w:val="0"/>
              <w:spacing w:before="0" w:after="283"/>
              <w:jc w:val="right"/>
              <w:rPr/>
            </w:pPr>
            <w:r>
              <w:rPr/>
              <w:t>7,800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pPr>
            <w:r>
              <w:rPr/>
              <w:t> </w:t>
            </w:r>
          </w:p>
        </w:tc>
        <w:tc>
          <w:tcPr>
            <w:tcW w:w="942" w:type="dxa"/>
            <w:tcBorders/>
            <w:tcMar>
              <w:bottom w:w="0" w:type="dxa"/>
            </w:tcMar>
            <w:vAlign w:val="center"/>
          </w:tcPr>
          <w:p>
            <w:pPr>
              <w:pStyle w:val="TableContents"/>
              <w:bidi w:val="0"/>
              <w:spacing w:before="0" w:after="283"/>
              <w:jc w:val="right"/>
              <w:rPr/>
            </w:pPr>
            <w:r>
              <w:rPr/>
              <w:t>7,800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7" w:type="dxa"/>
            <w:tcBorders/>
            <w:tcMar>
              <w:bottom w:w="0" w:type="dxa"/>
            </w:tcMar>
            <w:vAlign w:val="center"/>
          </w:tcPr>
          <w:p>
            <w:pPr>
              <w:pStyle w:val="TableContents"/>
              <w:bidi w:val="0"/>
              <w:spacing w:before="0" w:after="283"/>
              <w:jc w:val="left"/>
              <w:rPr/>
            </w:pPr>
            <w:r>
              <w:rPr/>
              <w:t> </w:t>
            </w:r>
          </w:p>
        </w:tc>
        <w:tc>
          <w:tcPr>
            <w:tcW w:w="1810" w:type="dxa"/>
            <w:tcBorders/>
            <w:tcMar>
              <w:bottom w:w="0" w:type="dxa"/>
            </w:tcMar>
            <w:vAlign w:val="center"/>
          </w:tcPr>
          <w:p>
            <w:pPr>
              <w:pStyle w:val="TableContents"/>
              <w:bidi w:val="0"/>
              <w:spacing w:before="0" w:after="283"/>
              <w:jc w:val="right"/>
              <w:rPr/>
            </w:pPr>
            <w:r>
              <w:rPr/>
              <w:t>15,600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6" w:type="dxa"/>
            <w:tcBorders/>
            <w:tcMar>
              <w:bottom w:w="0" w:type="dxa"/>
            </w:tcMar>
            <w:vAlign w:val="center"/>
          </w:tcPr>
          <w:p>
            <w:pPr>
              <w:pStyle w:val="TableContents"/>
              <w:bidi w:val="0"/>
              <w:spacing w:before="0" w:after="283"/>
              <w:jc w:val="left"/>
              <w:rPr/>
            </w:pPr>
            <w:r>
              <w:rPr/>
              <w:t> </w:t>
            </w:r>
          </w:p>
        </w:tc>
        <w:tc>
          <w:tcPr>
            <w:tcW w:w="1379" w:type="dxa"/>
            <w:tcBorders/>
            <w:tcMar>
              <w:bottom w:w="0" w:type="dxa"/>
            </w:tcMar>
            <w:vAlign w:val="center"/>
          </w:tcPr>
          <w:p>
            <w:pPr>
              <w:pStyle w:val="TableContents"/>
              <w:bidi w:val="0"/>
              <w:spacing w:before="0" w:after="283"/>
              <w:jc w:val="right"/>
              <w:rPr/>
            </w:pPr>
            <w:r>
              <w:rPr/>
              <w:t>9,034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right"/>
              <w:rPr>
                <w:b/>
              </w:rPr>
            </w:pPr>
            <w:r>
              <w:rPr>
                <w:b/>
              </w:rPr>
              <w:t>24,634</w:t>
            </w:r>
          </w:p>
        </w:tc>
        <w:tc>
          <w:tcPr>
            <w:tcW w:w="176" w:type="dxa"/>
            <w:tcBorders/>
            <w:tcMar>
              <w:bottom w:w="0" w:type="dxa"/>
            </w:tcMar>
            <w:vAlign w:val="center"/>
          </w:tcPr>
          <w:p>
            <w:pPr>
              <w:pStyle w:val="TableContents"/>
              <w:bidi w:val="0"/>
              <w:spacing w:before="0" w:after="283"/>
              <w:jc w:val="left"/>
              <w:rPr/>
            </w:pPr>
            <w:r>
              <w:rPr/>
              <w:t> </w:t>
            </w:r>
          </w:p>
        </w:tc>
      </w:tr>
      <w:tr>
        <w:trPr/>
        <w:tc>
          <w:tcPr>
            <w:tcW w:w="1749" w:type="dxa"/>
            <w:tcBorders>
              <w:bottom w:val="single" w:sz="8" w:space="0" w:color="000000"/>
            </w:tcBorders>
            <w:shd w:fill="CCEEFF" w:val="clear"/>
            <w:vAlign w:val="center"/>
          </w:tcPr>
          <w:p>
            <w:pPr>
              <w:pStyle w:val="TableContents"/>
              <w:bidi w:val="0"/>
              <w:spacing w:before="0" w:after="283"/>
              <w:jc w:val="left"/>
              <w:rPr/>
            </w:pPr>
            <w:r>
              <w:rPr/>
              <w:t>Initial loss on recognition</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vAlign w:val="center"/>
          </w:tcPr>
          <w:p>
            <w:pPr>
              <w:pStyle w:val="TableContents"/>
              <w:bidi w:val="0"/>
              <w:spacing w:before="0" w:after="283"/>
              <w:jc w:val="left"/>
              <w:rPr/>
            </w:pPr>
            <w:r>
              <w:rPr/>
              <w:t> </w:t>
            </w:r>
          </w:p>
        </w:tc>
        <w:tc>
          <w:tcPr>
            <w:tcW w:w="855" w:type="dxa"/>
            <w:tcBorders>
              <w:bottom w:val="single" w:sz="8" w:space="0" w:color="000000"/>
            </w:tcBorders>
            <w:shd w:fill="CCEEFF" w:val="clear"/>
            <w:vAlign w:val="center"/>
          </w:tcPr>
          <w:p>
            <w:pPr>
              <w:pStyle w:val="TableContents"/>
              <w:bidi w:val="0"/>
              <w:spacing w:before="0" w:after="283"/>
              <w:jc w:val="right"/>
              <w:rPr/>
            </w:pPr>
            <w:r>
              <w:rPr/>
              <w:t>(675</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vAlign w:val="center"/>
          </w:tcPr>
          <w:p>
            <w:pPr>
              <w:pStyle w:val="TableContents"/>
              <w:bidi w:val="0"/>
              <w:spacing w:before="0" w:after="283"/>
              <w:jc w:val="left"/>
              <w:rPr/>
            </w:pPr>
            <w:r>
              <w:rPr/>
              <w:t> </w:t>
            </w:r>
          </w:p>
        </w:tc>
        <w:tc>
          <w:tcPr>
            <w:tcW w:w="942" w:type="dxa"/>
            <w:tcBorders>
              <w:bottom w:val="single" w:sz="8" w:space="0" w:color="000000"/>
            </w:tcBorders>
            <w:shd w:fill="CCEEFF" w:val="clear"/>
            <w:vAlign w:val="center"/>
          </w:tcPr>
          <w:p>
            <w:pPr>
              <w:pStyle w:val="TableContents"/>
              <w:bidi w:val="0"/>
              <w:spacing w:before="0" w:after="283"/>
              <w:jc w:val="right"/>
              <w:rPr/>
            </w:pPr>
            <w:r>
              <w:rPr/>
              <w:t>(258</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1810" w:type="dxa"/>
            <w:tcBorders>
              <w:bottom w:val="single" w:sz="8" w:space="0" w:color="000000"/>
            </w:tcBorders>
            <w:shd w:fill="CCEEFF" w:val="clear"/>
            <w:vAlign w:val="center"/>
          </w:tcPr>
          <w:p>
            <w:pPr>
              <w:pStyle w:val="TableContents"/>
              <w:bidi w:val="0"/>
              <w:spacing w:before="0" w:after="283"/>
              <w:jc w:val="right"/>
              <w:rPr/>
            </w:pPr>
            <w:r>
              <w:rPr/>
              <w:t>(933</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vAlign w:val="center"/>
          </w:tcPr>
          <w:p>
            <w:pPr>
              <w:pStyle w:val="TableContents"/>
              <w:bidi w:val="0"/>
              <w:spacing w:before="0" w:after="283"/>
              <w:jc w:val="left"/>
              <w:rPr/>
            </w:pPr>
            <w:r>
              <w:rPr/>
              <w:t> </w:t>
            </w:r>
          </w:p>
        </w:tc>
        <w:tc>
          <w:tcPr>
            <w:tcW w:w="1379" w:type="dxa"/>
            <w:tcBorders>
              <w:bottom w:val="single" w:sz="8" w:space="0" w:color="000000"/>
            </w:tcBorders>
            <w:shd w:fill="CCEEFF" w:val="clear"/>
            <w:vAlign w:val="center"/>
          </w:tcPr>
          <w:p>
            <w:pPr>
              <w:pStyle w:val="TableContents"/>
              <w:bidi w:val="0"/>
              <w:spacing w:before="0" w:after="283"/>
              <w:jc w:val="right"/>
              <w:rPr/>
            </w:pPr>
            <w:r>
              <w:rPr/>
              <w:t>(1,571</w:t>
            </w:r>
          </w:p>
        </w:tc>
        <w:tc>
          <w:tcPr>
            <w:tcW w:w="125" w:type="dxa"/>
            <w:tcBorders>
              <w:bottom w:val="single" w:sz="8" w:space="0" w:color="000000"/>
            </w:tcBorders>
            <w:shd w:fill="CCEEFF" w:val="clear"/>
            <w:vAlign w:val="center"/>
          </w:tcPr>
          <w:p>
            <w:pPr>
              <w:pStyle w:val="TableContents"/>
              <w:bidi w:val="0"/>
              <w:spacing w:before="0" w:after="283"/>
              <w:jc w:val="left"/>
              <w:rPr/>
            </w:pPr>
            <w:r>
              <w:rPr/>
              <w:t>)</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vAlign w:val="center"/>
          </w:tcPr>
          <w:p>
            <w:pPr>
              <w:pStyle w:val="TableContents"/>
              <w:bidi w:val="0"/>
              <w:spacing w:before="0" w:after="283"/>
              <w:jc w:val="left"/>
              <w:rPr/>
            </w:pPr>
            <w:r>
              <w:rPr/>
              <w:t> </w:t>
            </w:r>
          </w:p>
        </w:tc>
        <w:tc>
          <w:tcPr>
            <w:tcW w:w="1475" w:type="dxa"/>
            <w:tcBorders>
              <w:bottom w:val="single" w:sz="8" w:space="0" w:color="000000"/>
            </w:tcBorders>
            <w:shd w:fill="CCEEFF" w:val="clear"/>
            <w:vAlign w:val="center"/>
          </w:tcPr>
          <w:p>
            <w:pPr>
              <w:pStyle w:val="TableContents"/>
              <w:bidi w:val="0"/>
              <w:spacing w:before="0" w:after="283"/>
              <w:jc w:val="right"/>
              <w:rPr>
                <w:b/>
              </w:rPr>
            </w:pPr>
            <w:r>
              <w:rPr>
                <w:b/>
              </w:rPr>
              <w:t>(2,504</w:t>
            </w:r>
          </w:p>
        </w:tc>
        <w:tc>
          <w:tcPr>
            <w:tcW w:w="176" w:type="dxa"/>
            <w:tcBorders>
              <w:bottom w:val="single" w:sz="8" w:space="0" w:color="000000"/>
            </w:tcBorders>
            <w:shd w:fill="CCEEFF" w:val="clear"/>
            <w:vAlign w:val="center"/>
          </w:tcPr>
          <w:p>
            <w:pPr>
              <w:pStyle w:val="TableContents"/>
              <w:bidi w:val="0"/>
              <w:spacing w:before="0" w:after="283"/>
              <w:jc w:val="left"/>
              <w:rPr>
                <w:b/>
              </w:rPr>
            </w:pPr>
            <w:r>
              <w:rPr>
                <w:b/>
              </w:rPr>
              <w:t>)</w:t>
            </w:r>
          </w:p>
        </w:tc>
      </w:tr>
      <w:tr>
        <w:trPr/>
        <w:tc>
          <w:tcPr>
            <w:tcW w:w="1749" w:type="dxa"/>
            <w:tcBorders>
              <w:bottom w:val="single" w:sz="8" w:space="0" w:color="000000"/>
            </w:tcBorders>
            <w:vAlign w:val="center"/>
          </w:tcPr>
          <w:p>
            <w:pPr>
              <w:pStyle w:val="TableContents"/>
              <w:bidi w:val="0"/>
              <w:spacing w:before="0" w:after="283"/>
              <w:jc w:val="left"/>
              <w:rPr/>
            </w:pPr>
            <w:r>
              <w:rPr/>
              <w:t>Fair value at initial recognition</w:t>
            </w:r>
          </w:p>
        </w:tc>
        <w:tc>
          <w:tcPr>
            <w:tcW w:w="90" w:type="dxa"/>
            <w:tcBorders>
              <w:bottom w:val="single" w:sz="8" w:space="0" w:color="000000"/>
            </w:tcBorders>
            <w:vAlign w:val="center"/>
          </w:tcPr>
          <w:p>
            <w:pPr>
              <w:pStyle w:val="TableContents"/>
              <w:bidi w:val="0"/>
              <w:spacing w:before="0" w:after="283"/>
              <w:jc w:val="left"/>
              <w:rPr/>
            </w:pPr>
            <w:r>
              <w:rPr/>
              <w:t> </w:t>
            </w:r>
          </w:p>
        </w:tc>
        <w:tc>
          <w:tcPr>
            <w:tcW w:w="128" w:type="dxa"/>
            <w:tcBorders>
              <w:bottom w:val="single" w:sz="8" w:space="0" w:color="000000"/>
            </w:tcBorders>
            <w:vAlign w:val="center"/>
          </w:tcPr>
          <w:p>
            <w:pPr>
              <w:pStyle w:val="TableContents"/>
              <w:bidi w:val="0"/>
              <w:spacing w:before="0" w:after="283"/>
              <w:jc w:val="left"/>
              <w:rPr/>
            </w:pPr>
            <w:r>
              <w:rPr/>
              <w:t> </w:t>
            </w:r>
          </w:p>
        </w:tc>
        <w:tc>
          <w:tcPr>
            <w:tcW w:w="855" w:type="dxa"/>
            <w:tcBorders>
              <w:bottom w:val="single" w:sz="8" w:space="0" w:color="000000"/>
            </w:tcBorders>
            <w:vAlign w:val="center"/>
          </w:tcPr>
          <w:p>
            <w:pPr>
              <w:pStyle w:val="TableContents"/>
              <w:bidi w:val="0"/>
              <w:spacing w:before="0" w:after="283"/>
              <w:jc w:val="right"/>
              <w:rPr/>
            </w:pPr>
            <w:r>
              <w:rPr/>
              <w:t>7,125</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43" w:type="dxa"/>
            <w:tcBorders>
              <w:bottom w:val="single" w:sz="8" w:space="0" w:color="000000"/>
            </w:tcBorders>
            <w:vAlign w:val="center"/>
          </w:tcPr>
          <w:p>
            <w:pPr>
              <w:pStyle w:val="TableContents"/>
              <w:bidi w:val="0"/>
              <w:spacing w:before="0" w:after="283"/>
              <w:jc w:val="left"/>
              <w:rPr/>
            </w:pPr>
            <w:r>
              <w:rPr/>
              <w:t> </w:t>
            </w:r>
          </w:p>
        </w:tc>
        <w:tc>
          <w:tcPr>
            <w:tcW w:w="942" w:type="dxa"/>
            <w:tcBorders>
              <w:bottom w:val="single" w:sz="8" w:space="0" w:color="000000"/>
            </w:tcBorders>
            <w:vAlign w:val="center"/>
          </w:tcPr>
          <w:p>
            <w:pPr>
              <w:pStyle w:val="TableContents"/>
              <w:bidi w:val="0"/>
              <w:spacing w:before="0" w:after="283"/>
              <w:jc w:val="right"/>
              <w:rPr/>
            </w:pPr>
            <w:r>
              <w:rPr/>
              <w:t>7,542</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27" w:type="dxa"/>
            <w:tcBorders>
              <w:bottom w:val="single" w:sz="8" w:space="0" w:color="000000"/>
            </w:tcBorders>
            <w:vAlign w:val="center"/>
          </w:tcPr>
          <w:p>
            <w:pPr>
              <w:pStyle w:val="TableContents"/>
              <w:bidi w:val="0"/>
              <w:spacing w:before="0" w:after="283"/>
              <w:jc w:val="left"/>
              <w:rPr/>
            </w:pPr>
            <w:r>
              <w:rPr/>
              <w:t> </w:t>
            </w:r>
          </w:p>
        </w:tc>
        <w:tc>
          <w:tcPr>
            <w:tcW w:w="1810" w:type="dxa"/>
            <w:tcBorders>
              <w:bottom w:val="single" w:sz="8" w:space="0" w:color="000000"/>
            </w:tcBorders>
            <w:vAlign w:val="center"/>
          </w:tcPr>
          <w:p>
            <w:pPr>
              <w:pStyle w:val="TableContents"/>
              <w:bidi w:val="0"/>
              <w:spacing w:before="0" w:after="283"/>
              <w:jc w:val="right"/>
              <w:rPr/>
            </w:pPr>
            <w:r>
              <w:rPr/>
              <w:t>14,667</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6" w:type="dxa"/>
            <w:tcBorders>
              <w:bottom w:val="single" w:sz="8" w:space="0" w:color="000000"/>
            </w:tcBorders>
            <w:vAlign w:val="center"/>
          </w:tcPr>
          <w:p>
            <w:pPr>
              <w:pStyle w:val="TableContents"/>
              <w:bidi w:val="0"/>
              <w:spacing w:before="0" w:after="283"/>
              <w:jc w:val="left"/>
              <w:rPr/>
            </w:pPr>
            <w:r>
              <w:rPr/>
              <w:t> </w:t>
            </w:r>
          </w:p>
        </w:tc>
        <w:tc>
          <w:tcPr>
            <w:tcW w:w="1379" w:type="dxa"/>
            <w:tcBorders>
              <w:bottom w:val="single" w:sz="8" w:space="0" w:color="000000"/>
            </w:tcBorders>
            <w:vAlign w:val="center"/>
          </w:tcPr>
          <w:p>
            <w:pPr>
              <w:pStyle w:val="TableContents"/>
              <w:bidi w:val="0"/>
              <w:spacing w:before="0" w:after="283"/>
              <w:jc w:val="right"/>
              <w:rPr/>
            </w:pPr>
            <w:r>
              <w:rPr/>
              <w:t>7,740</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5" w:type="dxa"/>
            <w:tcBorders>
              <w:bottom w:val="single" w:sz="8" w:space="0" w:color="000000"/>
            </w:tcBorders>
            <w:vAlign w:val="center"/>
          </w:tcPr>
          <w:p>
            <w:pPr>
              <w:pStyle w:val="TableContents"/>
              <w:bidi w:val="0"/>
              <w:spacing w:before="0" w:after="283"/>
              <w:jc w:val="left"/>
              <w:rPr/>
            </w:pPr>
            <w:r>
              <w:rPr/>
              <w:t> </w:t>
            </w:r>
          </w:p>
        </w:tc>
        <w:tc>
          <w:tcPr>
            <w:tcW w:w="1475" w:type="dxa"/>
            <w:tcBorders>
              <w:bottom w:val="single" w:sz="8" w:space="0" w:color="000000"/>
            </w:tcBorders>
            <w:vAlign w:val="center"/>
          </w:tcPr>
          <w:p>
            <w:pPr>
              <w:pStyle w:val="TableContents"/>
              <w:bidi w:val="0"/>
              <w:spacing w:before="0" w:after="283"/>
              <w:jc w:val="right"/>
              <w:rPr>
                <w:b/>
              </w:rPr>
            </w:pPr>
            <w:r>
              <w:rPr>
                <w:b/>
              </w:rPr>
              <w:t>22,407</w:t>
            </w:r>
          </w:p>
        </w:tc>
        <w:tc>
          <w:tcPr>
            <w:tcW w:w="176" w:type="dxa"/>
            <w:tcBorders>
              <w:bottom w:val="single" w:sz="8" w:space="0" w:color="000000"/>
            </w:tcBorders>
            <w:vAlign w:val="center"/>
          </w:tcPr>
          <w:p>
            <w:pPr>
              <w:pStyle w:val="TableContents"/>
              <w:bidi w:val="0"/>
              <w:spacing w:before="0" w:after="283"/>
              <w:jc w:val="left"/>
              <w:rPr/>
            </w:pPr>
            <w:r>
              <w:rPr/>
              <w:t> </w:t>
            </w:r>
          </w:p>
        </w:tc>
      </w:tr>
      <w:tr>
        <w:trPr/>
        <w:tc>
          <w:tcPr>
            <w:tcW w:w="1749" w:type="dxa"/>
            <w:tcBorders/>
            <w:shd w:fill="CCEEFF" w:val="clear"/>
            <w:tcMar>
              <w:bottom w:w="0" w:type="dxa"/>
            </w:tcMar>
            <w:vAlign w:val="center"/>
          </w:tcPr>
          <w:p>
            <w:pPr>
              <w:pStyle w:val="TableContents"/>
              <w:bidi w:val="0"/>
              <w:spacing w:before="0" w:after="283"/>
              <w:jc w:val="left"/>
              <w:rPr/>
            </w:pPr>
            <w:r>
              <w:rPr/>
              <w:t>Interest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right"/>
              <w:rPr/>
            </w:pPr>
            <w:r>
              <w:rPr/>
              <w:t>261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103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810" w:type="dxa"/>
            <w:tcBorders/>
            <w:shd w:fill="CCEEFF" w:val="clear"/>
            <w:tcMar>
              <w:bottom w:w="0" w:type="dxa"/>
            </w:tcMar>
            <w:vAlign w:val="center"/>
          </w:tcPr>
          <w:p>
            <w:pPr>
              <w:pStyle w:val="TableContents"/>
              <w:bidi w:val="0"/>
              <w:spacing w:before="0" w:after="283"/>
              <w:jc w:val="right"/>
              <w:rPr/>
            </w:pPr>
            <w:r>
              <w:rPr/>
              <w:t>364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79"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b/>
              </w:rPr>
            </w:pPr>
            <w:r>
              <w:rPr>
                <w:b/>
              </w:rPr>
              <w:t>364</w:t>
            </w:r>
          </w:p>
        </w:tc>
        <w:tc>
          <w:tcPr>
            <w:tcW w:w="176" w:type="dxa"/>
            <w:tcBorders/>
            <w:shd w:fill="CCEEFF" w:val="clear"/>
            <w:tcMar>
              <w:bottom w:w="0" w:type="dxa"/>
            </w:tcMar>
            <w:vAlign w:val="center"/>
          </w:tcPr>
          <w:p>
            <w:pPr>
              <w:pStyle w:val="TableContents"/>
              <w:bidi w:val="0"/>
              <w:spacing w:before="0" w:after="283"/>
              <w:jc w:val="left"/>
              <w:rPr/>
            </w:pPr>
            <w:r>
              <w:rPr/>
              <w:t> </w:t>
            </w:r>
          </w:p>
        </w:tc>
      </w:tr>
      <w:tr>
        <w:trPr/>
        <w:tc>
          <w:tcPr>
            <w:tcW w:w="1749" w:type="dxa"/>
            <w:tcBorders>
              <w:bottom w:val="single" w:sz="8" w:space="0" w:color="000000"/>
            </w:tcBorders>
            <w:vAlign w:val="center"/>
          </w:tcPr>
          <w:p>
            <w:pPr>
              <w:pStyle w:val="TableContents"/>
              <w:bidi w:val="0"/>
              <w:spacing w:before="0" w:after="283"/>
              <w:jc w:val="left"/>
              <w:rPr/>
            </w:pPr>
            <w:r>
              <w:rPr/>
              <w:t>ECLs</w:t>
            </w:r>
          </w:p>
        </w:tc>
        <w:tc>
          <w:tcPr>
            <w:tcW w:w="90" w:type="dxa"/>
            <w:tcBorders>
              <w:bottom w:val="single" w:sz="8" w:space="0" w:color="000000"/>
            </w:tcBorders>
            <w:vAlign w:val="center"/>
          </w:tcPr>
          <w:p>
            <w:pPr>
              <w:pStyle w:val="TableContents"/>
              <w:bidi w:val="0"/>
              <w:spacing w:before="0" w:after="283"/>
              <w:jc w:val="left"/>
              <w:rPr/>
            </w:pPr>
            <w:r>
              <w:rPr/>
              <w:t> </w:t>
            </w:r>
          </w:p>
        </w:tc>
        <w:tc>
          <w:tcPr>
            <w:tcW w:w="128" w:type="dxa"/>
            <w:tcBorders>
              <w:bottom w:val="single" w:sz="8" w:space="0" w:color="000000"/>
            </w:tcBorders>
            <w:vAlign w:val="center"/>
          </w:tcPr>
          <w:p>
            <w:pPr>
              <w:pStyle w:val="TableContents"/>
              <w:bidi w:val="0"/>
              <w:spacing w:before="0" w:after="283"/>
              <w:jc w:val="left"/>
              <w:rPr/>
            </w:pPr>
            <w:r>
              <w:rPr/>
              <w:t> </w:t>
            </w:r>
          </w:p>
        </w:tc>
        <w:tc>
          <w:tcPr>
            <w:tcW w:w="855" w:type="dxa"/>
            <w:tcBorders>
              <w:bottom w:val="single" w:sz="8" w:space="0" w:color="000000"/>
            </w:tcBorders>
            <w:vAlign w:val="center"/>
          </w:tcPr>
          <w:p>
            <w:pPr>
              <w:pStyle w:val="TableContents"/>
              <w:bidi w:val="0"/>
              <w:spacing w:before="0" w:after="283"/>
              <w:jc w:val="right"/>
              <w:rPr/>
            </w:pPr>
            <w:r>
              <w:rPr/>
              <w:t>(409</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43" w:type="dxa"/>
            <w:tcBorders>
              <w:bottom w:val="single" w:sz="8" w:space="0" w:color="000000"/>
            </w:tcBorders>
            <w:vAlign w:val="center"/>
          </w:tcPr>
          <w:p>
            <w:pPr>
              <w:pStyle w:val="TableContents"/>
              <w:bidi w:val="0"/>
              <w:spacing w:before="0" w:after="283"/>
              <w:jc w:val="left"/>
              <w:rPr/>
            </w:pPr>
            <w:r>
              <w:rPr/>
              <w:t> </w:t>
            </w:r>
          </w:p>
        </w:tc>
        <w:tc>
          <w:tcPr>
            <w:tcW w:w="942" w:type="dxa"/>
            <w:tcBorders>
              <w:bottom w:val="single" w:sz="8" w:space="0" w:color="000000"/>
            </w:tcBorders>
            <w:vAlign w:val="center"/>
          </w:tcPr>
          <w:p>
            <w:pPr>
              <w:pStyle w:val="TableContents"/>
              <w:bidi w:val="0"/>
              <w:spacing w:before="0" w:after="283"/>
              <w:jc w:val="right"/>
              <w:rPr/>
            </w:pPr>
            <w:r>
              <w:rPr/>
              <w:t>(406</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227" w:type="dxa"/>
            <w:tcBorders>
              <w:bottom w:val="single" w:sz="8" w:space="0" w:color="000000"/>
            </w:tcBorders>
            <w:vAlign w:val="center"/>
          </w:tcPr>
          <w:p>
            <w:pPr>
              <w:pStyle w:val="TableContents"/>
              <w:bidi w:val="0"/>
              <w:spacing w:before="0" w:after="283"/>
              <w:jc w:val="left"/>
              <w:rPr/>
            </w:pPr>
            <w:r>
              <w:rPr/>
              <w:t> </w:t>
            </w:r>
          </w:p>
        </w:tc>
        <w:tc>
          <w:tcPr>
            <w:tcW w:w="1810" w:type="dxa"/>
            <w:tcBorders>
              <w:bottom w:val="single" w:sz="8" w:space="0" w:color="000000"/>
            </w:tcBorders>
            <w:vAlign w:val="center"/>
          </w:tcPr>
          <w:p>
            <w:pPr>
              <w:pStyle w:val="TableContents"/>
              <w:bidi w:val="0"/>
              <w:spacing w:before="0" w:after="283"/>
              <w:jc w:val="right"/>
              <w:rPr/>
            </w:pPr>
            <w:r>
              <w:rPr/>
              <w:t>(815</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186" w:type="dxa"/>
            <w:tcBorders>
              <w:bottom w:val="single" w:sz="8" w:space="0" w:color="000000"/>
            </w:tcBorders>
            <w:vAlign w:val="center"/>
          </w:tcPr>
          <w:p>
            <w:pPr>
              <w:pStyle w:val="TableContents"/>
              <w:bidi w:val="0"/>
              <w:spacing w:before="0" w:after="283"/>
              <w:jc w:val="left"/>
              <w:rPr/>
            </w:pPr>
            <w:r>
              <w:rPr/>
              <w:t> </w:t>
            </w:r>
          </w:p>
        </w:tc>
        <w:tc>
          <w:tcPr>
            <w:tcW w:w="1379"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85" w:type="dxa"/>
            <w:tcBorders>
              <w:bottom w:val="single" w:sz="8" w:space="0" w:color="000000"/>
            </w:tcBorders>
            <w:vAlign w:val="center"/>
          </w:tcPr>
          <w:p>
            <w:pPr>
              <w:pStyle w:val="TableContents"/>
              <w:bidi w:val="0"/>
              <w:spacing w:before="0" w:after="283"/>
              <w:jc w:val="left"/>
              <w:rPr/>
            </w:pPr>
            <w:r>
              <w:rPr/>
              <w:t> </w:t>
            </w:r>
          </w:p>
        </w:tc>
        <w:tc>
          <w:tcPr>
            <w:tcW w:w="1475" w:type="dxa"/>
            <w:tcBorders>
              <w:bottom w:val="single" w:sz="8" w:space="0" w:color="000000"/>
            </w:tcBorders>
            <w:vAlign w:val="center"/>
          </w:tcPr>
          <w:p>
            <w:pPr>
              <w:pStyle w:val="TableContents"/>
              <w:bidi w:val="0"/>
              <w:spacing w:before="0" w:after="283"/>
              <w:jc w:val="right"/>
              <w:rPr>
                <w:b/>
              </w:rPr>
            </w:pPr>
            <w:r>
              <w:rPr>
                <w:b/>
              </w:rPr>
              <w:t>(815</w:t>
            </w:r>
          </w:p>
        </w:tc>
        <w:tc>
          <w:tcPr>
            <w:tcW w:w="176" w:type="dxa"/>
            <w:tcBorders>
              <w:bottom w:val="single" w:sz="8" w:space="0" w:color="000000"/>
            </w:tcBorders>
            <w:vAlign w:val="center"/>
          </w:tcPr>
          <w:p>
            <w:pPr>
              <w:pStyle w:val="TableContents"/>
              <w:bidi w:val="0"/>
              <w:spacing w:before="0" w:after="283"/>
              <w:jc w:val="left"/>
              <w:rPr>
                <w:b/>
              </w:rPr>
            </w:pPr>
            <w:r>
              <w:rPr>
                <w:b/>
              </w:rPr>
              <w:t>)</w:t>
            </w:r>
          </w:p>
        </w:tc>
      </w:tr>
      <w:tr>
        <w:trPr/>
        <w:tc>
          <w:tcPr>
            <w:tcW w:w="1749" w:type="dxa"/>
            <w:tcBorders>
              <w:bottom w:val="single" w:sz="12" w:space="0" w:color="000000"/>
            </w:tcBorders>
            <w:shd w:fill="CCEEFF" w:val="clear"/>
            <w:vAlign w:val="center"/>
          </w:tcPr>
          <w:p>
            <w:pPr>
              <w:pStyle w:val="TableContents"/>
              <w:bidi w:val="0"/>
              <w:spacing w:before="0" w:after="283"/>
              <w:jc w:val="left"/>
              <w:rPr>
                <w:b/>
              </w:rPr>
            </w:pPr>
            <w:r>
              <w:rPr>
                <w:b/>
              </w:rPr>
              <w:t>Balance as of period end</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vAlign w:val="center"/>
          </w:tcPr>
          <w:p>
            <w:pPr>
              <w:pStyle w:val="TableContents"/>
              <w:bidi w:val="0"/>
              <w:spacing w:before="0" w:after="283"/>
              <w:jc w:val="left"/>
              <w:rPr/>
            </w:pPr>
            <w:r>
              <w:rPr/>
              <w:t> </w:t>
            </w:r>
          </w:p>
        </w:tc>
        <w:tc>
          <w:tcPr>
            <w:tcW w:w="855" w:type="dxa"/>
            <w:tcBorders>
              <w:bottom w:val="single" w:sz="12" w:space="0" w:color="000000"/>
            </w:tcBorders>
            <w:shd w:fill="CCEEFF" w:val="clear"/>
            <w:vAlign w:val="center"/>
          </w:tcPr>
          <w:p>
            <w:pPr>
              <w:pStyle w:val="TableContents"/>
              <w:bidi w:val="0"/>
              <w:spacing w:before="0" w:after="283"/>
              <w:jc w:val="right"/>
              <w:rPr>
                <w:b/>
              </w:rPr>
            </w:pPr>
            <w:r>
              <w:rPr>
                <w:b/>
              </w:rPr>
              <w:t>6,977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vAlign w:val="center"/>
          </w:tcPr>
          <w:p>
            <w:pPr>
              <w:pStyle w:val="TableContents"/>
              <w:bidi w:val="0"/>
              <w:spacing w:before="0" w:after="283"/>
              <w:jc w:val="left"/>
              <w:rPr/>
            </w:pPr>
            <w:r>
              <w:rPr/>
              <w:t> </w:t>
            </w:r>
          </w:p>
        </w:tc>
        <w:tc>
          <w:tcPr>
            <w:tcW w:w="942" w:type="dxa"/>
            <w:tcBorders>
              <w:bottom w:val="single" w:sz="12" w:space="0" w:color="000000"/>
            </w:tcBorders>
            <w:shd w:fill="CCEEFF" w:val="clear"/>
            <w:vAlign w:val="center"/>
          </w:tcPr>
          <w:p>
            <w:pPr>
              <w:pStyle w:val="TableContents"/>
              <w:bidi w:val="0"/>
              <w:spacing w:before="0" w:after="283"/>
              <w:jc w:val="right"/>
              <w:rPr>
                <w:b/>
              </w:rPr>
            </w:pPr>
            <w:r>
              <w:rPr>
                <w:b/>
              </w:rPr>
              <w:t>7,239</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vAlign w:val="center"/>
          </w:tcPr>
          <w:p>
            <w:pPr>
              <w:pStyle w:val="TableContents"/>
              <w:bidi w:val="0"/>
              <w:spacing w:before="0" w:after="283"/>
              <w:jc w:val="left"/>
              <w:rPr/>
            </w:pPr>
            <w:r>
              <w:rPr/>
              <w:t> </w:t>
            </w:r>
          </w:p>
        </w:tc>
        <w:tc>
          <w:tcPr>
            <w:tcW w:w="1810" w:type="dxa"/>
            <w:tcBorders>
              <w:bottom w:val="single" w:sz="12" w:space="0" w:color="000000"/>
            </w:tcBorders>
            <w:shd w:fill="CCEEFF" w:val="clear"/>
            <w:vAlign w:val="center"/>
          </w:tcPr>
          <w:p>
            <w:pPr>
              <w:pStyle w:val="TableContents"/>
              <w:bidi w:val="0"/>
              <w:spacing w:before="0" w:after="283"/>
              <w:jc w:val="right"/>
              <w:rPr>
                <w:b/>
              </w:rPr>
            </w:pPr>
            <w:r>
              <w:rPr>
                <w:b/>
              </w:rPr>
              <w:t>14,216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vAlign w:val="center"/>
          </w:tcPr>
          <w:p>
            <w:pPr>
              <w:pStyle w:val="TableContents"/>
              <w:bidi w:val="0"/>
              <w:spacing w:before="0" w:after="283"/>
              <w:jc w:val="left"/>
              <w:rPr/>
            </w:pPr>
            <w:r>
              <w:rPr/>
              <w:t> </w:t>
            </w:r>
          </w:p>
        </w:tc>
        <w:tc>
          <w:tcPr>
            <w:tcW w:w="1379" w:type="dxa"/>
            <w:tcBorders>
              <w:bottom w:val="single" w:sz="12" w:space="0" w:color="000000"/>
            </w:tcBorders>
            <w:shd w:fill="CCEEFF" w:val="clear"/>
            <w:vAlign w:val="center"/>
          </w:tcPr>
          <w:p>
            <w:pPr>
              <w:pStyle w:val="TableContents"/>
              <w:bidi w:val="0"/>
              <w:spacing w:before="0" w:after="283"/>
              <w:jc w:val="right"/>
              <w:rPr>
                <w:b/>
              </w:rPr>
            </w:pPr>
            <w:r>
              <w:rPr>
                <w:b/>
              </w:rPr>
              <w:t>7,740</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vAlign w:val="center"/>
          </w:tcPr>
          <w:p>
            <w:pPr>
              <w:pStyle w:val="TableContents"/>
              <w:bidi w:val="0"/>
              <w:spacing w:before="0" w:after="283"/>
              <w:jc w:val="left"/>
              <w:rPr/>
            </w:pPr>
            <w:r>
              <w:rPr/>
              <w:t> </w:t>
            </w:r>
          </w:p>
        </w:tc>
        <w:tc>
          <w:tcPr>
            <w:tcW w:w="1475" w:type="dxa"/>
            <w:tcBorders>
              <w:bottom w:val="single" w:sz="12" w:space="0" w:color="000000"/>
            </w:tcBorders>
            <w:shd w:fill="CCEEFF" w:val="clear"/>
            <w:vAlign w:val="center"/>
          </w:tcPr>
          <w:p>
            <w:pPr>
              <w:pStyle w:val="TableContents"/>
              <w:bidi w:val="0"/>
              <w:spacing w:before="0" w:after="283"/>
              <w:jc w:val="right"/>
              <w:rPr>
                <w:b/>
              </w:rPr>
            </w:pPr>
            <w:r>
              <w:rPr>
                <w:b/>
              </w:rPr>
              <w:t>21,956</w:t>
            </w:r>
          </w:p>
        </w:tc>
        <w:tc>
          <w:tcPr>
            <w:tcW w:w="176"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65 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68"/>
        <w:gridCol w:w="1115"/>
        <w:gridCol w:w="455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23:</w:t>
            </w:r>
          </w:p>
        </w:tc>
        <w:tc>
          <w:tcPr>
            <w:tcW w:w="4550" w:type="dxa"/>
            <w:tcBorders/>
            <w:vAlign w:val="center"/>
          </w:tcPr>
          <w:p>
            <w:pPr>
              <w:pStyle w:val="TableContents"/>
              <w:bidi w:val="0"/>
              <w:spacing w:before="0" w:after="283"/>
              <w:jc w:val="both"/>
              <w:rPr/>
            </w:pPr>
            <w:r>
              <w:rPr>
                <w:b/>
              </w:rPr>
              <w:t>FINANCIAL INSTRUMENTS</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845"/>
        <w:gridCol w:w="9126"/>
      </w:tblGrid>
      <w:tr>
        <w:trPr/>
        <w:tc>
          <w:tcPr>
            <w:tcW w:w="23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r>
              <w:rPr>
                <w:b/>
              </w:rPr>
              <w:t>b.</w:t>
            </w:r>
          </w:p>
        </w:tc>
        <w:tc>
          <w:tcPr>
            <w:tcW w:w="9126" w:type="dxa"/>
            <w:tcBorders/>
            <w:vAlign w:val="center"/>
          </w:tcPr>
          <w:p>
            <w:pPr>
              <w:pStyle w:val="TableContents"/>
              <w:bidi w:val="0"/>
              <w:spacing w:before="0" w:after="283"/>
              <w:jc w:val="both"/>
              <w:rPr>
                <w:b/>
              </w:rPr>
            </w:pPr>
            <w:r>
              <w:rPr>
                <w:b/>
              </w:rPr>
              <w:t xml:space="preserve">Risk management policy </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foreign currency risk, credit risk, counterparty risk, liquidity risk and concentration risk. The Company’s senior Management monitors these risks.</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Foreign currency risk is the risk that the fair value or future cash flows of a financial instrument will fluctuate because of changes in foreign exchange rates. The Company’s functional currency is the U.S. dollar as all of its cryptocurrency Mining revenues, most of its capital expenditures and most of its financing are primarily measured or transacted in USD. The Company is exposed to variability in the Canadian dollar and Argentine peso to U.S. dollar exchange rates when making expenditures payable in CAD and ARS. The Company funds foreign currency transactions by buying the foreign currency at the spot rate when required. A 5% increase or decrease in the USD/CAD and USD/ARS exchange rates may have an impact of an increase or decrease of $15 on retained earnings at December 31, 2024 (December 31, 2023: $44).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denominated in CAD and ARS included in the consolidated statements of financial position, presented in thousands of USD, are as follows:</w:t>
      </w:r>
    </w:p>
    <w:p>
      <w:pPr>
        <w:pStyle w:val="TextBody"/>
        <w:bidi w:val="0"/>
        <w:spacing w:before="0" w:after="0"/>
        <w:ind w:left="0" w:right="0" w:hanging="0"/>
        <w:jc w:val="both"/>
        <w:rPr>
          <w:caps w:val="false"/>
          <w:smallCaps w:val="false"/>
        </w:rPr>
      </w:pPr>
      <w:r>
        <w:rPr>
          <w:caps w:val="false"/>
          <w:smallCaps w:val="false"/>
        </w:rPr>
        <w:t> </w:t>
      </w:r>
    </w:p>
    <w:tbl>
      <w:tblPr>
        <w:tblW w:w="8419" w:type="dxa"/>
        <w:jc w:val="left"/>
        <w:tblInd w:w="0" w:type="dxa"/>
        <w:tblLayout w:type="fixed"/>
        <w:tblCellMar>
          <w:top w:w="0" w:type="dxa"/>
          <w:left w:w="0" w:type="dxa"/>
          <w:bottom w:w="28" w:type="dxa"/>
          <w:right w:w="0" w:type="dxa"/>
        </w:tblCellMar>
      </w:tblPr>
      <w:tblGrid>
        <w:gridCol w:w="3605"/>
        <w:gridCol w:w="90"/>
        <w:gridCol w:w="115"/>
        <w:gridCol w:w="851"/>
        <w:gridCol w:w="160"/>
        <w:gridCol w:w="115"/>
        <w:gridCol w:w="115"/>
        <w:gridCol w:w="851"/>
        <w:gridCol w:w="125"/>
        <w:gridCol w:w="90"/>
        <w:gridCol w:w="124"/>
        <w:gridCol w:w="918"/>
        <w:gridCol w:w="172"/>
        <w:gridCol w:w="124"/>
        <w:gridCol w:w="124"/>
        <w:gridCol w:w="670"/>
        <w:gridCol w:w="170"/>
      </w:tblGrid>
      <w:tr>
        <w:trPr/>
        <w:tc>
          <w:tcPr>
            <w:tcW w:w="360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207" w:type="dxa"/>
            <w:gridSpan w:val="6"/>
            <w:tcBorders>
              <w:bottom w:val="single" w:sz="8" w:space="0" w:color="000000"/>
            </w:tcBorders>
            <w:vAlign w:val="center"/>
          </w:tcPr>
          <w:p>
            <w:pPr>
              <w:pStyle w:val="TableContents"/>
              <w:bidi w:val="0"/>
              <w:spacing w:before="0" w:after="283"/>
              <w:jc w:val="right"/>
              <w:rPr>
                <w:b/>
              </w:rPr>
            </w:pPr>
            <w:r>
              <w:rPr>
                <w:b/>
              </w:rPr>
              <w:t>As a of December 31,</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132" w:type="dxa"/>
            <w:gridSpan w:val="6"/>
            <w:tcBorders>
              <w:bottom w:val="single" w:sz="8" w:space="0" w:color="000000"/>
            </w:tcBorders>
            <w:vAlign w:val="center"/>
          </w:tcPr>
          <w:p>
            <w:pPr>
              <w:pStyle w:val="TableContents"/>
              <w:bidi w:val="0"/>
              <w:spacing w:before="0" w:after="283"/>
              <w:jc w:val="right"/>
              <w:rPr/>
            </w:pPr>
            <w:r>
              <w:rPr/>
              <w:t>As a of December 31,</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360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207" w:type="dxa"/>
            <w:gridSpan w:val="6"/>
            <w:tcBorders>
              <w:bottom w:val="single" w:sz="8" w:space="0" w:color="000000"/>
            </w:tcBorders>
            <w:vAlign w:val="center"/>
          </w:tcPr>
          <w:p>
            <w:pPr>
              <w:pStyle w:val="TableContents"/>
              <w:bidi w:val="0"/>
              <w:spacing w:before="0" w:after="283"/>
              <w:jc w:val="right"/>
              <w:rPr>
                <w:b/>
              </w:rPr>
            </w:pPr>
            <w:r>
              <w:rPr>
                <w:b/>
              </w:rPr>
              <w:t>2024</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132" w:type="dxa"/>
            <w:gridSpan w:val="6"/>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360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66" w:type="dxa"/>
            <w:gridSpan w:val="2"/>
            <w:tcBorders>
              <w:bottom w:val="single" w:sz="8" w:space="0" w:color="000000"/>
            </w:tcBorders>
            <w:vAlign w:val="center"/>
          </w:tcPr>
          <w:p>
            <w:pPr>
              <w:pStyle w:val="TableContents"/>
              <w:bidi w:val="0"/>
              <w:spacing w:before="0" w:after="283"/>
              <w:jc w:val="right"/>
              <w:rPr>
                <w:b/>
              </w:rPr>
            </w:pPr>
            <w:r>
              <w:rPr>
                <w:b/>
              </w:rPr>
              <w:t>CAD</w:t>
            </w:r>
          </w:p>
        </w:tc>
        <w:tc>
          <w:tcPr>
            <w:tcW w:w="160" w:type="dxa"/>
            <w:tcBorders>
              <w:bottom w:val="single" w:sz="8" w:space="0" w:color="000000"/>
            </w:tcBorders>
            <w:vAlign w:val="center"/>
          </w:tcPr>
          <w:p>
            <w:pPr>
              <w:pStyle w:val="TableContents"/>
              <w:bidi w:val="0"/>
              <w:spacing w:before="0" w:after="283"/>
              <w:jc w:val="left"/>
              <w:rPr/>
            </w:pPr>
            <w:r>
              <w:rPr/>
              <w:t> </w:t>
            </w:r>
          </w:p>
        </w:tc>
        <w:tc>
          <w:tcPr>
            <w:tcW w:w="115" w:type="dxa"/>
            <w:tcBorders>
              <w:bottom w:val="single" w:sz="8" w:space="0" w:color="000000"/>
            </w:tcBorders>
            <w:vAlign w:val="center"/>
          </w:tcPr>
          <w:p>
            <w:pPr>
              <w:pStyle w:val="TableContents"/>
              <w:bidi w:val="0"/>
              <w:spacing w:before="0" w:after="283"/>
              <w:jc w:val="left"/>
              <w:rPr/>
            </w:pPr>
            <w:r>
              <w:rPr/>
              <w:t> </w:t>
            </w:r>
          </w:p>
        </w:tc>
        <w:tc>
          <w:tcPr>
            <w:tcW w:w="966" w:type="dxa"/>
            <w:gridSpan w:val="2"/>
            <w:tcBorders>
              <w:bottom w:val="single" w:sz="8" w:space="0" w:color="000000"/>
            </w:tcBorders>
            <w:vAlign w:val="center"/>
          </w:tcPr>
          <w:p>
            <w:pPr>
              <w:pStyle w:val="TableContents"/>
              <w:bidi w:val="0"/>
              <w:spacing w:before="0" w:after="283"/>
              <w:jc w:val="right"/>
              <w:rPr>
                <w:b/>
              </w:rPr>
            </w:pPr>
            <w:r>
              <w:rPr>
                <w:b/>
              </w:rPr>
              <w:t>ARS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42" w:type="dxa"/>
            <w:gridSpan w:val="2"/>
            <w:tcBorders>
              <w:bottom w:val="single" w:sz="8" w:space="0" w:color="000000"/>
            </w:tcBorders>
            <w:vAlign w:val="center"/>
          </w:tcPr>
          <w:p>
            <w:pPr>
              <w:pStyle w:val="TableContents"/>
              <w:bidi w:val="0"/>
              <w:spacing w:before="0" w:after="283"/>
              <w:jc w:val="right"/>
              <w:rPr/>
            </w:pPr>
            <w:r>
              <w:rPr/>
              <w:t>CAD</w:t>
            </w:r>
          </w:p>
        </w:tc>
        <w:tc>
          <w:tcPr>
            <w:tcW w:w="172" w:type="dxa"/>
            <w:tcBorders>
              <w:bottom w:val="single" w:sz="8" w:space="0" w:color="000000"/>
            </w:tcBorders>
            <w:vAlign w:val="center"/>
          </w:tcPr>
          <w:p>
            <w:pPr>
              <w:pStyle w:val="TableContents"/>
              <w:bidi w:val="0"/>
              <w:spacing w:before="0" w:after="283"/>
              <w:jc w:val="left"/>
              <w:rPr/>
            </w:pPr>
            <w:r>
              <w:rPr/>
              <w:t> </w:t>
            </w:r>
          </w:p>
        </w:tc>
        <w:tc>
          <w:tcPr>
            <w:tcW w:w="124" w:type="dxa"/>
            <w:tcBorders>
              <w:bottom w:val="single" w:sz="8" w:space="0" w:color="000000"/>
            </w:tcBorders>
            <w:vAlign w:val="center"/>
          </w:tcPr>
          <w:p>
            <w:pPr>
              <w:pStyle w:val="TableContents"/>
              <w:bidi w:val="0"/>
              <w:spacing w:before="0" w:after="283"/>
              <w:jc w:val="left"/>
              <w:rPr/>
            </w:pPr>
            <w:r>
              <w:rPr/>
              <w:t> </w:t>
            </w:r>
          </w:p>
        </w:tc>
        <w:tc>
          <w:tcPr>
            <w:tcW w:w="794" w:type="dxa"/>
            <w:gridSpan w:val="2"/>
            <w:tcBorders>
              <w:bottom w:val="single" w:sz="8" w:space="0" w:color="000000"/>
            </w:tcBorders>
            <w:vAlign w:val="center"/>
          </w:tcPr>
          <w:p>
            <w:pPr>
              <w:pStyle w:val="TableContents"/>
              <w:bidi w:val="0"/>
              <w:spacing w:before="0" w:after="283"/>
              <w:jc w:val="right"/>
              <w:rPr/>
            </w:pPr>
            <w:r>
              <w:rPr/>
              <w:t>ARS</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pPr>
            <w:r>
              <w:rPr/>
              <w:t>Cash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b/>
              </w:rPr>
            </w:pPr>
            <w:r>
              <w:rPr>
                <w:b/>
              </w:rPr>
              <w:t>5,362</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b/>
              </w:rPr>
            </w:pPr>
            <w:r>
              <w:rPr>
                <w:b/>
              </w:rPr>
              <w:t>1,983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8" w:type="dxa"/>
            <w:tcBorders/>
            <w:shd w:fill="CCEEFF" w:val="clear"/>
            <w:tcMar>
              <w:bottom w:w="0" w:type="dxa"/>
            </w:tcMar>
            <w:vAlign w:val="center"/>
          </w:tcPr>
          <w:p>
            <w:pPr>
              <w:pStyle w:val="TableContents"/>
              <w:bidi w:val="0"/>
              <w:spacing w:before="0" w:after="283"/>
              <w:jc w:val="right"/>
              <w:rPr/>
            </w:pPr>
            <w:r>
              <w:rPr/>
              <w:t>8,904</w:t>
            </w:r>
          </w:p>
        </w:tc>
        <w:tc>
          <w:tcPr>
            <w:tcW w:w="172"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right"/>
              <w:rPr/>
            </w:pPr>
            <w:r>
              <w:rPr/>
              <w:t>183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605" w:type="dxa"/>
            <w:tcBorders/>
            <w:tcMar>
              <w:bottom w:w="0" w:type="dxa"/>
            </w:tcMar>
            <w:vAlign w:val="center"/>
          </w:tcPr>
          <w:p>
            <w:pPr>
              <w:pStyle w:val="TableContents"/>
              <w:bidi w:val="0"/>
              <w:spacing w:before="0" w:after="283"/>
              <w:jc w:val="left"/>
              <w:rPr/>
            </w:pPr>
            <w:r>
              <w:rPr/>
              <w:t>Trade receivables</w:t>
            </w:r>
          </w:p>
        </w:tc>
        <w:tc>
          <w:tcPr>
            <w:tcW w:w="90" w:type="dxa"/>
            <w:tcBorders/>
            <w:tcMar>
              <w:bottom w:w="0" w:type="dxa"/>
            </w:tcMar>
            <w:vAlign w:val="center"/>
          </w:tcPr>
          <w:p>
            <w:pPr>
              <w:pStyle w:val="TableContents"/>
              <w:bidi w:val="0"/>
              <w:spacing w:before="0" w:after="283"/>
              <w:jc w:val="left"/>
              <w:rPr/>
            </w:pPr>
            <w:r>
              <w:rPr/>
              <w:t> </w:t>
            </w:r>
          </w:p>
        </w:tc>
        <w:tc>
          <w:tcPr>
            <w:tcW w:w="115" w:type="dxa"/>
            <w:tcBorders/>
            <w:tcMar>
              <w:bottom w:w="0" w:type="dxa"/>
            </w:tcMar>
            <w:vAlign w:val="center"/>
          </w:tcPr>
          <w:p>
            <w:pPr>
              <w:pStyle w:val="TableContents"/>
              <w:bidi w:val="0"/>
              <w:spacing w:before="0" w:after="283"/>
              <w:jc w:val="left"/>
              <w:rPr/>
            </w:pPr>
            <w:r>
              <w:rPr/>
              <w:t> </w:t>
            </w:r>
          </w:p>
        </w:tc>
        <w:tc>
          <w:tcPr>
            <w:tcW w:w="851" w:type="dxa"/>
            <w:tcBorders/>
            <w:tcMar>
              <w:bottom w:w="0" w:type="dxa"/>
            </w:tcMar>
            <w:vAlign w:val="center"/>
          </w:tcPr>
          <w:p>
            <w:pPr>
              <w:pStyle w:val="TableContents"/>
              <w:bidi w:val="0"/>
              <w:spacing w:before="0" w:after="283"/>
              <w:jc w:val="right"/>
              <w:rPr>
                <w:b/>
              </w:rPr>
            </w:pPr>
            <w:r>
              <w:rPr>
                <w:b/>
              </w:rPr>
              <w:t>1,259</w:t>
            </w:r>
          </w:p>
        </w:tc>
        <w:tc>
          <w:tcPr>
            <w:tcW w:w="160" w:type="dxa"/>
            <w:tcBorders/>
            <w:tcMar>
              <w:bottom w:w="0" w:type="dxa"/>
            </w:tcMar>
            <w:vAlign w:val="center"/>
          </w:tcPr>
          <w:p>
            <w:pPr>
              <w:pStyle w:val="TableContents"/>
              <w:bidi w:val="0"/>
              <w:spacing w:before="0" w:after="283"/>
              <w:jc w:val="left"/>
              <w:rPr/>
            </w:pPr>
            <w:r>
              <w:rPr/>
              <w:t> </w:t>
            </w:r>
          </w:p>
        </w:tc>
        <w:tc>
          <w:tcPr>
            <w:tcW w:w="115" w:type="dxa"/>
            <w:tcBorders/>
            <w:tcMar>
              <w:bottom w:w="0" w:type="dxa"/>
            </w:tcMar>
            <w:vAlign w:val="center"/>
          </w:tcPr>
          <w:p>
            <w:pPr>
              <w:pStyle w:val="TableContents"/>
              <w:bidi w:val="0"/>
              <w:spacing w:before="0" w:after="283"/>
              <w:jc w:val="left"/>
              <w:rPr/>
            </w:pPr>
            <w:r>
              <w:rPr/>
              <w:t> </w:t>
            </w:r>
          </w:p>
        </w:tc>
        <w:tc>
          <w:tcPr>
            <w:tcW w:w="115" w:type="dxa"/>
            <w:tcBorders/>
            <w:tcMar>
              <w:bottom w:w="0" w:type="dxa"/>
            </w:tcMar>
            <w:vAlign w:val="center"/>
          </w:tcPr>
          <w:p>
            <w:pPr>
              <w:pStyle w:val="TableContents"/>
              <w:bidi w:val="0"/>
              <w:spacing w:before="0" w:after="283"/>
              <w:jc w:val="left"/>
              <w:rPr/>
            </w:pPr>
            <w:r>
              <w:rPr/>
              <w:t> </w:t>
            </w:r>
          </w:p>
        </w:tc>
        <w:tc>
          <w:tcPr>
            <w:tcW w:w="851" w:type="dxa"/>
            <w:tcBorders/>
            <w:tcMar>
              <w:bottom w:w="0" w:type="dxa"/>
            </w:tcMar>
            <w:vAlign w:val="center"/>
          </w:tcPr>
          <w:p>
            <w:pPr>
              <w:pStyle w:val="TableContents"/>
              <w:bidi w:val="0"/>
              <w:spacing w:before="0" w:after="283"/>
              <w:jc w:val="right"/>
              <w:rPr>
                <w:b/>
              </w:rPr>
            </w:pPr>
            <w:r>
              <w:rPr>
                <w:b/>
              </w:rPr>
              <w:t>(6</w:t>
            </w:r>
          </w:p>
        </w:tc>
        <w:tc>
          <w:tcPr>
            <w:tcW w:w="125" w:type="dxa"/>
            <w:tcBorders/>
            <w:tcMar>
              <w:bottom w:w="0" w:type="dxa"/>
            </w:tcMar>
            <w:vAlign w:val="center"/>
          </w:tcPr>
          <w:p>
            <w:pPr>
              <w:pStyle w:val="TableContents"/>
              <w:bidi w:val="0"/>
              <w:spacing w:before="0" w:after="283"/>
              <w:jc w:val="left"/>
              <w:rPr>
                <w:b/>
              </w:rPr>
            </w:pPr>
            <w:r>
              <w:rPr>
                <w:b/>
              </w:rPr>
              <w:t>)</w:t>
            </w:r>
          </w:p>
        </w:tc>
        <w:tc>
          <w:tcPr>
            <w:tcW w:w="90" w:type="dxa"/>
            <w:tcBorders/>
            <w:tcMar>
              <w:bottom w:w="0" w:type="dxa"/>
            </w:tcMar>
            <w:vAlign w:val="center"/>
          </w:tcPr>
          <w:p>
            <w:pPr>
              <w:pStyle w:val="TableContents"/>
              <w:bidi w:val="0"/>
              <w:spacing w:before="0" w:after="283"/>
              <w:jc w:val="left"/>
              <w:rPr/>
            </w:pPr>
            <w:r>
              <w:rPr/>
              <w:t> </w:t>
            </w:r>
          </w:p>
        </w:tc>
        <w:tc>
          <w:tcPr>
            <w:tcW w:w="124" w:type="dxa"/>
            <w:tcBorders/>
            <w:tcMar>
              <w:bottom w:w="0" w:type="dxa"/>
            </w:tcMar>
            <w:vAlign w:val="center"/>
          </w:tcPr>
          <w:p>
            <w:pPr>
              <w:pStyle w:val="TableContents"/>
              <w:bidi w:val="0"/>
              <w:spacing w:before="0" w:after="283"/>
              <w:jc w:val="left"/>
              <w:rPr/>
            </w:pPr>
            <w:r>
              <w:rPr/>
              <w:t> </w:t>
            </w:r>
          </w:p>
        </w:tc>
        <w:tc>
          <w:tcPr>
            <w:tcW w:w="918" w:type="dxa"/>
            <w:tcBorders/>
            <w:tcMar>
              <w:bottom w:w="0" w:type="dxa"/>
            </w:tcMar>
            <w:vAlign w:val="center"/>
          </w:tcPr>
          <w:p>
            <w:pPr>
              <w:pStyle w:val="TableContents"/>
              <w:bidi w:val="0"/>
              <w:spacing w:before="0" w:after="283"/>
              <w:jc w:val="right"/>
              <w:rPr/>
            </w:pPr>
            <w:r>
              <w:rPr/>
              <w:t>714</w:t>
            </w:r>
          </w:p>
        </w:tc>
        <w:tc>
          <w:tcPr>
            <w:tcW w:w="172" w:type="dxa"/>
            <w:tcBorders/>
            <w:tcMar>
              <w:bottom w:w="0" w:type="dxa"/>
            </w:tcMar>
            <w:vAlign w:val="center"/>
          </w:tcPr>
          <w:p>
            <w:pPr>
              <w:pStyle w:val="TableContents"/>
              <w:bidi w:val="0"/>
              <w:spacing w:before="0" w:after="283"/>
              <w:jc w:val="left"/>
              <w:rPr/>
            </w:pPr>
            <w:r>
              <w:rPr/>
              <w:t> </w:t>
            </w:r>
          </w:p>
        </w:tc>
        <w:tc>
          <w:tcPr>
            <w:tcW w:w="124" w:type="dxa"/>
            <w:tcBorders/>
            <w:tcMar>
              <w:bottom w:w="0" w:type="dxa"/>
            </w:tcMar>
            <w:vAlign w:val="center"/>
          </w:tcPr>
          <w:p>
            <w:pPr>
              <w:pStyle w:val="TableContents"/>
              <w:bidi w:val="0"/>
              <w:spacing w:before="0" w:after="283"/>
              <w:jc w:val="left"/>
              <w:rPr/>
            </w:pPr>
            <w:r>
              <w:rPr/>
              <w:t> </w:t>
            </w:r>
          </w:p>
        </w:tc>
        <w:tc>
          <w:tcPr>
            <w:tcW w:w="124" w:type="dxa"/>
            <w:tcBorders/>
            <w:tcMar>
              <w:bottom w:w="0" w:type="dxa"/>
            </w:tcMar>
            <w:vAlign w:val="center"/>
          </w:tcPr>
          <w:p>
            <w:pPr>
              <w:pStyle w:val="TableContents"/>
              <w:bidi w:val="0"/>
              <w:spacing w:before="0" w:after="283"/>
              <w:jc w:val="left"/>
              <w:rPr/>
            </w:pPr>
            <w:r>
              <w:rPr/>
              <w:t> </w:t>
            </w:r>
          </w:p>
        </w:tc>
        <w:tc>
          <w:tcPr>
            <w:tcW w:w="670" w:type="dxa"/>
            <w:tcBorders/>
            <w:tcMar>
              <w:bottom w:w="0" w:type="dxa"/>
            </w:tcMar>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jc w:val="left"/>
              <w:rPr/>
            </w:pPr>
            <w:r>
              <w:rPr/>
              <w:t> </w:t>
            </w:r>
          </w:p>
        </w:tc>
      </w:tr>
      <w:tr>
        <w:trPr/>
        <w:tc>
          <w:tcPr>
            <w:tcW w:w="3605" w:type="dxa"/>
            <w:tcBorders/>
            <w:shd w:fill="CCEEFF" w:val="clear"/>
            <w:tcMar>
              <w:bottom w:w="0" w:type="dxa"/>
            </w:tcMar>
            <w:vAlign w:val="center"/>
          </w:tcPr>
          <w:p>
            <w:pPr>
              <w:pStyle w:val="TableContents"/>
              <w:bidi w:val="0"/>
              <w:spacing w:before="0" w:after="283"/>
              <w:jc w:val="left"/>
              <w:rPr/>
            </w:pPr>
            <w:r>
              <w:rPr/>
              <w:t>Trade payables and accrued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b/>
              </w:rPr>
            </w:pPr>
            <w:r>
              <w:rPr>
                <w:b/>
              </w:rPr>
              <w:t>(5,341</w:t>
            </w:r>
          </w:p>
        </w:tc>
        <w:tc>
          <w:tcPr>
            <w:tcW w:w="160" w:type="dxa"/>
            <w:tcBorders/>
            <w:shd w:fill="CCEEFF" w:val="clear"/>
            <w:tcMar>
              <w:bottom w:w="0" w:type="dxa"/>
            </w:tcMar>
            <w:vAlign w:val="center"/>
          </w:tcPr>
          <w:p>
            <w:pPr>
              <w:pStyle w:val="TableContents"/>
              <w:bidi w:val="0"/>
              <w:spacing w:before="0" w:after="283"/>
              <w:jc w:val="left"/>
              <w:rPr>
                <w:b/>
              </w:rPr>
            </w:pPr>
            <w:r>
              <w:rPr>
                <w:b/>
              </w:rPr>
              <w:t>)</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b/>
              </w:rPr>
            </w:pPr>
            <w:r>
              <w:rPr>
                <w:b/>
              </w:rPr>
              <w:t>(1,385</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8" w:type="dxa"/>
            <w:tcBorders/>
            <w:shd w:fill="CCEEFF" w:val="clear"/>
            <w:tcMar>
              <w:bottom w:w="0" w:type="dxa"/>
            </w:tcMar>
            <w:vAlign w:val="center"/>
          </w:tcPr>
          <w:p>
            <w:pPr>
              <w:pStyle w:val="TableContents"/>
              <w:bidi w:val="0"/>
              <w:spacing w:before="0" w:after="283"/>
              <w:jc w:val="right"/>
              <w:rPr/>
            </w:pPr>
            <w:r>
              <w:rPr/>
              <w:t>(8,372</w:t>
            </w:r>
          </w:p>
        </w:tc>
        <w:tc>
          <w:tcPr>
            <w:tcW w:w="172"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670" w:type="dxa"/>
            <w:tcBorders/>
            <w:shd w:fill="CCEEFF" w:val="clear"/>
            <w:tcMar>
              <w:bottom w:w="0" w:type="dxa"/>
            </w:tcMar>
            <w:vAlign w:val="center"/>
          </w:tcPr>
          <w:p>
            <w:pPr>
              <w:pStyle w:val="TableContents"/>
              <w:bidi w:val="0"/>
              <w:spacing w:before="0" w:after="283"/>
              <w:jc w:val="right"/>
              <w:rPr/>
            </w:pPr>
            <w:r>
              <w:rPr/>
              <w:t>(544</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605" w:type="dxa"/>
            <w:tcBorders>
              <w:bottom w:val="single" w:sz="8" w:space="0" w:color="000000"/>
            </w:tcBorders>
            <w:vAlign w:val="center"/>
          </w:tcPr>
          <w:p>
            <w:pPr>
              <w:pStyle w:val="TableContents"/>
              <w:bidi w:val="0"/>
              <w:spacing w:before="0" w:after="283"/>
              <w:jc w:val="left"/>
              <w:rPr/>
            </w:pPr>
            <w:r>
              <w:rPr/>
              <w:t>Long-term debt</w:t>
            </w:r>
          </w:p>
        </w:tc>
        <w:tc>
          <w:tcPr>
            <w:tcW w:w="90" w:type="dxa"/>
            <w:tcBorders>
              <w:bottom w:val="single" w:sz="8" w:space="0" w:color="000000"/>
            </w:tcBorders>
            <w:vAlign w:val="center"/>
          </w:tcPr>
          <w:p>
            <w:pPr>
              <w:pStyle w:val="TableContents"/>
              <w:bidi w:val="0"/>
              <w:spacing w:before="0" w:after="283"/>
              <w:jc w:val="left"/>
              <w:rPr/>
            </w:pPr>
            <w:r>
              <w:rPr/>
              <w:t> </w:t>
            </w:r>
          </w:p>
        </w:tc>
        <w:tc>
          <w:tcPr>
            <w:tcW w:w="115" w:type="dxa"/>
            <w:tcBorders>
              <w:bottom w:val="single" w:sz="8" w:space="0" w:color="000000"/>
            </w:tcBorders>
            <w:vAlign w:val="center"/>
          </w:tcPr>
          <w:p>
            <w:pPr>
              <w:pStyle w:val="TableContents"/>
              <w:bidi w:val="0"/>
              <w:spacing w:before="0" w:after="283"/>
              <w:jc w:val="left"/>
              <w:rPr/>
            </w:pPr>
            <w:r>
              <w:rPr/>
              <w:t> </w:t>
            </w:r>
          </w:p>
        </w:tc>
        <w:tc>
          <w:tcPr>
            <w:tcW w:w="851" w:type="dxa"/>
            <w:tcBorders>
              <w:bottom w:val="single" w:sz="8" w:space="0" w:color="000000"/>
            </w:tcBorders>
            <w:vAlign w:val="center"/>
          </w:tcPr>
          <w:p>
            <w:pPr>
              <w:pStyle w:val="TableContents"/>
              <w:bidi w:val="0"/>
              <w:spacing w:before="0" w:after="283"/>
              <w:jc w:val="right"/>
              <w:rPr>
                <w:b/>
              </w:rPr>
            </w:pPr>
            <w:r>
              <w:rPr>
                <w:b/>
              </w:rPr>
              <w:t>(1,576</w:t>
            </w:r>
          </w:p>
        </w:tc>
        <w:tc>
          <w:tcPr>
            <w:tcW w:w="160" w:type="dxa"/>
            <w:tcBorders>
              <w:bottom w:val="single" w:sz="8" w:space="0" w:color="000000"/>
            </w:tcBorders>
            <w:vAlign w:val="center"/>
          </w:tcPr>
          <w:p>
            <w:pPr>
              <w:pStyle w:val="TableContents"/>
              <w:bidi w:val="0"/>
              <w:spacing w:before="0" w:after="283"/>
              <w:jc w:val="left"/>
              <w:rPr>
                <w:b/>
              </w:rPr>
            </w:pPr>
            <w:r>
              <w:rPr>
                <w:b/>
              </w:rPr>
              <w:t>)</w:t>
            </w:r>
          </w:p>
        </w:tc>
        <w:tc>
          <w:tcPr>
            <w:tcW w:w="115" w:type="dxa"/>
            <w:tcBorders>
              <w:bottom w:val="single" w:sz="8" w:space="0" w:color="000000"/>
            </w:tcBorders>
            <w:vAlign w:val="center"/>
          </w:tcPr>
          <w:p>
            <w:pPr>
              <w:pStyle w:val="TableContents"/>
              <w:bidi w:val="0"/>
              <w:spacing w:before="0" w:after="283"/>
              <w:jc w:val="left"/>
              <w:rPr/>
            </w:pPr>
            <w:r>
              <w:rPr/>
              <w:t> </w:t>
            </w:r>
          </w:p>
        </w:tc>
        <w:tc>
          <w:tcPr>
            <w:tcW w:w="115" w:type="dxa"/>
            <w:tcBorders>
              <w:bottom w:val="single" w:sz="8" w:space="0" w:color="000000"/>
            </w:tcBorders>
            <w:vAlign w:val="center"/>
          </w:tcPr>
          <w:p>
            <w:pPr>
              <w:pStyle w:val="TableContents"/>
              <w:bidi w:val="0"/>
              <w:spacing w:before="0" w:after="283"/>
              <w:jc w:val="left"/>
              <w:rPr/>
            </w:pPr>
            <w:r>
              <w:rPr/>
              <w:t> </w:t>
            </w:r>
          </w:p>
        </w:tc>
        <w:tc>
          <w:tcPr>
            <w:tcW w:w="851" w:type="dxa"/>
            <w:tcBorders>
              <w:bottom w:val="single" w:sz="8" w:space="0" w:color="000000"/>
            </w:tcBorders>
            <w:vAlign w:val="center"/>
          </w:tcPr>
          <w:p>
            <w:pPr>
              <w:pStyle w:val="TableContents"/>
              <w:bidi w:val="0"/>
              <w:spacing w:before="0" w:after="0"/>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4" w:type="dxa"/>
            <w:tcBorders>
              <w:bottom w:val="single" w:sz="8" w:space="0" w:color="000000"/>
            </w:tcBorders>
            <w:vAlign w:val="center"/>
          </w:tcPr>
          <w:p>
            <w:pPr>
              <w:pStyle w:val="TableContents"/>
              <w:bidi w:val="0"/>
              <w:spacing w:before="0" w:after="283"/>
              <w:jc w:val="left"/>
              <w:rPr/>
            </w:pPr>
            <w:r>
              <w:rPr/>
              <w:t> </w:t>
            </w:r>
          </w:p>
        </w:tc>
        <w:tc>
          <w:tcPr>
            <w:tcW w:w="918" w:type="dxa"/>
            <w:tcBorders>
              <w:bottom w:val="single" w:sz="8" w:space="0" w:color="000000"/>
            </w:tcBorders>
            <w:vAlign w:val="center"/>
          </w:tcPr>
          <w:p>
            <w:pPr>
              <w:pStyle w:val="TableContents"/>
              <w:bidi w:val="0"/>
              <w:spacing w:before="0" w:after="0"/>
              <w:jc w:val="right"/>
              <w:rPr/>
            </w:pPr>
            <w:r>
              <w:rPr/>
              <w:t>—</w:t>
            </w:r>
          </w:p>
        </w:tc>
        <w:tc>
          <w:tcPr>
            <w:tcW w:w="172" w:type="dxa"/>
            <w:tcBorders>
              <w:bottom w:val="single" w:sz="8" w:space="0" w:color="000000"/>
            </w:tcBorders>
            <w:vAlign w:val="center"/>
          </w:tcPr>
          <w:p>
            <w:pPr>
              <w:pStyle w:val="TableContents"/>
              <w:bidi w:val="0"/>
              <w:spacing w:before="0" w:after="283"/>
              <w:jc w:val="left"/>
              <w:rPr/>
            </w:pPr>
            <w:r>
              <w:rPr/>
              <w:t> </w:t>
            </w:r>
          </w:p>
        </w:tc>
        <w:tc>
          <w:tcPr>
            <w:tcW w:w="124" w:type="dxa"/>
            <w:tcBorders>
              <w:bottom w:val="single" w:sz="8" w:space="0" w:color="000000"/>
            </w:tcBorders>
            <w:vAlign w:val="center"/>
          </w:tcPr>
          <w:p>
            <w:pPr>
              <w:pStyle w:val="TableContents"/>
              <w:bidi w:val="0"/>
              <w:spacing w:before="0" w:after="283"/>
              <w:jc w:val="left"/>
              <w:rPr/>
            </w:pPr>
            <w:r>
              <w:rPr/>
              <w:t> </w:t>
            </w:r>
          </w:p>
        </w:tc>
        <w:tc>
          <w:tcPr>
            <w:tcW w:w="124" w:type="dxa"/>
            <w:tcBorders>
              <w:bottom w:val="single" w:sz="8" w:space="0" w:color="000000"/>
            </w:tcBorders>
            <w:vAlign w:val="center"/>
          </w:tcPr>
          <w:p>
            <w:pPr>
              <w:pStyle w:val="TableContents"/>
              <w:bidi w:val="0"/>
              <w:spacing w:before="0" w:after="283"/>
              <w:jc w:val="left"/>
              <w:rPr/>
            </w:pPr>
            <w:r>
              <w:rPr/>
              <w:t> </w:t>
            </w:r>
          </w:p>
        </w:tc>
        <w:tc>
          <w:tcPr>
            <w:tcW w:w="670" w:type="dxa"/>
            <w:tcBorders>
              <w:bottom w:val="single" w:sz="8" w:space="0" w:color="000000"/>
            </w:tcBorders>
            <w:vAlign w:val="center"/>
          </w:tcPr>
          <w:p>
            <w:pPr>
              <w:pStyle w:val="TableContents"/>
              <w:bidi w:val="0"/>
              <w:spacing w:before="0" w:after="0"/>
              <w:jc w:val="right"/>
              <w:rPr/>
            </w:pPr>
            <w:r>
              <w:rPr/>
              <w:t>—</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360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vAlign w:val="center"/>
          </w:tcPr>
          <w:p>
            <w:pPr>
              <w:pStyle w:val="TableContents"/>
              <w:bidi w:val="0"/>
              <w:spacing w:before="0" w:after="283"/>
              <w:jc w:val="left"/>
              <w:rPr/>
            </w:pPr>
            <w:r>
              <w:rPr/>
              <w:t> </w:t>
            </w:r>
          </w:p>
        </w:tc>
        <w:tc>
          <w:tcPr>
            <w:tcW w:w="851" w:type="dxa"/>
            <w:tcBorders>
              <w:bottom w:val="single" w:sz="12" w:space="0" w:color="000000"/>
            </w:tcBorders>
            <w:shd w:fill="CCEEFF" w:val="clear"/>
            <w:vAlign w:val="center"/>
          </w:tcPr>
          <w:p>
            <w:pPr>
              <w:pStyle w:val="TableContents"/>
              <w:bidi w:val="0"/>
              <w:spacing w:before="0" w:after="283"/>
              <w:jc w:val="right"/>
              <w:rPr>
                <w:b/>
              </w:rPr>
            </w:pPr>
            <w:r>
              <w:rPr>
                <w:b/>
              </w:rPr>
              <w:t>(296</w:t>
            </w:r>
          </w:p>
        </w:tc>
        <w:tc>
          <w:tcPr>
            <w:tcW w:w="16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15" w:type="dxa"/>
            <w:tcBorders>
              <w:bottom w:val="single" w:sz="12" w:space="0" w:color="000000"/>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vAlign w:val="center"/>
          </w:tcPr>
          <w:p>
            <w:pPr>
              <w:pStyle w:val="TableContents"/>
              <w:bidi w:val="0"/>
              <w:spacing w:before="0" w:after="283"/>
              <w:jc w:val="left"/>
              <w:rPr/>
            </w:pPr>
            <w:r>
              <w:rPr/>
              <w:t> </w:t>
            </w:r>
          </w:p>
        </w:tc>
        <w:tc>
          <w:tcPr>
            <w:tcW w:w="851" w:type="dxa"/>
            <w:tcBorders>
              <w:bottom w:val="single" w:sz="12" w:space="0" w:color="000000"/>
            </w:tcBorders>
            <w:shd w:fill="CCEEFF" w:val="clear"/>
            <w:vAlign w:val="center"/>
          </w:tcPr>
          <w:p>
            <w:pPr>
              <w:pStyle w:val="TableContents"/>
              <w:bidi w:val="0"/>
              <w:spacing w:before="0" w:after="283"/>
              <w:jc w:val="right"/>
              <w:rPr>
                <w:b/>
              </w:rPr>
            </w:pPr>
            <w:r>
              <w:rPr>
                <w:b/>
              </w:rPr>
              <w:t>592</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vAlign w:val="center"/>
          </w:tcPr>
          <w:p>
            <w:pPr>
              <w:pStyle w:val="TableContents"/>
              <w:bidi w:val="0"/>
              <w:spacing w:before="0" w:after="283"/>
              <w:jc w:val="left"/>
              <w:rPr/>
            </w:pPr>
            <w:r>
              <w:rPr/>
              <w:t> </w:t>
            </w:r>
          </w:p>
        </w:tc>
        <w:tc>
          <w:tcPr>
            <w:tcW w:w="918" w:type="dxa"/>
            <w:tcBorders>
              <w:bottom w:val="single" w:sz="12" w:space="0" w:color="000000"/>
            </w:tcBorders>
            <w:shd w:fill="CCEEFF" w:val="clear"/>
            <w:vAlign w:val="center"/>
          </w:tcPr>
          <w:p>
            <w:pPr>
              <w:pStyle w:val="TableContents"/>
              <w:bidi w:val="0"/>
              <w:spacing w:before="0" w:after="283"/>
              <w:jc w:val="right"/>
              <w:rPr/>
            </w:pPr>
            <w:r>
              <w:rPr/>
              <w:t>1,246</w:t>
            </w:r>
          </w:p>
        </w:tc>
        <w:tc>
          <w:tcPr>
            <w:tcW w:w="172" w:type="dxa"/>
            <w:tcBorders>
              <w:bottom w:val="single" w:sz="12" w:space="0" w:color="000000"/>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vAlign w:val="center"/>
          </w:tcPr>
          <w:p>
            <w:pPr>
              <w:pStyle w:val="TableContents"/>
              <w:bidi w:val="0"/>
              <w:spacing w:before="0" w:after="283"/>
              <w:jc w:val="left"/>
              <w:rPr/>
            </w:pPr>
            <w:r>
              <w:rPr/>
              <w:t> </w:t>
            </w:r>
          </w:p>
        </w:tc>
        <w:tc>
          <w:tcPr>
            <w:tcW w:w="670" w:type="dxa"/>
            <w:tcBorders>
              <w:bottom w:val="single" w:sz="12" w:space="0" w:color="000000"/>
            </w:tcBorders>
            <w:shd w:fill="CCEEFF" w:val="clear"/>
            <w:vAlign w:val="center"/>
          </w:tcPr>
          <w:p>
            <w:pPr>
              <w:pStyle w:val="TableContents"/>
              <w:bidi w:val="0"/>
              <w:spacing w:before="0" w:after="283"/>
              <w:jc w:val="right"/>
              <w:rPr/>
            </w:pPr>
            <w:r>
              <w:rPr/>
              <w:t>(361</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66 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68"/>
        <w:gridCol w:w="1175"/>
        <w:gridCol w:w="4550"/>
      </w:tblGrid>
      <w:tr>
        <w:trPr/>
        <w:tc>
          <w:tcPr>
            <w:tcW w:w="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b/>
              </w:rPr>
            </w:pPr>
            <w:r>
              <w:rPr>
                <w:b/>
              </w:rPr>
              <w:t xml:space="preserve">NOTE 23: </w:t>
            </w:r>
          </w:p>
        </w:tc>
        <w:tc>
          <w:tcPr>
            <w:tcW w:w="4550" w:type="dxa"/>
            <w:tcBorders/>
            <w:vAlign w:val="center"/>
          </w:tcPr>
          <w:p>
            <w:pPr>
              <w:pStyle w:val="TableContents"/>
              <w:bidi w:val="0"/>
              <w:spacing w:before="0" w:after="283"/>
              <w:jc w:val="both"/>
              <w:rPr/>
            </w:pPr>
            <w:r>
              <w:rPr>
                <w:b/>
              </w:rPr>
              <w:t>FINANCIAL INSTRUMENTS</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610"/>
        <w:gridCol w:w="9426"/>
      </w:tblGrid>
      <w:tr>
        <w:trPr/>
        <w:tc>
          <w:tcPr>
            <w:tcW w:w="16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b.</w:t>
            </w:r>
          </w:p>
        </w:tc>
        <w:tc>
          <w:tcPr>
            <w:tcW w:w="9426" w:type="dxa"/>
            <w:tcBorders/>
            <w:vAlign w:val="center"/>
          </w:tcPr>
          <w:p>
            <w:pPr>
              <w:pStyle w:val="TableContents"/>
              <w:bidi w:val="0"/>
              <w:spacing w:before="0" w:after="283"/>
              <w:jc w:val="both"/>
              <w:rPr/>
            </w:pPr>
            <w:r>
              <w:rPr>
                <w:b/>
              </w:rPr>
              <w:t xml:space="preserve">Risk management policy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and counterparty risk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an unexpected loss if a third party fails to meet its contractual obligations, including cash and cash equivalents. The risk regarding cash is mitigated by holding the majority of the Company’s cash with a Canadian chartered bank.</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counterparty risk through the significant deposits it places with suppliers of Mining hardware to secure orders and delivery dates as well as deposits it places with construction companies and suppliers of electrical components and construction materials. The risk of a supplier failing to meet its contractual obligations may result in late deliveries or long-term deposits and equipment and construction prepayments that are not realized. The Company attempts to mitigate this risk by procuring Mining hardware from larger, more established suppliers and those with whom the Company has existing relationships and knowledge of their reputation in the market as well as by insuring deposits placed for construction work and materials.</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credit risk regarding trade receivables is derived mainly from sales to Volta’s third-party customers. The Company performs ongoing credit evaluations of its customers. The Company maintains an allowance for expected credit losses to provide for the estimated amount of doubtful of collection. The allowance for expected credit losses is based on Management’s assessment of a customer’s credit quality as well as subjective factors and trends, including the aging of receivable balances.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 regarding the Refundable Hosting Deposits is derived from the deposits made to a vendor for the Company’s hosting agreements. The Company performs ongoing credit evaluations of the vendor. The Company maintains an allowance for expected credit losses to provide for the estimated amount of doubtful collection. The allowance for expected credit losses is based on Management’s assessment of the vendor’s credit rating as well as subjective factors and trends.</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 regarding the security deposits for energy is derived from deposits made to a hydroelectricity crown corporation in Paraguay. The Company determined that the credit risk is minimal because the security deposits are made to a governmental related agency in Paraguay.</w:t>
      </w:r>
    </w:p>
    <w:p>
      <w:pPr>
        <w:pStyle w:val="TextBody"/>
        <w:bidi w:val="0"/>
        <w:spacing w:before="0" w:after="0"/>
        <w:ind w:left="23" w:right="0" w:hanging="6"/>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67 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 w:right="0" w:hanging="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23" w:right="0" w:hanging="6"/>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68"/>
        <w:gridCol w:w="1115"/>
        <w:gridCol w:w="455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23:</w:t>
            </w:r>
          </w:p>
        </w:tc>
        <w:tc>
          <w:tcPr>
            <w:tcW w:w="4550" w:type="dxa"/>
            <w:tcBorders/>
            <w:vAlign w:val="center"/>
          </w:tcPr>
          <w:p>
            <w:pPr>
              <w:pStyle w:val="TableContents"/>
              <w:bidi w:val="0"/>
              <w:spacing w:before="0" w:after="283"/>
              <w:jc w:val="both"/>
              <w:rPr/>
            </w:pPr>
            <w:r>
              <w:rPr>
                <w:b/>
              </w:rPr>
              <w:t xml:space="preserve">FINANCIAL INSTRUMENTS </w:t>
            </w:r>
            <w:r>
              <w:rPr/>
              <w:t>(Continued)</w:t>
            </w:r>
          </w:p>
        </w:tc>
      </w:tr>
    </w:tbl>
    <w:p>
      <w:pPr>
        <w:pStyle w:val="TextBody"/>
        <w:bidi w:val="0"/>
        <w:spacing w:before="0" w:after="0"/>
        <w:ind w:left="23" w:right="0" w:hanging="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610"/>
        <w:gridCol w:w="9426"/>
      </w:tblGrid>
      <w:tr>
        <w:trPr/>
        <w:tc>
          <w:tcPr>
            <w:tcW w:w="16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b.</w:t>
            </w:r>
          </w:p>
        </w:tc>
        <w:tc>
          <w:tcPr>
            <w:tcW w:w="9426" w:type="dxa"/>
            <w:tcBorders/>
            <w:vAlign w:val="center"/>
          </w:tcPr>
          <w:p>
            <w:pPr>
              <w:pStyle w:val="TableContents"/>
              <w:bidi w:val="0"/>
              <w:spacing w:before="0" w:after="283"/>
              <w:jc w:val="both"/>
              <w:rPr/>
            </w:pPr>
            <w:r>
              <w:rPr>
                <w:b/>
              </w:rPr>
              <w:t xml:space="preserve">Risk management policy </w:t>
            </w:r>
            <w:r>
              <w:rPr/>
              <w:t>(Continued)</w:t>
            </w:r>
          </w:p>
        </w:tc>
      </w:tr>
    </w:tbl>
    <w:p>
      <w:pPr>
        <w:pStyle w:val="TextBody"/>
        <w:bidi w:val="0"/>
        <w:spacing w:before="0" w:after="0"/>
        <w:ind w:left="11"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Liquidity risk is a risk that the Company will not be able to pay its financial obligations when they are due. The Company’s policy is to monitor its cash balances and planned cash flows generated from operations to ensure that it maintains sufficient liquidity in order to pay its projected financial liabilities. Refer to Note 2 for more details about the Company’s liquidity.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undiscounted contractual maturities of financial liabilities and lease liabilities with estimated future interest payments as of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3746"/>
        <w:gridCol w:w="90"/>
        <w:gridCol w:w="90"/>
        <w:gridCol w:w="710"/>
        <w:gridCol w:w="90"/>
        <w:gridCol w:w="90"/>
        <w:gridCol w:w="90"/>
        <w:gridCol w:w="590"/>
        <w:gridCol w:w="90"/>
        <w:gridCol w:w="90"/>
        <w:gridCol w:w="90"/>
        <w:gridCol w:w="590"/>
        <w:gridCol w:w="90"/>
        <w:gridCol w:w="90"/>
        <w:gridCol w:w="90"/>
        <w:gridCol w:w="590"/>
        <w:gridCol w:w="90"/>
        <w:gridCol w:w="90"/>
        <w:gridCol w:w="190"/>
        <w:gridCol w:w="1503"/>
        <w:gridCol w:w="90"/>
        <w:gridCol w:w="90"/>
        <w:gridCol w:w="90"/>
        <w:gridCol w:w="710"/>
        <w:gridCol w:w="136"/>
      </w:tblGrid>
      <w:tr>
        <w:trPr/>
        <w:tc>
          <w:tcPr>
            <w:tcW w:w="3746" w:type="dxa"/>
            <w:tcBorders>
              <w:top w:val="single" w:sz="8" w:space="0" w:color="000000"/>
              <w:bottom w:val="single" w:sz="8" w:space="0" w:color="000000"/>
            </w:tcBorders>
            <w:vAlign w:val="center"/>
          </w:tcPr>
          <w:p>
            <w:pPr>
              <w:pStyle w:val="TableContents"/>
              <w:bidi w:val="0"/>
              <w:spacing w:before="0" w:after="283"/>
              <w:ind w:left="0" w:right="0" w:hanging="180"/>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800" w:type="dxa"/>
            <w:gridSpan w:val="2"/>
            <w:tcBorders>
              <w:top w:val="single" w:sz="8" w:space="0" w:color="000000"/>
              <w:bottom w:val="single" w:sz="8" w:space="0" w:color="000000"/>
            </w:tcBorders>
            <w:vAlign w:val="center"/>
          </w:tcPr>
          <w:p>
            <w:pPr>
              <w:pStyle w:val="TableContents"/>
              <w:bidi w:val="0"/>
              <w:spacing w:before="0" w:after="283"/>
              <w:jc w:val="right"/>
              <w:rPr/>
            </w:pPr>
            <w:r>
              <w:rPr/>
              <w:t>2025</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680" w:type="dxa"/>
            <w:gridSpan w:val="2"/>
            <w:tcBorders>
              <w:top w:val="single" w:sz="8" w:space="0" w:color="000000"/>
              <w:bottom w:val="single" w:sz="8" w:space="0" w:color="000000"/>
            </w:tcBorders>
            <w:vAlign w:val="center"/>
          </w:tcPr>
          <w:p>
            <w:pPr>
              <w:pStyle w:val="TableContents"/>
              <w:bidi w:val="0"/>
              <w:spacing w:before="0" w:after="283"/>
              <w:jc w:val="right"/>
              <w:rPr/>
            </w:pPr>
            <w:r>
              <w:rPr/>
              <w:t>2026</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680" w:type="dxa"/>
            <w:gridSpan w:val="2"/>
            <w:tcBorders>
              <w:top w:val="single" w:sz="8" w:space="0" w:color="000000"/>
              <w:bottom w:val="single" w:sz="8" w:space="0" w:color="000000"/>
            </w:tcBorders>
            <w:vAlign w:val="center"/>
          </w:tcPr>
          <w:p>
            <w:pPr>
              <w:pStyle w:val="TableContents"/>
              <w:bidi w:val="0"/>
              <w:spacing w:before="0" w:after="283"/>
              <w:jc w:val="right"/>
              <w:rPr/>
            </w:pPr>
            <w:r>
              <w:rPr/>
              <w:t>2027</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680" w:type="dxa"/>
            <w:gridSpan w:val="2"/>
            <w:tcBorders>
              <w:top w:val="single" w:sz="8" w:space="0" w:color="000000"/>
              <w:bottom w:val="single" w:sz="8" w:space="0" w:color="000000"/>
            </w:tcBorders>
            <w:vAlign w:val="center"/>
          </w:tcPr>
          <w:p>
            <w:pPr>
              <w:pStyle w:val="TableContents"/>
              <w:bidi w:val="0"/>
              <w:spacing w:before="0" w:after="283"/>
              <w:jc w:val="right"/>
              <w:rPr/>
            </w:pPr>
            <w:r>
              <w:rPr/>
              <w:t>2028</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693" w:type="dxa"/>
            <w:gridSpan w:val="2"/>
            <w:tcBorders>
              <w:top w:val="single" w:sz="8" w:space="0" w:color="000000"/>
              <w:bottom w:val="single" w:sz="8" w:space="0" w:color="000000"/>
            </w:tcBorders>
            <w:vAlign w:val="center"/>
          </w:tcPr>
          <w:p>
            <w:pPr>
              <w:pStyle w:val="TableContents"/>
              <w:bidi w:val="0"/>
              <w:spacing w:before="0" w:after="283"/>
              <w:jc w:val="right"/>
              <w:rPr/>
            </w:pPr>
            <w:r>
              <w:rPr/>
              <w:t>2029 and thereafter</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800" w:type="dxa"/>
            <w:gridSpan w:val="2"/>
            <w:tcBorders>
              <w:top w:val="single" w:sz="8" w:space="0" w:color="000000"/>
              <w:bottom w:val="single" w:sz="8" w:space="0" w:color="000000"/>
            </w:tcBorders>
            <w:vAlign w:val="center"/>
          </w:tcPr>
          <w:p>
            <w:pPr>
              <w:pStyle w:val="TableContents"/>
              <w:bidi w:val="0"/>
              <w:spacing w:before="0" w:after="283"/>
              <w:jc w:val="right"/>
              <w:rPr/>
            </w:pPr>
            <w:r>
              <w:rPr/>
              <w:t>Total</w:t>
            </w:r>
          </w:p>
        </w:tc>
        <w:tc>
          <w:tcPr>
            <w:tcW w:w="136" w:type="dxa"/>
            <w:tcBorders>
              <w:top w:val="single" w:sz="8" w:space="0" w:color="000000"/>
              <w:bottom w:val="single" w:sz="8" w:space="0" w:color="000000"/>
            </w:tcBorders>
            <w:vAlign w:val="center"/>
          </w:tcPr>
          <w:p>
            <w:pPr>
              <w:pStyle w:val="TableContents"/>
              <w:bidi w:val="0"/>
              <w:spacing w:before="0" w:after="283"/>
              <w:ind w:left="0" w:right="0" w:hanging="180"/>
              <w:jc w:val="left"/>
              <w:rPr/>
            </w:pPr>
            <w:r>
              <w:rPr/>
              <w:t> </w:t>
            </w:r>
          </w:p>
        </w:tc>
      </w:tr>
      <w:tr>
        <w:trPr/>
        <w:tc>
          <w:tcPr>
            <w:tcW w:w="3746" w:type="dxa"/>
            <w:tcBorders/>
            <w:shd w:fill="CCEEFF" w:val="clear"/>
            <w:tcMar>
              <w:top w:w="0" w:type="dxa"/>
              <w:bottom w:w="0" w:type="dxa"/>
            </w:tcMar>
            <w:vAlign w:val="center"/>
          </w:tcPr>
          <w:p>
            <w:pPr>
              <w:pStyle w:val="TableContents"/>
              <w:bidi w:val="0"/>
              <w:spacing w:before="0" w:after="283"/>
              <w:jc w:val="left"/>
              <w:rPr/>
            </w:pPr>
            <w:r>
              <w:rPr/>
              <w:t>Trade accounts payable and accrued liabilities</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710" w:type="dxa"/>
            <w:tcBorders/>
            <w:shd w:fill="CCEEFF" w:val="clear"/>
            <w:tcMar>
              <w:top w:w="0" w:type="dxa"/>
              <w:bottom w:w="0" w:type="dxa"/>
            </w:tcMar>
            <w:vAlign w:val="center"/>
          </w:tcPr>
          <w:p>
            <w:pPr>
              <w:pStyle w:val="TableContents"/>
              <w:bidi w:val="0"/>
              <w:spacing w:before="0" w:after="283"/>
              <w:jc w:val="right"/>
              <w:rPr/>
            </w:pPr>
            <w:r>
              <w:rPr/>
              <w:t>22,158</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590" w:type="dxa"/>
            <w:tcBorders/>
            <w:shd w:fill="CCEEFF" w:val="clear"/>
            <w:tcMar>
              <w:top w:w="0" w:type="dxa"/>
              <w:bottom w:w="0" w:type="dxa"/>
            </w:tcMar>
            <w:vAlign w:val="center"/>
          </w:tcPr>
          <w:p>
            <w:pPr>
              <w:pStyle w:val="TableContents"/>
              <w:bidi w:val="0"/>
              <w:spacing w:before="0" w:after="0"/>
              <w:jc w:val="righ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590" w:type="dxa"/>
            <w:tcBorders/>
            <w:shd w:fill="CCEEFF" w:val="clear"/>
            <w:tcMar>
              <w:top w:w="0" w:type="dxa"/>
              <w:bottom w:w="0" w:type="dxa"/>
            </w:tcMar>
            <w:vAlign w:val="center"/>
          </w:tcPr>
          <w:p>
            <w:pPr>
              <w:pStyle w:val="TableContents"/>
              <w:bidi w:val="0"/>
              <w:spacing w:before="0" w:after="0"/>
              <w:jc w:val="righ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590" w:type="dxa"/>
            <w:tcBorders/>
            <w:shd w:fill="CCEEFF" w:val="clear"/>
            <w:tcMar>
              <w:top w:w="0" w:type="dxa"/>
              <w:bottom w:w="0" w:type="dxa"/>
            </w:tcMar>
            <w:vAlign w:val="center"/>
          </w:tcPr>
          <w:p>
            <w:pPr>
              <w:pStyle w:val="TableContents"/>
              <w:bidi w:val="0"/>
              <w:spacing w:before="0" w:after="0"/>
              <w:jc w:val="righ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90" w:type="dxa"/>
            <w:tcBorders/>
            <w:shd w:fill="CCEEFF" w:val="clear"/>
            <w:tcMar>
              <w:top w:w="0" w:type="dxa"/>
              <w:bottom w:w="0" w:type="dxa"/>
            </w:tcMar>
            <w:vAlign w:val="center"/>
          </w:tcPr>
          <w:p>
            <w:pPr>
              <w:pStyle w:val="TableContents"/>
              <w:bidi w:val="0"/>
              <w:spacing w:before="0" w:after="283"/>
              <w:jc w:val="left"/>
              <w:rPr/>
            </w:pPr>
            <w:r>
              <w:rPr/>
              <w:t> </w:t>
            </w:r>
          </w:p>
        </w:tc>
        <w:tc>
          <w:tcPr>
            <w:tcW w:w="1503" w:type="dxa"/>
            <w:tcBorders/>
            <w:shd w:fill="CCEEFF" w:val="clear"/>
            <w:tcMar>
              <w:top w:w="0" w:type="dxa"/>
              <w:bottom w:w="0" w:type="dxa"/>
            </w:tcMar>
            <w:vAlign w:val="center"/>
          </w:tcPr>
          <w:p>
            <w:pPr>
              <w:pStyle w:val="TableContents"/>
              <w:bidi w:val="0"/>
              <w:spacing w:before="0" w:after="0"/>
              <w:jc w:val="righ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710" w:type="dxa"/>
            <w:tcBorders/>
            <w:shd w:fill="CCEEFF" w:val="clear"/>
            <w:tcMar>
              <w:top w:w="0" w:type="dxa"/>
              <w:bottom w:w="0" w:type="dxa"/>
            </w:tcMar>
            <w:vAlign w:val="center"/>
          </w:tcPr>
          <w:p>
            <w:pPr>
              <w:pStyle w:val="TableContents"/>
              <w:bidi w:val="0"/>
              <w:spacing w:before="0" w:after="283"/>
              <w:jc w:val="right"/>
              <w:rPr/>
            </w:pPr>
            <w:r>
              <w:rPr/>
              <w:t>22,158</w:t>
            </w:r>
          </w:p>
        </w:tc>
        <w:tc>
          <w:tcPr>
            <w:tcW w:w="136" w:type="dxa"/>
            <w:tcBorders/>
            <w:shd w:fill="CCEEFF" w:val="clear"/>
            <w:tcMar>
              <w:top w:w="0" w:type="dxa"/>
              <w:bottom w:w="0" w:type="dxa"/>
            </w:tcMar>
            <w:vAlign w:val="center"/>
          </w:tcPr>
          <w:p>
            <w:pPr>
              <w:pStyle w:val="TableContents"/>
              <w:bidi w:val="0"/>
              <w:spacing w:before="0" w:after="283"/>
              <w:ind w:left="0" w:right="0" w:hanging="180"/>
              <w:jc w:val="left"/>
              <w:rPr/>
            </w:pPr>
            <w:r>
              <w:rPr/>
              <w:t> </w:t>
            </w:r>
          </w:p>
        </w:tc>
      </w:tr>
      <w:tr>
        <w:trPr/>
        <w:tc>
          <w:tcPr>
            <w:tcW w:w="3746" w:type="dxa"/>
            <w:tcBorders/>
            <w:tcMar>
              <w:top w:w="0" w:type="dxa"/>
              <w:bottom w:w="0" w:type="dxa"/>
            </w:tcMar>
            <w:vAlign w:val="center"/>
          </w:tcPr>
          <w:p>
            <w:pPr>
              <w:pStyle w:val="TableContents"/>
              <w:bidi w:val="0"/>
              <w:spacing w:before="0" w:after="283"/>
              <w:jc w:val="left"/>
              <w:rPr/>
            </w:pPr>
            <w:r>
              <w:rPr/>
              <w:t>Long-term debt</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710" w:type="dxa"/>
            <w:tcBorders/>
            <w:tcMar>
              <w:top w:w="0" w:type="dxa"/>
              <w:bottom w:w="0" w:type="dxa"/>
            </w:tcMar>
            <w:vAlign w:val="center"/>
          </w:tcPr>
          <w:p>
            <w:pPr>
              <w:pStyle w:val="TableContents"/>
              <w:bidi w:val="0"/>
              <w:spacing w:before="0" w:after="283"/>
              <w:jc w:val="right"/>
              <w:rPr/>
            </w:pPr>
            <w:r>
              <w:rPr/>
              <w:t>156</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590" w:type="dxa"/>
            <w:tcBorders/>
            <w:tcMar>
              <w:top w:w="0" w:type="dxa"/>
              <w:bottom w:w="0" w:type="dxa"/>
            </w:tcMar>
            <w:vAlign w:val="center"/>
          </w:tcPr>
          <w:p>
            <w:pPr>
              <w:pStyle w:val="TableContents"/>
              <w:bidi w:val="0"/>
              <w:spacing w:before="0" w:after="283"/>
              <w:jc w:val="right"/>
              <w:rPr/>
            </w:pPr>
            <w:r>
              <w:rPr/>
              <w:t>161</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590" w:type="dxa"/>
            <w:tcBorders/>
            <w:tcMar>
              <w:top w:w="0" w:type="dxa"/>
              <w:bottom w:w="0" w:type="dxa"/>
            </w:tcMar>
            <w:vAlign w:val="center"/>
          </w:tcPr>
          <w:p>
            <w:pPr>
              <w:pStyle w:val="TableContents"/>
              <w:bidi w:val="0"/>
              <w:spacing w:before="0" w:after="283"/>
              <w:jc w:val="right"/>
              <w:rPr/>
            </w:pPr>
            <w:r>
              <w:rPr/>
              <w:t>165</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590" w:type="dxa"/>
            <w:tcBorders/>
            <w:tcMar>
              <w:top w:w="0" w:type="dxa"/>
              <w:bottom w:w="0" w:type="dxa"/>
            </w:tcMar>
            <w:vAlign w:val="center"/>
          </w:tcPr>
          <w:p>
            <w:pPr>
              <w:pStyle w:val="TableContents"/>
              <w:bidi w:val="0"/>
              <w:spacing w:before="0" w:after="283"/>
              <w:jc w:val="right"/>
              <w:rPr/>
            </w:pPr>
            <w:r>
              <w:rPr/>
              <w:t>170</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90" w:type="dxa"/>
            <w:tcBorders/>
            <w:tcMar>
              <w:top w:w="0" w:type="dxa"/>
              <w:bottom w:w="0" w:type="dxa"/>
            </w:tcMar>
            <w:vAlign w:val="center"/>
          </w:tcPr>
          <w:p>
            <w:pPr>
              <w:pStyle w:val="TableContents"/>
              <w:bidi w:val="0"/>
              <w:spacing w:before="0" w:after="283"/>
              <w:jc w:val="left"/>
              <w:rPr/>
            </w:pPr>
            <w:r>
              <w:rPr/>
              <w:t> </w:t>
            </w:r>
          </w:p>
        </w:tc>
        <w:tc>
          <w:tcPr>
            <w:tcW w:w="1503" w:type="dxa"/>
            <w:tcBorders/>
            <w:tcMar>
              <w:top w:w="0" w:type="dxa"/>
              <w:bottom w:w="0" w:type="dxa"/>
            </w:tcMar>
            <w:vAlign w:val="center"/>
          </w:tcPr>
          <w:p>
            <w:pPr>
              <w:pStyle w:val="TableContents"/>
              <w:bidi w:val="0"/>
              <w:spacing w:before="0" w:after="283"/>
              <w:jc w:val="right"/>
              <w:rPr/>
            </w:pPr>
            <w:r>
              <w:rPr/>
              <w:t>2,982</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710" w:type="dxa"/>
            <w:tcBorders/>
            <w:tcMar>
              <w:top w:w="0" w:type="dxa"/>
              <w:bottom w:w="0" w:type="dxa"/>
            </w:tcMar>
            <w:vAlign w:val="center"/>
          </w:tcPr>
          <w:p>
            <w:pPr>
              <w:pStyle w:val="TableContents"/>
              <w:bidi w:val="0"/>
              <w:spacing w:before="0" w:after="283"/>
              <w:jc w:val="right"/>
              <w:rPr/>
            </w:pPr>
            <w:r>
              <w:rPr/>
              <w:t>3,634</w:t>
            </w:r>
          </w:p>
        </w:tc>
        <w:tc>
          <w:tcPr>
            <w:tcW w:w="136" w:type="dxa"/>
            <w:tcBorders/>
            <w:tcMar>
              <w:top w:w="0" w:type="dxa"/>
              <w:bottom w:w="0" w:type="dxa"/>
            </w:tcMar>
            <w:vAlign w:val="center"/>
          </w:tcPr>
          <w:p>
            <w:pPr>
              <w:pStyle w:val="TableContents"/>
              <w:bidi w:val="0"/>
              <w:spacing w:before="0" w:after="283"/>
              <w:ind w:left="0" w:right="0" w:hanging="180"/>
              <w:jc w:val="left"/>
              <w:rPr/>
            </w:pPr>
            <w:r>
              <w:rPr/>
              <w:t> </w:t>
            </w:r>
          </w:p>
        </w:tc>
      </w:tr>
      <w:tr>
        <w:trPr/>
        <w:tc>
          <w:tcPr>
            <w:tcW w:w="3746" w:type="dxa"/>
            <w:tcBorders>
              <w:bottom w:val="single" w:sz="8" w:space="0" w:color="000000"/>
            </w:tcBorders>
            <w:shd w:fill="CCEEFF" w:val="clear"/>
            <w:tcMar>
              <w:top w:w="0" w:type="dxa"/>
            </w:tcMar>
            <w:vAlign w:val="center"/>
          </w:tcPr>
          <w:p>
            <w:pPr>
              <w:pStyle w:val="TableContents"/>
              <w:bidi w:val="0"/>
              <w:spacing w:before="0" w:after="283"/>
              <w:jc w:val="left"/>
              <w:rPr/>
            </w:pPr>
            <w:r>
              <w:rPr/>
              <w:t>Lease liabilities</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top w:w="0" w:type="dxa"/>
            </w:tcMar>
            <w:vAlign w:val="center"/>
          </w:tcPr>
          <w:p>
            <w:pPr>
              <w:pStyle w:val="TableContents"/>
              <w:bidi w:val="0"/>
              <w:spacing w:before="0" w:after="283"/>
              <w:jc w:val="right"/>
              <w:rPr/>
            </w:pPr>
            <w:r>
              <w:rPr/>
              <w:t>3,451</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top w:w="0" w:type="dxa"/>
            </w:tcMar>
            <w:vAlign w:val="center"/>
          </w:tcPr>
          <w:p>
            <w:pPr>
              <w:pStyle w:val="TableContents"/>
              <w:bidi w:val="0"/>
              <w:spacing w:before="0" w:after="283"/>
              <w:jc w:val="right"/>
              <w:rPr/>
            </w:pPr>
            <w:r>
              <w:rPr/>
              <w:t>4,182</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top w:w="0" w:type="dxa"/>
            </w:tcMar>
            <w:vAlign w:val="center"/>
          </w:tcPr>
          <w:p>
            <w:pPr>
              <w:pStyle w:val="TableContents"/>
              <w:bidi w:val="0"/>
              <w:spacing w:before="0" w:after="283"/>
              <w:jc w:val="right"/>
              <w:rPr/>
            </w:pPr>
            <w:r>
              <w:rPr/>
              <w:t>4,309</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top w:w="0" w:type="dxa"/>
            </w:tcMar>
            <w:vAlign w:val="center"/>
          </w:tcPr>
          <w:p>
            <w:pPr>
              <w:pStyle w:val="TableContents"/>
              <w:bidi w:val="0"/>
              <w:spacing w:before="0" w:after="283"/>
              <w:jc w:val="right"/>
              <w:rPr/>
            </w:pPr>
            <w:r>
              <w:rPr/>
              <w:t>3,936</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503" w:type="dxa"/>
            <w:tcBorders>
              <w:bottom w:val="single" w:sz="8" w:space="0" w:color="000000"/>
            </w:tcBorders>
            <w:shd w:fill="CCEEFF" w:val="clear"/>
            <w:tcMar>
              <w:top w:w="0" w:type="dxa"/>
            </w:tcMar>
            <w:vAlign w:val="center"/>
          </w:tcPr>
          <w:p>
            <w:pPr>
              <w:pStyle w:val="TableContents"/>
              <w:bidi w:val="0"/>
              <w:spacing w:before="0" w:after="283"/>
              <w:jc w:val="right"/>
              <w:rPr/>
            </w:pPr>
            <w:r>
              <w:rPr/>
              <w:t>16,114</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top w:w="0" w:type="dxa"/>
            </w:tcMar>
            <w:vAlign w:val="center"/>
          </w:tcPr>
          <w:p>
            <w:pPr>
              <w:pStyle w:val="TableContents"/>
              <w:bidi w:val="0"/>
              <w:spacing w:before="0" w:after="283"/>
              <w:jc w:val="right"/>
              <w:rPr/>
            </w:pPr>
            <w:r>
              <w:rPr/>
              <w:t>31,992</w:t>
            </w:r>
          </w:p>
        </w:tc>
        <w:tc>
          <w:tcPr>
            <w:tcW w:w="136" w:type="dxa"/>
            <w:tcBorders>
              <w:bottom w:val="single" w:sz="8" w:space="0" w:color="000000"/>
            </w:tcBorders>
            <w:shd w:fill="CCEEFF" w:val="clear"/>
            <w:tcMar>
              <w:top w:w="0" w:type="dxa"/>
            </w:tcMar>
            <w:vAlign w:val="center"/>
          </w:tcPr>
          <w:p>
            <w:pPr>
              <w:pStyle w:val="TableContents"/>
              <w:bidi w:val="0"/>
              <w:spacing w:before="0" w:after="283"/>
              <w:ind w:left="0" w:right="0" w:hanging="180"/>
              <w:jc w:val="left"/>
              <w:rPr/>
            </w:pPr>
            <w:r>
              <w:rPr/>
              <w:t> </w:t>
            </w:r>
          </w:p>
        </w:tc>
      </w:tr>
      <w:tr>
        <w:trPr/>
        <w:tc>
          <w:tcPr>
            <w:tcW w:w="3746"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710" w:type="dxa"/>
            <w:tcBorders>
              <w:bottom w:val="single" w:sz="12" w:space="0" w:color="000000"/>
            </w:tcBorders>
            <w:tcMar>
              <w:top w:w="0" w:type="dxa"/>
            </w:tcMar>
            <w:vAlign w:val="center"/>
          </w:tcPr>
          <w:p>
            <w:pPr>
              <w:pStyle w:val="TableContents"/>
              <w:bidi w:val="0"/>
              <w:spacing w:before="0" w:after="283"/>
              <w:jc w:val="right"/>
              <w:rPr/>
            </w:pPr>
            <w:r>
              <w:rPr/>
              <w:t>25,765</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590" w:type="dxa"/>
            <w:tcBorders>
              <w:bottom w:val="single" w:sz="12" w:space="0" w:color="000000"/>
            </w:tcBorders>
            <w:tcMar>
              <w:top w:w="0" w:type="dxa"/>
            </w:tcMar>
            <w:vAlign w:val="center"/>
          </w:tcPr>
          <w:p>
            <w:pPr>
              <w:pStyle w:val="TableContents"/>
              <w:bidi w:val="0"/>
              <w:spacing w:before="0" w:after="283"/>
              <w:jc w:val="right"/>
              <w:rPr/>
            </w:pPr>
            <w:r>
              <w:rPr/>
              <w:t>4,343</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590" w:type="dxa"/>
            <w:tcBorders>
              <w:bottom w:val="single" w:sz="12" w:space="0" w:color="000000"/>
            </w:tcBorders>
            <w:tcMar>
              <w:top w:w="0" w:type="dxa"/>
            </w:tcMar>
            <w:vAlign w:val="center"/>
          </w:tcPr>
          <w:p>
            <w:pPr>
              <w:pStyle w:val="TableContents"/>
              <w:bidi w:val="0"/>
              <w:spacing w:before="0" w:after="283"/>
              <w:jc w:val="right"/>
              <w:rPr/>
            </w:pPr>
            <w:r>
              <w:rPr/>
              <w:t>4,474</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590" w:type="dxa"/>
            <w:tcBorders>
              <w:bottom w:val="single" w:sz="12" w:space="0" w:color="000000"/>
            </w:tcBorders>
            <w:tcMar>
              <w:top w:w="0" w:type="dxa"/>
            </w:tcMar>
            <w:vAlign w:val="center"/>
          </w:tcPr>
          <w:p>
            <w:pPr>
              <w:pStyle w:val="TableContents"/>
              <w:bidi w:val="0"/>
              <w:spacing w:before="0" w:after="283"/>
              <w:jc w:val="right"/>
              <w:rPr/>
            </w:pPr>
            <w:r>
              <w:rPr/>
              <w:t>4,106</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190" w:type="dxa"/>
            <w:tcBorders>
              <w:bottom w:val="single" w:sz="12" w:space="0" w:color="000000"/>
            </w:tcBorders>
            <w:tcMar>
              <w:top w:w="0" w:type="dxa"/>
            </w:tcMar>
            <w:vAlign w:val="center"/>
          </w:tcPr>
          <w:p>
            <w:pPr>
              <w:pStyle w:val="TableContents"/>
              <w:bidi w:val="0"/>
              <w:spacing w:before="0" w:after="283"/>
              <w:jc w:val="left"/>
              <w:rPr/>
            </w:pPr>
            <w:r>
              <w:rPr/>
              <w:t> </w:t>
            </w:r>
          </w:p>
        </w:tc>
        <w:tc>
          <w:tcPr>
            <w:tcW w:w="1503" w:type="dxa"/>
            <w:tcBorders>
              <w:bottom w:val="single" w:sz="12" w:space="0" w:color="000000"/>
            </w:tcBorders>
            <w:tcMar>
              <w:top w:w="0" w:type="dxa"/>
            </w:tcMar>
            <w:vAlign w:val="center"/>
          </w:tcPr>
          <w:p>
            <w:pPr>
              <w:pStyle w:val="TableContents"/>
              <w:bidi w:val="0"/>
              <w:spacing w:before="0" w:after="283"/>
              <w:jc w:val="right"/>
              <w:rPr/>
            </w:pPr>
            <w:r>
              <w:rPr/>
              <w:t>19,096</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710" w:type="dxa"/>
            <w:tcBorders>
              <w:bottom w:val="single" w:sz="12" w:space="0" w:color="000000"/>
            </w:tcBorders>
            <w:tcMar>
              <w:top w:w="0" w:type="dxa"/>
            </w:tcMar>
            <w:vAlign w:val="center"/>
          </w:tcPr>
          <w:p>
            <w:pPr>
              <w:pStyle w:val="TableContents"/>
              <w:bidi w:val="0"/>
              <w:spacing w:before="0" w:after="283"/>
              <w:jc w:val="right"/>
              <w:rPr/>
            </w:pPr>
            <w:r>
              <w:rPr/>
              <w:t>57,784</w:t>
            </w:r>
          </w:p>
        </w:tc>
        <w:tc>
          <w:tcPr>
            <w:tcW w:w="136" w:type="dxa"/>
            <w:tcBorders>
              <w:bottom w:val="single" w:sz="12"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future cash payments associated with warrant liabilities, and accordingly, they are not included in the table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risk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Concentration risk arises as a result of the concentration of exposures within the same category, whether it is geographical location, product type, industry sector or counterparty type. The cryptocurrency Mining industry is highly volatile with significant inherent risk. The Company also holds a portion of its working capital in BTC. A significant decline in the market prices of cryptocurrencies, an increase in the difficulty of cryptocurrency Mining, changes in the regulatory environment and adverse changes in other inherent risks can significantly negatively impact the Company’s operations and the carrying value of its assets. Starting in the first quarter of 2023, the Company purchased BTC option contracts that gave it the right, but not the obligation, to sell digital assets at a fixed price. Option contracts are used to reduce the risk of BTC price volatility and reduce the variability of cash flows resulting from future sales of digital assets. Refer to Note 9 for more details.</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68 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9" w:name="a_032"/>
      <w:bookmarkStart w:id="70" w:name="a_032"/>
      <w:bookmarkEnd w:id="70"/>
    </w:p>
    <w:tbl>
      <w:tblPr>
        <w:tblW w:w="8358" w:type="dxa"/>
        <w:jc w:val="left"/>
        <w:tblInd w:w="0" w:type="dxa"/>
        <w:tblLayout w:type="fixed"/>
        <w:tblCellMar>
          <w:top w:w="0" w:type="dxa"/>
          <w:left w:w="0" w:type="dxa"/>
          <w:bottom w:w="0" w:type="dxa"/>
          <w:right w:w="0" w:type="dxa"/>
        </w:tblCellMar>
      </w:tblPr>
      <w:tblGrid>
        <w:gridCol w:w="68"/>
        <w:gridCol w:w="1115"/>
        <w:gridCol w:w="717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24:</w:t>
            </w:r>
          </w:p>
        </w:tc>
        <w:tc>
          <w:tcPr>
            <w:tcW w:w="7175" w:type="dxa"/>
            <w:tcBorders/>
            <w:vAlign w:val="center"/>
          </w:tcPr>
          <w:p>
            <w:pPr>
              <w:pStyle w:val="TableContents"/>
              <w:bidi w:val="0"/>
              <w:spacing w:before="0" w:after="283"/>
              <w:jc w:val="both"/>
              <w:rPr>
                <w:b/>
              </w:rPr>
            </w:pPr>
            <w:r>
              <w:rPr>
                <w:b/>
              </w:rPr>
              <w:t>TRANSACTIONS AND BALANCES WITH RELATED PARTIES</w:t>
            </w:r>
          </w:p>
        </w:tc>
      </w:tr>
    </w:tbl>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balances payable to related parties:</w:t>
      </w:r>
    </w:p>
    <w:p>
      <w:pPr>
        <w:pStyle w:val="TextBody"/>
        <w:bidi w:val="0"/>
        <w:spacing w:before="0" w:after="0"/>
        <w:ind w:left="17" w:right="0" w:hanging="6"/>
        <w:jc w:val="both"/>
        <w:rPr>
          <w:caps w:val="false"/>
          <w:smallCaps w:val="false"/>
        </w:rPr>
      </w:pPr>
      <w:r>
        <w:rPr>
          <w:caps w:val="false"/>
          <w:smallCaps w:val="false"/>
        </w:rPr>
        <w:t> </w:t>
      </w:r>
    </w:p>
    <w:tbl>
      <w:tblPr>
        <w:tblW w:w="8923" w:type="dxa"/>
        <w:jc w:val="left"/>
        <w:tblInd w:w="0" w:type="dxa"/>
        <w:tblLayout w:type="fixed"/>
        <w:tblCellMar>
          <w:top w:w="0" w:type="dxa"/>
          <w:left w:w="0" w:type="dxa"/>
          <w:bottom w:w="28" w:type="dxa"/>
          <w:right w:w="0" w:type="dxa"/>
        </w:tblCellMar>
      </w:tblPr>
      <w:tblGrid>
        <w:gridCol w:w="4520"/>
        <w:gridCol w:w="90"/>
        <w:gridCol w:w="267"/>
        <w:gridCol w:w="1762"/>
        <w:gridCol w:w="90"/>
        <w:gridCol w:w="90"/>
        <w:gridCol w:w="259"/>
        <w:gridCol w:w="1710"/>
        <w:gridCol w:w="135"/>
      </w:tblGrid>
      <w:tr>
        <w:trPr/>
        <w:tc>
          <w:tcPr>
            <w:tcW w:w="452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As of December 31,</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As of December 31,</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452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4520" w:type="dxa"/>
            <w:tcBorders/>
            <w:tcMar>
              <w:bottom w:w="0" w:type="dxa"/>
            </w:tcMar>
            <w:vAlign w:val="center"/>
          </w:tcPr>
          <w:p>
            <w:pPr>
              <w:pStyle w:val="TableContents"/>
              <w:bidi w:val="0"/>
              <w:spacing w:before="0" w:after="283"/>
              <w:jc w:val="left"/>
              <w:rPr>
                <w:b/>
              </w:rPr>
            </w:pPr>
            <w:r>
              <w:rPr>
                <w:b/>
              </w:rPr>
              <w:t>Trade payables and accrued liabilities</w:t>
            </w:r>
          </w:p>
        </w:tc>
        <w:tc>
          <w:tcPr>
            <w:tcW w:w="90" w:type="dxa"/>
            <w:tcBorders/>
            <w:tcMar>
              <w:bottom w:w="0" w:type="dxa"/>
            </w:tcMar>
            <w:vAlign w:val="center"/>
          </w:tcPr>
          <w:p>
            <w:pPr>
              <w:pStyle w:val="TableContents"/>
              <w:bidi w:val="0"/>
              <w:spacing w:before="0" w:after="283"/>
              <w:jc w:val="left"/>
              <w:rPr/>
            </w:pPr>
            <w:r>
              <w:rPr/>
              <w:t> </w:t>
            </w:r>
          </w:p>
        </w:tc>
        <w:tc>
          <w:tcPr>
            <w:tcW w:w="2029"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9"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520" w:type="dxa"/>
            <w:tcBorders/>
            <w:shd w:fill="CCEEFF" w:val="clear"/>
            <w:tcMar>
              <w:bottom w:w="0" w:type="dxa"/>
            </w:tcMar>
            <w:vAlign w:val="center"/>
          </w:tcPr>
          <w:p>
            <w:pPr>
              <w:pStyle w:val="TableContents"/>
              <w:bidi w:val="0"/>
              <w:spacing w:before="0" w:after="283"/>
              <w:jc w:val="left"/>
              <w:rPr/>
            </w:pPr>
            <w:r>
              <w:rPr/>
              <w:t>Directors’ remuneration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 </w:t>
            </w:r>
          </w:p>
        </w:tc>
        <w:tc>
          <w:tcPr>
            <w:tcW w:w="1762" w:type="dxa"/>
            <w:tcBorders/>
            <w:shd w:fill="CCEEFF" w:val="clear"/>
            <w:tcMar>
              <w:bottom w:w="0" w:type="dxa"/>
            </w:tcMar>
            <w:vAlign w:val="center"/>
          </w:tcPr>
          <w:p>
            <w:pPr>
              <w:pStyle w:val="TableContents"/>
              <w:bidi w:val="0"/>
              <w:spacing w:before="0" w:after="283"/>
              <w:jc w:val="right"/>
              <w:rPr>
                <w:b/>
              </w:rPr>
            </w:pPr>
            <w:r>
              <w:rPr>
                <w:b/>
              </w:rPr>
              <w:t>124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710" w:type="dxa"/>
            <w:tcBorders/>
            <w:shd w:fill="CCEEFF" w:val="clear"/>
            <w:tcMar>
              <w:bottom w:w="0" w:type="dxa"/>
            </w:tcMar>
            <w:vAlign w:val="center"/>
          </w:tcPr>
          <w:p>
            <w:pPr>
              <w:pStyle w:val="TableContents"/>
              <w:bidi w:val="0"/>
              <w:spacing w:before="0" w:after="283"/>
              <w:jc w:val="right"/>
              <w:rPr/>
            </w:pPr>
            <w:r>
              <w:rPr/>
              <w:t>112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520" w:type="dxa"/>
            <w:tcBorders>
              <w:bottom w:val="single" w:sz="8" w:space="0" w:color="000000"/>
            </w:tcBorders>
            <w:vAlign w:val="center"/>
          </w:tcPr>
          <w:p>
            <w:pPr>
              <w:pStyle w:val="TableContents"/>
              <w:bidi w:val="0"/>
              <w:spacing w:before="0" w:after="283"/>
              <w:jc w:val="left"/>
              <w:rPr/>
            </w:pPr>
            <w:r>
              <w:rPr/>
              <w:t>Director and senior management incentive plan</w:t>
            </w:r>
          </w:p>
        </w:tc>
        <w:tc>
          <w:tcPr>
            <w:tcW w:w="90" w:type="dxa"/>
            <w:tcBorders>
              <w:bottom w:val="single" w:sz="8" w:space="0" w:color="000000"/>
            </w:tcBorders>
            <w:vAlign w:val="center"/>
          </w:tcPr>
          <w:p>
            <w:pPr>
              <w:pStyle w:val="TableContents"/>
              <w:bidi w:val="0"/>
              <w:spacing w:before="0" w:after="283"/>
              <w:jc w:val="left"/>
              <w:rPr/>
            </w:pPr>
            <w:r>
              <w:rPr/>
              <w:t> </w:t>
            </w:r>
          </w:p>
        </w:tc>
        <w:tc>
          <w:tcPr>
            <w:tcW w:w="267" w:type="dxa"/>
            <w:tcBorders>
              <w:bottom w:val="single" w:sz="8" w:space="0" w:color="000000"/>
            </w:tcBorders>
            <w:vAlign w:val="center"/>
          </w:tcPr>
          <w:p>
            <w:pPr>
              <w:pStyle w:val="TableContents"/>
              <w:bidi w:val="0"/>
              <w:spacing w:before="0" w:after="283"/>
              <w:jc w:val="left"/>
              <w:rPr/>
            </w:pPr>
            <w:r>
              <w:rPr/>
              <w:t> </w:t>
            </w:r>
          </w:p>
        </w:tc>
        <w:tc>
          <w:tcPr>
            <w:tcW w:w="1762" w:type="dxa"/>
            <w:tcBorders>
              <w:bottom w:val="single" w:sz="8" w:space="0" w:color="000000"/>
            </w:tcBorders>
            <w:vAlign w:val="center"/>
          </w:tcPr>
          <w:p>
            <w:pPr>
              <w:pStyle w:val="TableContents"/>
              <w:bidi w:val="0"/>
              <w:spacing w:before="0" w:after="283"/>
              <w:jc w:val="right"/>
              <w:rPr>
                <w:b/>
              </w:rPr>
            </w:pPr>
            <w:r>
              <w:rPr>
                <w:b/>
              </w:rPr>
              <w:t>1,609</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59" w:type="dxa"/>
            <w:tcBorders>
              <w:bottom w:val="single" w:sz="8" w:space="0" w:color="000000"/>
            </w:tcBorders>
            <w:vAlign w:val="center"/>
          </w:tcPr>
          <w:p>
            <w:pPr>
              <w:pStyle w:val="TableContents"/>
              <w:bidi w:val="0"/>
              <w:spacing w:before="0" w:after="283"/>
              <w:jc w:val="left"/>
              <w:rPr/>
            </w:pPr>
            <w:r>
              <w:rPr/>
              <w:t> </w:t>
            </w:r>
          </w:p>
        </w:tc>
        <w:tc>
          <w:tcPr>
            <w:tcW w:w="1710" w:type="dxa"/>
            <w:tcBorders>
              <w:bottom w:val="single" w:sz="8" w:space="0" w:color="000000"/>
            </w:tcBorders>
            <w:vAlign w:val="center"/>
          </w:tcPr>
          <w:p>
            <w:pPr>
              <w:pStyle w:val="TableContents"/>
              <w:bidi w:val="0"/>
              <w:spacing w:before="0" w:after="283"/>
              <w:jc w:val="right"/>
              <w:rPr/>
            </w:pPr>
            <w:r>
              <w:rPr/>
              <w:t>1,567</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452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vAlign w:val="center"/>
          </w:tcPr>
          <w:p>
            <w:pPr>
              <w:pStyle w:val="TableContents"/>
              <w:bidi w:val="0"/>
              <w:spacing w:before="0" w:after="283"/>
              <w:jc w:val="left"/>
              <w:rPr/>
            </w:pPr>
            <w:r>
              <w:rPr/>
              <w:t> </w:t>
            </w:r>
          </w:p>
        </w:tc>
        <w:tc>
          <w:tcPr>
            <w:tcW w:w="1762" w:type="dxa"/>
            <w:tcBorders>
              <w:bottom w:val="single" w:sz="12" w:space="0" w:color="000000"/>
            </w:tcBorders>
            <w:shd w:fill="CCEEFF" w:val="clear"/>
            <w:vAlign w:val="center"/>
          </w:tcPr>
          <w:p>
            <w:pPr>
              <w:pStyle w:val="TableContents"/>
              <w:bidi w:val="0"/>
              <w:spacing w:before="0" w:after="283"/>
              <w:jc w:val="right"/>
              <w:rPr>
                <w:b/>
              </w:rPr>
            </w:pPr>
            <w:r>
              <w:rPr>
                <w:b/>
              </w:rPr>
              <w:t>1,733</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vAlign w:val="center"/>
          </w:tcPr>
          <w:p>
            <w:pPr>
              <w:pStyle w:val="TableContents"/>
              <w:bidi w:val="0"/>
              <w:spacing w:before="0" w:after="283"/>
              <w:jc w:val="left"/>
              <w:rPr/>
            </w:pPr>
            <w:r>
              <w:rPr/>
              <w:t> </w:t>
            </w:r>
          </w:p>
        </w:tc>
        <w:tc>
          <w:tcPr>
            <w:tcW w:w="1710" w:type="dxa"/>
            <w:tcBorders>
              <w:bottom w:val="single" w:sz="12" w:space="0" w:color="000000"/>
            </w:tcBorders>
            <w:shd w:fill="CCEEFF" w:val="clear"/>
            <w:vAlign w:val="center"/>
          </w:tcPr>
          <w:p>
            <w:pPr>
              <w:pStyle w:val="TableContents"/>
              <w:bidi w:val="0"/>
              <w:spacing w:before="0" w:after="283"/>
              <w:jc w:val="right"/>
              <w:rPr/>
            </w:pPr>
            <w:r>
              <w:rPr/>
              <w:t>1,679</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are unsecured, non-interest bearing and payable on demand.</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Board terminated the employment agreement of the Company’s former Chief Executive Officer (“Former CEO”). It was planned that the Former CEO would depart upon completion of an executive search and would lead the Company during the interim; however, on May 13, 2024, the Company announced the acceleration of the termination of the Former CEO effective immediately.</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2024, the Company made a termination payment under the Former CEO’s employment agreement totaling $1,614 subsequent to the Former CEO’s departure. On May 10, 2024, the Former CEO filed a Statement of Claim in the Superior Court of Ontario against the Company which was settled during the third quarter of 2024 for an additional payment of $2,500 and ending any outstanding litigation or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described above occurred in the normal course of operations and recognized in profit or loss under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key management and directors</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its Directors, Chief Officers and Vice Presidents to be key management personnel. The remuneration paid to directors and other members of key management personnel are as follows:</w:t>
      </w:r>
    </w:p>
    <w:p>
      <w:pPr>
        <w:pStyle w:val="TextBody"/>
        <w:bidi w:val="0"/>
        <w:spacing w:before="0" w:after="0"/>
        <w:ind w:left="23" w:right="0" w:hanging="6"/>
        <w:jc w:val="both"/>
        <w:rPr>
          <w:caps w:val="false"/>
          <w:smallCaps w:val="false"/>
        </w:rPr>
      </w:pPr>
      <w:r>
        <w:rPr>
          <w:caps w:val="false"/>
          <w:smallCaps w:val="false"/>
        </w:rPr>
        <w:t> </w:t>
      </w:r>
    </w:p>
    <w:tbl>
      <w:tblPr>
        <w:tblW w:w="5093" w:type="dxa"/>
        <w:jc w:val="left"/>
        <w:tblInd w:w="0" w:type="dxa"/>
        <w:tblLayout w:type="fixed"/>
        <w:tblCellMar>
          <w:top w:w="0" w:type="dxa"/>
          <w:left w:w="0" w:type="dxa"/>
          <w:bottom w:w="28" w:type="dxa"/>
          <w:right w:w="0" w:type="dxa"/>
        </w:tblCellMar>
      </w:tblPr>
      <w:tblGrid>
        <w:gridCol w:w="2180"/>
        <w:gridCol w:w="90"/>
        <w:gridCol w:w="136"/>
        <w:gridCol w:w="1072"/>
        <w:gridCol w:w="136"/>
        <w:gridCol w:w="136"/>
        <w:gridCol w:w="136"/>
        <w:gridCol w:w="1072"/>
        <w:gridCol w:w="135"/>
      </w:tblGrid>
      <w:tr>
        <w:trPr/>
        <w:tc>
          <w:tcPr>
            <w:tcW w:w="218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88"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08" w:type="dxa"/>
            <w:gridSpan w:val="2"/>
            <w:tcBorders>
              <w:bottom w:val="single" w:sz="8" w:space="0" w:color="000000"/>
            </w:tcBorders>
            <w:vAlign w:val="center"/>
          </w:tcPr>
          <w:p>
            <w:pPr>
              <w:pStyle w:val="TableContents"/>
              <w:bidi w:val="0"/>
              <w:spacing w:before="0" w:after="283"/>
              <w:jc w:val="right"/>
              <w:rPr>
                <w:b/>
              </w:rPr>
            </w:pPr>
            <w:r>
              <w:rPr>
                <w:b/>
              </w:rPr>
              <w:t>2024</w:t>
            </w:r>
          </w:p>
        </w:tc>
        <w:tc>
          <w:tcPr>
            <w:tcW w:w="136" w:type="dxa"/>
            <w:tcBorders>
              <w:bottom w:val="single" w:sz="8" w:space="0" w:color="000000"/>
            </w:tcBorders>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208" w:type="dxa"/>
            <w:gridSpan w:val="2"/>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283"/>
              <w:jc w:val="left"/>
              <w:rPr/>
            </w:pPr>
            <w:r>
              <w:rPr/>
              <w:t>Short-term benefits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b/>
              </w:rPr>
            </w:pPr>
            <w:r>
              <w:rPr>
                <w:b/>
              </w:rPr>
              <w:t>1,563</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1,520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Termination payments</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72" w:type="dxa"/>
            <w:tcBorders/>
            <w:tcMar>
              <w:bottom w:w="0" w:type="dxa"/>
            </w:tcMar>
            <w:vAlign w:val="center"/>
          </w:tcPr>
          <w:p>
            <w:pPr>
              <w:pStyle w:val="TableContents"/>
              <w:bidi w:val="0"/>
              <w:spacing w:before="0" w:after="283"/>
              <w:jc w:val="right"/>
              <w:rPr>
                <w:b/>
              </w:rPr>
            </w:pPr>
            <w:r>
              <w:rPr>
                <w:b/>
              </w:rPr>
              <w:t>4,114</w:t>
            </w:r>
          </w:p>
        </w:tc>
        <w:tc>
          <w:tcPr>
            <w:tcW w:w="136"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72" w:type="dxa"/>
            <w:tcBorders/>
            <w:tcMar>
              <w:bottom w:w="0" w:type="dxa"/>
            </w:tcMar>
            <w:vAlign w:val="center"/>
          </w:tcPr>
          <w:p>
            <w:pPr>
              <w:pStyle w:val="TableContents"/>
              <w:bidi w:val="0"/>
              <w:spacing w:before="0" w:after="0"/>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shd w:fill="CCEEFF" w:val="clear"/>
            <w:vAlign w:val="center"/>
          </w:tcPr>
          <w:p>
            <w:pPr>
              <w:pStyle w:val="TableContents"/>
              <w:bidi w:val="0"/>
              <w:spacing w:before="0" w:after="283"/>
              <w:jc w:val="left"/>
              <w:rPr/>
            </w:pPr>
            <w:r>
              <w:rPr/>
              <w:t>Share-based payments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072" w:type="dxa"/>
            <w:tcBorders>
              <w:bottom w:val="single" w:sz="8" w:space="0" w:color="000000"/>
            </w:tcBorders>
            <w:shd w:fill="CCEEFF" w:val="clear"/>
            <w:vAlign w:val="center"/>
          </w:tcPr>
          <w:p>
            <w:pPr>
              <w:pStyle w:val="TableContents"/>
              <w:bidi w:val="0"/>
              <w:spacing w:before="0" w:after="283"/>
              <w:jc w:val="right"/>
              <w:rPr>
                <w:b/>
              </w:rPr>
            </w:pPr>
            <w:r>
              <w:rPr>
                <w:b/>
              </w:rPr>
              <w:t>10,891</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072" w:type="dxa"/>
            <w:tcBorders>
              <w:bottom w:val="single" w:sz="8" w:space="0" w:color="000000"/>
            </w:tcBorders>
            <w:shd w:fill="CCEEFF" w:val="clear"/>
            <w:vAlign w:val="center"/>
          </w:tcPr>
          <w:p>
            <w:pPr>
              <w:pStyle w:val="TableContents"/>
              <w:bidi w:val="0"/>
              <w:spacing w:before="0" w:after="283"/>
              <w:jc w:val="right"/>
              <w:rPr/>
            </w:pPr>
            <w:r>
              <w:rPr/>
              <w:t>9,169</w:t>
            </w:r>
          </w:p>
        </w:tc>
        <w:tc>
          <w:tcPr>
            <w:tcW w:w="13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218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072" w:type="dxa"/>
            <w:tcBorders>
              <w:bottom w:val="single" w:sz="12" w:space="0" w:color="000000"/>
            </w:tcBorders>
            <w:vAlign w:val="center"/>
          </w:tcPr>
          <w:p>
            <w:pPr>
              <w:pStyle w:val="TableContents"/>
              <w:bidi w:val="0"/>
              <w:spacing w:before="0" w:after="283"/>
              <w:jc w:val="right"/>
              <w:rPr>
                <w:b/>
              </w:rPr>
            </w:pPr>
            <w:r>
              <w:rPr>
                <w:b/>
              </w:rPr>
              <w:t>16,568</w:t>
            </w:r>
          </w:p>
        </w:tc>
        <w:tc>
          <w:tcPr>
            <w:tcW w:w="136" w:type="dxa"/>
            <w:tcBorders>
              <w:bottom w:val="single" w:sz="12" w:space="0" w:color="000000"/>
            </w:tcBorders>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36" w:type="dxa"/>
            <w:tcBorders>
              <w:bottom w:val="single" w:sz="12" w:space="0" w:color="000000"/>
            </w:tcBorders>
            <w:vAlign w:val="center"/>
          </w:tcPr>
          <w:p>
            <w:pPr>
              <w:pStyle w:val="TableContents"/>
              <w:bidi w:val="0"/>
              <w:spacing w:before="0" w:after="283"/>
              <w:jc w:val="left"/>
              <w:rPr/>
            </w:pPr>
            <w:r>
              <w:rPr/>
              <w:t> </w:t>
            </w:r>
          </w:p>
        </w:tc>
        <w:tc>
          <w:tcPr>
            <w:tcW w:w="1072" w:type="dxa"/>
            <w:tcBorders>
              <w:bottom w:val="single" w:sz="12" w:space="0" w:color="000000"/>
            </w:tcBorders>
            <w:vAlign w:val="center"/>
          </w:tcPr>
          <w:p>
            <w:pPr>
              <w:pStyle w:val="TableContents"/>
              <w:bidi w:val="0"/>
              <w:spacing w:before="0" w:after="283"/>
              <w:jc w:val="right"/>
              <w:rPr/>
            </w:pPr>
            <w:r>
              <w:rPr/>
              <w:t>10,689</w:t>
            </w:r>
          </w:p>
        </w:tc>
        <w:tc>
          <w:tcPr>
            <w:tcW w:w="135"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69 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1" w:name="a_033"/>
      <w:bookmarkStart w:id="72" w:name="a_033"/>
      <w:bookmarkEnd w:id="72"/>
    </w:p>
    <w:tbl>
      <w:tblPr>
        <w:tblW w:w="7863" w:type="dxa"/>
        <w:jc w:val="left"/>
        <w:tblInd w:w="0" w:type="dxa"/>
        <w:tblLayout w:type="fixed"/>
        <w:tblCellMar>
          <w:top w:w="0" w:type="dxa"/>
          <w:left w:w="0" w:type="dxa"/>
          <w:bottom w:w="0" w:type="dxa"/>
          <w:right w:w="0" w:type="dxa"/>
        </w:tblCellMar>
      </w:tblPr>
      <w:tblGrid>
        <w:gridCol w:w="68"/>
        <w:gridCol w:w="1115"/>
        <w:gridCol w:w="668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25:</w:t>
            </w:r>
          </w:p>
        </w:tc>
        <w:tc>
          <w:tcPr>
            <w:tcW w:w="6680" w:type="dxa"/>
            <w:tcBorders/>
            <w:vAlign w:val="center"/>
          </w:tcPr>
          <w:p>
            <w:pPr>
              <w:pStyle w:val="TableContents"/>
              <w:bidi w:val="0"/>
              <w:spacing w:before="0" w:after="283"/>
              <w:jc w:val="both"/>
              <w:rPr>
                <w:b/>
              </w:rPr>
            </w:pPr>
            <w:r>
              <w:rPr>
                <w:b/>
              </w:rPr>
              <w:t>CAPITAL MANAGEMENT POLICIES AND PROCEDURES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capital management objectives are to maximize the return to its shareholders. The Company’s definition of capital includes all components of equity. Capital for the reporting period is summarized in Note 22 and in the Consolidated statement of changes in equity. In order to meet its objectives, the Company monitors its capital structure and makes adjustments as required in light of changes in economic conditions and the risk characteristics of the underlying assets. These objectives will be achieved by maintaining a strong capital base so as to maintain investor confidence to sustain future development of the business, maintain a flexible capital structure that optimizes the cost of capital at acceptable risk and preserves the ability to meet financial obligations as they come due and ensuring sufficient liquidity to pursue organic growth. In order to maintain or adjust the capital structure, the Company may issue new common shares or debt.</w:t>
      </w:r>
    </w:p>
    <w:p>
      <w:pPr>
        <w:pStyle w:val="TextBody"/>
        <w:bidi w:val="0"/>
        <w:spacing w:before="0" w:after="0"/>
        <w:ind w:left="23" w:right="0" w:hanging="6"/>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3" w:name="a_034"/>
      <w:bookmarkStart w:id="74" w:name="a_034"/>
      <w:bookmarkEnd w:id="74"/>
    </w:p>
    <w:tbl>
      <w:tblPr>
        <w:tblW w:w="3003" w:type="dxa"/>
        <w:jc w:val="left"/>
        <w:tblInd w:w="0" w:type="dxa"/>
        <w:tblLayout w:type="fixed"/>
        <w:tblCellMar>
          <w:top w:w="0" w:type="dxa"/>
          <w:left w:w="0" w:type="dxa"/>
          <w:bottom w:w="0" w:type="dxa"/>
          <w:right w:w="0" w:type="dxa"/>
        </w:tblCellMar>
      </w:tblPr>
      <w:tblGrid>
        <w:gridCol w:w="68"/>
        <w:gridCol w:w="1115"/>
        <w:gridCol w:w="1820"/>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26:</w:t>
            </w:r>
          </w:p>
        </w:tc>
        <w:tc>
          <w:tcPr>
            <w:tcW w:w="1820" w:type="dxa"/>
            <w:tcBorders/>
            <w:vAlign w:val="center"/>
          </w:tcPr>
          <w:p>
            <w:pPr>
              <w:pStyle w:val="TableContents"/>
              <w:bidi w:val="0"/>
              <w:spacing w:before="0" w:after="283"/>
              <w:jc w:val="both"/>
              <w:rPr>
                <w:b/>
              </w:rPr>
            </w:pPr>
            <w:r>
              <w:rPr>
                <w:b/>
              </w:rPr>
              <w:t>SUBSIDIARIES</w:t>
            </w:r>
          </w:p>
        </w:tc>
      </w:tr>
    </w:tbl>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Backbone Mining established Backbone Sharon LLC (“Backbone Sharon”) which is incorporated in the State of Delaware, United States, and is a wholly owned and controlled by Backbone Mining.</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acquired Orion and two corporations in Paraguay: Backbone Paso Pe and Backbone Yguazu. Refer to note 5 for more details.</w:t>
      </w:r>
    </w:p>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subsidiaries as of December 31, 2024 are as follows:</w:t>
      </w:r>
    </w:p>
    <w:p>
      <w:pPr>
        <w:pStyle w:val="TextBody"/>
        <w:bidi w:val="0"/>
        <w:spacing w:before="0" w:after="0"/>
        <w:ind w:left="23" w:right="0" w:hanging="6"/>
        <w:jc w:val="both"/>
        <w:rPr>
          <w:caps w:val="false"/>
          <w:smallCaps w:val="false"/>
        </w:rPr>
      </w:pPr>
      <w:r>
        <w:rPr>
          <w:caps w:val="false"/>
          <w:smallCaps w:val="false"/>
        </w:rPr>
        <w:t> </w:t>
      </w:r>
    </w:p>
    <w:tbl>
      <w:tblPr>
        <w:tblW w:w="9960" w:type="dxa"/>
        <w:jc w:val="left"/>
        <w:tblInd w:w="0" w:type="dxa"/>
        <w:tblLayout w:type="fixed"/>
        <w:tblCellMar>
          <w:top w:w="28" w:type="dxa"/>
          <w:left w:w="0" w:type="dxa"/>
          <w:bottom w:w="28" w:type="dxa"/>
          <w:right w:w="0" w:type="dxa"/>
        </w:tblCellMar>
      </w:tblPr>
      <w:tblGrid>
        <w:gridCol w:w="2315"/>
        <w:gridCol w:w="90"/>
        <w:gridCol w:w="1580"/>
        <w:gridCol w:w="90"/>
        <w:gridCol w:w="2330"/>
        <w:gridCol w:w="90"/>
        <w:gridCol w:w="184"/>
        <w:gridCol w:w="841"/>
        <w:gridCol w:w="245"/>
        <w:gridCol w:w="90"/>
        <w:gridCol w:w="133"/>
        <w:gridCol w:w="607"/>
        <w:gridCol w:w="245"/>
        <w:gridCol w:w="90"/>
        <w:gridCol w:w="133"/>
        <w:gridCol w:w="607"/>
        <w:gridCol w:w="290"/>
      </w:tblGrid>
      <w:tr>
        <w:trPr/>
        <w:tc>
          <w:tcPr>
            <w:tcW w:w="2315" w:type="dxa"/>
            <w:tcBorders>
              <w:top w:val="single" w:sz="8" w:space="0" w:color="000000"/>
              <w:bottom w:val="single" w:sz="8" w:space="0" w:color="000000"/>
            </w:tcBorders>
            <w:vAlign w:val="center"/>
          </w:tcPr>
          <w:p>
            <w:pPr>
              <w:pStyle w:val="TableContents"/>
              <w:bidi w:val="0"/>
              <w:spacing w:before="0" w:after="283"/>
              <w:jc w:val="left"/>
              <w:rPr>
                <w:b/>
              </w:rPr>
            </w:pPr>
            <w:r>
              <w:rPr>
                <w:b/>
              </w:rPr>
              <w:t>Company name</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580" w:type="dxa"/>
            <w:tcBorders>
              <w:top w:val="single" w:sz="8" w:space="0" w:color="000000"/>
              <w:bottom w:val="single" w:sz="8" w:space="0" w:color="000000"/>
            </w:tcBorders>
            <w:vAlign w:val="center"/>
          </w:tcPr>
          <w:p>
            <w:pPr>
              <w:pStyle w:val="TableContents"/>
              <w:bidi w:val="0"/>
              <w:spacing w:before="0" w:after="283"/>
              <w:jc w:val="right"/>
              <w:rPr>
                <w:b/>
              </w:rPr>
            </w:pPr>
            <w:r>
              <w:rPr>
                <w:b/>
              </w:rPr>
              <w:t>Security type</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2330" w:type="dxa"/>
            <w:tcBorders>
              <w:top w:val="single" w:sz="8" w:space="0" w:color="000000"/>
              <w:bottom w:val="single" w:sz="8" w:space="0" w:color="000000"/>
            </w:tcBorders>
            <w:vAlign w:val="center"/>
          </w:tcPr>
          <w:p>
            <w:pPr>
              <w:pStyle w:val="TableContents"/>
              <w:bidi w:val="0"/>
              <w:spacing w:before="0" w:after="283"/>
              <w:jc w:val="right"/>
              <w:rPr>
                <w:b/>
              </w:rPr>
            </w:pPr>
            <w:r>
              <w:rPr>
                <w:b/>
              </w:rPr>
              <w:t>Main place of business</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025" w:type="dxa"/>
            <w:gridSpan w:val="2"/>
            <w:tcBorders>
              <w:top w:val="single" w:sz="8" w:space="0" w:color="000000"/>
              <w:bottom w:val="single" w:sz="8" w:space="0" w:color="000000"/>
            </w:tcBorders>
            <w:vAlign w:val="center"/>
          </w:tcPr>
          <w:p>
            <w:pPr>
              <w:pStyle w:val="TableContents"/>
              <w:bidi w:val="0"/>
              <w:spacing w:before="0" w:after="283"/>
              <w:jc w:val="right"/>
              <w:rPr>
                <w:b/>
              </w:rPr>
            </w:pPr>
            <w:r>
              <w:rPr>
                <w:b/>
              </w:rPr>
              <w:t>Securities</w:t>
            </w:r>
          </w:p>
        </w:tc>
        <w:tc>
          <w:tcPr>
            <w:tcW w:w="245"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740" w:type="dxa"/>
            <w:gridSpan w:val="2"/>
            <w:tcBorders>
              <w:top w:val="single" w:sz="8" w:space="0" w:color="000000"/>
              <w:bottom w:val="single" w:sz="8" w:space="0" w:color="000000"/>
            </w:tcBorders>
            <w:vAlign w:val="center"/>
          </w:tcPr>
          <w:p>
            <w:pPr>
              <w:pStyle w:val="TableContents"/>
              <w:bidi w:val="0"/>
              <w:spacing w:before="0" w:after="283"/>
              <w:jc w:val="right"/>
              <w:rPr>
                <w:b/>
              </w:rPr>
            </w:pPr>
            <w:r>
              <w:rPr>
                <w:b/>
              </w:rPr>
              <w:t>Equity</w:t>
            </w:r>
          </w:p>
        </w:tc>
        <w:tc>
          <w:tcPr>
            <w:tcW w:w="245"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740" w:type="dxa"/>
            <w:gridSpan w:val="2"/>
            <w:tcBorders>
              <w:top w:val="single" w:sz="8" w:space="0" w:color="000000"/>
              <w:bottom w:val="single" w:sz="8" w:space="0" w:color="000000"/>
            </w:tcBorders>
            <w:vAlign w:val="center"/>
          </w:tcPr>
          <w:p>
            <w:pPr>
              <w:pStyle w:val="TableContents"/>
              <w:bidi w:val="0"/>
              <w:spacing w:before="0" w:after="283"/>
              <w:jc w:val="right"/>
              <w:rPr>
                <w:b/>
              </w:rPr>
            </w:pPr>
            <w:r>
              <w:rPr>
                <w:b/>
              </w:rPr>
              <w:t>Voting</w:t>
            </w:r>
          </w:p>
        </w:tc>
        <w:tc>
          <w:tcPr>
            <w:tcW w:w="290" w:type="dxa"/>
            <w:tcBorders>
              <w:top w:val="single" w:sz="8" w:space="0" w:color="000000"/>
              <w:bottom w:val="single" w:sz="8" w:space="0" w:color="000000"/>
            </w:tcBorders>
            <w:vAlign w:val="center"/>
          </w:tcPr>
          <w:p>
            <w:pPr>
              <w:pStyle w:val="TableContents"/>
              <w:bidi w:val="0"/>
              <w:spacing w:before="0" w:after="283"/>
              <w:jc w:val="left"/>
              <w:rPr/>
            </w:pPr>
            <w:r>
              <w:rPr/>
              <w:t> </w:t>
            </w:r>
          </w:p>
        </w:tc>
      </w:tr>
      <w:tr>
        <w:trPr/>
        <w:tc>
          <w:tcPr>
            <w:tcW w:w="2315" w:type="dxa"/>
            <w:tcBorders/>
            <w:shd w:fill="CCEEFF" w:val="clear"/>
            <w:tcMar>
              <w:top w:w="0" w:type="dxa"/>
              <w:bottom w:w="0" w:type="dxa"/>
            </w:tcMar>
            <w:vAlign w:val="center"/>
          </w:tcPr>
          <w:p>
            <w:pPr>
              <w:pStyle w:val="TableContents"/>
              <w:bidi w:val="0"/>
              <w:spacing w:before="0" w:after="283"/>
              <w:jc w:val="left"/>
              <w:rPr/>
            </w:pPr>
            <w:r>
              <w:rPr/>
              <w:t>Backbone</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580" w:type="dxa"/>
            <w:tcBorders/>
            <w:shd w:fill="CCEEFF" w:val="clear"/>
            <w:tcMar>
              <w:top w:w="0" w:type="dxa"/>
              <w:bottom w:w="0" w:type="dxa"/>
            </w:tcMar>
            <w:vAlign w:val="center"/>
          </w:tcPr>
          <w:p>
            <w:pPr>
              <w:pStyle w:val="TableContents"/>
              <w:bidi w:val="0"/>
              <w:spacing w:before="0" w:after="283"/>
              <w:jc w:val="right"/>
              <w:rPr/>
            </w:pPr>
            <w:r>
              <w:rPr/>
              <w:t>Common shares</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2330" w:type="dxa"/>
            <w:tcBorders/>
            <w:shd w:fill="CCEEFF" w:val="clear"/>
            <w:tcMar>
              <w:top w:w="0" w:type="dxa"/>
              <w:bottom w:w="0" w:type="dxa"/>
            </w:tcMar>
            <w:vAlign w:val="center"/>
          </w:tcPr>
          <w:p>
            <w:pPr>
              <w:pStyle w:val="TableContents"/>
              <w:bidi w:val="0"/>
              <w:spacing w:before="0" w:after="283"/>
              <w:jc w:val="right"/>
              <w:rPr/>
            </w:pPr>
            <w:r>
              <w:rPr/>
              <w:t>CAN</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84" w:type="dxa"/>
            <w:tcBorders/>
            <w:shd w:fill="CCEEFF" w:val="clear"/>
            <w:tcMar>
              <w:top w:w="0" w:type="dxa"/>
              <w:bottom w:w="0" w:type="dxa"/>
            </w:tcMar>
            <w:vAlign w:val="center"/>
          </w:tcPr>
          <w:p>
            <w:pPr>
              <w:pStyle w:val="TableContents"/>
              <w:bidi w:val="0"/>
              <w:spacing w:before="0" w:after="283"/>
              <w:jc w:val="left"/>
              <w:rPr/>
            </w:pPr>
            <w:r>
              <w:rPr/>
              <w:t> </w:t>
            </w:r>
          </w:p>
        </w:tc>
        <w:tc>
          <w:tcPr>
            <w:tcW w:w="841"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33" w:type="dxa"/>
            <w:tcBorders/>
            <w:shd w:fill="CCEEFF" w:val="clear"/>
            <w:tcMar>
              <w:top w:w="0" w:type="dxa"/>
              <w:bottom w:w="0" w:type="dxa"/>
            </w:tcMar>
            <w:vAlign w:val="center"/>
          </w:tcPr>
          <w:p>
            <w:pPr>
              <w:pStyle w:val="TableContents"/>
              <w:bidi w:val="0"/>
              <w:spacing w:before="0" w:after="283"/>
              <w:jc w:val="left"/>
              <w:rPr/>
            </w:pPr>
            <w:r>
              <w:rPr/>
              <w:t> </w:t>
            </w:r>
          </w:p>
        </w:tc>
        <w:tc>
          <w:tcPr>
            <w:tcW w:w="607"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33" w:type="dxa"/>
            <w:tcBorders/>
            <w:shd w:fill="CCEEFF" w:val="clear"/>
            <w:tcMar>
              <w:top w:w="0" w:type="dxa"/>
              <w:bottom w:w="0" w:type="dxa"/>
            </w:tcMar>
            <w:vAlign w:val="center"/>
          </w:tcPr>
          <w:p>
            <w:pPr>
              <w:pStyle w:val="TableContents"/>
              <w:bidi w:val="0"/>
              <w:spacing w:before="0" w:after="283"/>
              <w:jc w:val="left"/>
              <w:rPr/>
            </w:pPr>
            <w:r>
              <w:rPr/>
              <w:t> </w:t>
            </w:r>
          </w:p>
        </w:tc>
        <w:tc>
          <w:tcPr>
            <w:tcW w:w="607" w:type="dxa"/>
            <w:tcBorders/>
            <w:shd w:fill="CCEEFF" w:val="clear"/>
            <w:tcMar>
              <w:top w:w="0" w:type="dxa"/>
              <w:bottom w:w="0" w:type="dxa"/>
            </w:tcMar>
            <w:vAlign w:val="center"/>
          </w:tcPr>
          <w:p>
            <w:pPr>
              <w:pStyle w:val="TableContents"/>
              <w:bidi w:val="0"/>
              <w:spacing w:before="0" w:after="283"/>
              <w:jc w:val="right"/>
              <w:rPr/>
            </w:pPr>
            <w:r>
              <w:rPr/>
              <w:t>100</w:t>
            </w:r>
          </w:p>
        </w:tc>
        <w:tc>
          <w:tcPr>
            <w:tcW w:w="290" w:type="dxa"/>
            <w:tcBorders/>
            <w:shd w:fill="CCEEFF" w:val="clear"/>
            <w:tcMar>
              <w:top w:w="0" w:type="dxa"/>
              <w:bottom w:w="0" w:type="dxa"/>
            </w:tcMar>
            <w:vAlign w:val="center"/>
          </w:tcPr>
          <w:p>
            <w:pPr>
              <w:pStyle w:val="TableContents"/>
              <w:bidi w:val="0"/>
              <w:spacing w:before="0" w:after="283"/>
              <w:jc w:val="left"/>
              <w:rPr/>
            </w:pPr>
            <w:r>
              <w:rPr/>
              <w:t>%</w:t>
            </w:r>
          </w:p>
        </w:tc>
      </w:tr>
      <w:tr>
        <w:trPr/>
        <w:tc>
          <w:tcPr>
            <w:tcW w:w="2315" w:type="dxa"/>
            <w:tcBorders/>
            <w:tcMar>
              <w:top w:w="0" w:type="dxa"/>
              <w:bottom w:w="0" w:type="dxa"/>
            </w:tcMar>
            <w:vAlign w:val="center"/>
          </w:tcPr>
          <w:p>
            <w:pPr>
              <w:pStyle w:val="TableContents"/>
              <w:bidi w:val="0"/>
              <w:spacing w:before="0" w:after="283"/>
              <w:jc w:val="left"/>
              <w:rPr/>
            </w:pPr>
            <w:r>
              <w:rPr/>
              <w:t>Backbone Argentina</w:t>
            </w:r>
          </w:p>
        </w:tc>
        <w:tc>
          <w:tcPr>
            <w:tcW w:w="90" w:type="dxa"/>
            <w:tcBorders/>
            <w:tcMar>
              <w:top w:w="0" w:type="dxa"/>
              <w:bottom w:w="0" w:type="dxa"/>
            </w:tcMar>
            <w:vAlign w:val="center"/>
          </w:tcPr>
          <w:p>
            <w:pPr>
              <w:pStyle w:val="TableContents"/>
              <w:bidi w:val="0"/>
              <w:spacing w:before="0" w:after="283"/>
              <w:jc w:val="left"/>
              <w:rPr/>
            </w:pPr>
            <w:r>
              <w:rPr/>
              <w:t> </w:t>
            </w:r>
          </w:p>
        </w:tc>
        <w:tc>
          <w:tcPr>
            <w:tcW w:w="1580" w:type="dxa"/>
            <w:tcBorders/>
            <w:tcMar>
              <w:top w:w="0" w:type="dxa"/>
              <w:bottom w:w="0" w:type="dxa"/>
            </w:tcMar>
            <w:vAlign w:val="center"/>
          </w:tcPr>
          <w:p>
            <w:pPr>
              <w:pStyle w:val="TableContents"/>
              <w:bidi w:val="0"/>
              <w:spacing w:before="0" w:after="283"/>
              <w:jc w:val="right"/>
              <w:rPr/>
            </w:pPr>
            <w:r>
              <w:rPr/>
              <w:t>Ordinary shares</w:t>
            </w:r>
          </w:p>
        </w:tc>
        <w:tc>
          <w:tcPr>
            <w:tcW w:w="90" w:type="dxa"/>
            <w:tcBorders/>
            <w:tcMar>
              <w:top w:w="0" w:type="dxa"/>
              <w:bottom w:w="0" w:type="dxa"/>
            </w:tcMar>
            <w:vAlign w:val="center"/>
          </w:tcPr>
          <w:p>
            <w:pPr>
              <w:pStyle w:val="TableContents"/>
              <w:bidi w:val="0"/>
              <w:spacing w:before="0" w:after="283"/>
              <w:jc w:val="left"/>
              <w:rPr/>
            </w:pPr>
            <w:r>
              <w:rPr/>
              <w:t> </w:t>
            </w:r>
          </w:p>
        </w:tc>
        <w:tc>
          <w:tcPr>
            <w:tcW w:w="2330" w:type="dxa"/>
            <w:tcBorders/>
            <w:tcMar>
              <w:top w:w="0" w:type="dxa"/>
              <w:bottom w:w="0" w:type="dxa"/>
            </w:tcMar>
            <w:vAlign w:val="center"/>
          </w:tcPr>
          <w:p>
            <w:pPr>
              <w:pStyle w:val="TableContents"/>
              <w:bidi w:val="0"/>
              <w:spacing w:before="0" w:after="283"/>
              <w:jc w:val="right"/>
              <w:rPr/>
            </w:pPr>
            <w:r>
              <w:rPr/>
              <w:t>ARG</w:t>
            </w:r>
          </w:p>
        </w:tc>
        <w:tc>
          <w:tcPr>
            <w:tcW w:w="90" w:type="dxa"/>
            <w:tcBorders/>
            <w:tcMar>
              <w:top w:w="0" w:type="dxa"/>
              <w:bottom w:w="0" w:type="dxa"/>
            </w:tcMar>
            <w:vAlign w:val="center"/>
          </w:tcPr>
          <w:p>
            <w:pPr>
              <w:pStyle w:val="TableContents"/>
              <w:bidi w:val="0"/>
              <w:spacing w:before="0" w:after="283"/>
              <w:jc w:val="left"/>
              <w:rPr/>
            </w:pPr>
            <w:r>
              <w:rPr/>
              <w:t> </w:t>
            </w:r>
          </w:p>
        </w:tc>
        <w:tc>
          <w:tcPr>
            <w:tcW w:w="184" w:type="dxa"/>
            <w:tcBorders/>
            <w:tcMar>
              <w:top w:w="0" w:type="dxa"/>
              <w:bottom w:w="0" w:type="dxa"/>
            </w:tcMar>
            <w:vAlign w:val="center"/>
          </w:tcPr>
          <w:p>
            <w:pPr>
              <w:pStyle w:val="TableContents"/>
              <w:bidi w:val="0"/>
              <w:spacing w:before="0" w:after="283"/>
              <w:jc w:val="left"/>
              <w:rPr/>
            </w:pPr>
            <w:r>
              <w:rPr/>
              <w:t> </w:t>
            </w:r>
          </w:p>
        </w:tc>
        <w:tc>
          <w:tcPr>
            <w:tcW w:w="841" w:type="dxa"/>
            <w:tcBorders/>
            <w:tcMar>
              <w:top w:w="0" w:type="dxa"/>
              <w:bottom w:w="0" w:type="dxa"/>
            </w:tcMar>
            <w:vAlign w:val="center"/>
          </w:tcPr>
          <w:p>
            <w:pPr>
              <w:pStyle w:val="TableContents"/>
              <w:bidi w:val="0"/>
              <w:spacing w:before="0" w:after="283"/>
              <w:jc w:val="right"/>
              <w:rPr/>
            </w:pPr>
            <w:r>
              <w:rPr/>
              <w:t>100</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33" w:type="dxa"/>
            <w:tcBorders/>
            <w:tcMar>
              <w:top w:w="0" w:type="dxa"/>
              <w:bottom w:w="0" w:type="dxa"/>
            </w:tcMar>
            <w:vAlign w:val="center"/>
          </w:tcPr>
          <w:p>
            <w:pPr>
              <w:pStyle w:val="TableContents"/>
              <w:bidi w:val="0"/>
              <w:spacing w:before="0" w:after="283"/>
              <w:jc w:val="left"/>
              <w:rPr/>
            </w:pPr>
            <w:r>
              <w:rPr/>
              <w:t> </w:t>
            </w:r>
          </w:p>
        </w:tc>
        <w:tc>
          <w:tcPr>
            <w:tcW w:w="607" w:type="dxa"/>
            <w:tcBorders/>
            <w:tcMar>
              <w:top w:w="0" w:type="dxa"/>
              <w:bottom w:w="0" w:type="dxa"/>
            </w:tcMar>
            <w:vAlign w:val="center"/>
          </w:tcPr>
          <w:p>
            <w:pPr>
              <w:pStyle w:val="TableContents"/>
              <w:bidi w:val="0"/>
              <w:spacing w:before="0" w:after="283"/>
              <w:jc w:val="right"/>
              <w:rPr/>
            </w:pPr>
            <w:r>
              <w:rPr/>
              <w:t>100</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33" w:type="dxa"/>
            <w:tcBorders/>
            <w:tcMar>
              <w:top w:w="0" w:type="dxa"/>
              <w:bottom w:w="0" w:type="dxa"/>
            </w:tcMar>
            <w:vAlign w:val="center"/>
          </w:tcPr>
          <w:p>
            <w:pPr>
              <w:pStyle w:val="TableContents"/>
              <w:bidi w:val="0"/>
              <w:spacing w:before="0" w:after="283"/>
              <w:jc w:val="left"/>
              <w:rPr/>
            </w:pPr>
            <w:r>
              <w:rPr/>
              <w:t> </w:t>
            </w:r>
          </w:p>
        </w:tc>
        <w:tc>
          <w:tcPr>
            <w:tcW w:w="607" w:type="dxa"/>
            <w:tcBorders/>
            <w:tcMar>
              <w:top w:w="0" w:type="dxa"/>
              <w:bottom w:w="0" w:type="dxa"/>
            </w:tcMar>
            <w:vAlign w:val="center"/>
          </w:tcPr>
          <w:p>
            <w:pPr>
              <w:pStyle w:val="TableContents"/>
              <w:bidi w:val="0"/>
              <w:spacing w:before="0" w:after="283"/>
              <w:jc w:val="right"/>
              <w:rPr/>
            </w:pPr>
            <w:r>
              <w:rPr/>
              <w:t>100</w:t>
            </w:r>
          </w:p>
        </w:tc>
        <w:tc>
          <w:tcPr>
            <w:tcW w:w="290" w:type="dxa"/>
            <w:tcBorders/>
            <w:tcMar>
              <w:top w:w="0" w:type="dxa"/>
              <w:bottom w:w="0" w:type="dxa"/>
            </w:tcMar>
            <w:vAlign w:val="center"/>
          </w:tcPr>
          <w:p>
            <w:pPr>
              <w:pStyle w:val="TableContents"/>
              <w:bidi w:val="0"/>
              <w:spacing w:before="0" w:after="283"/>
              <w:jc w:val="left"/>
              <w:rPr/>
            </w:pPr>
            <w:r>
              <w:rPr/>
              <w:t>%</w:t>
            </w:r>
          </w:p>
        </w:tc>
      </w:tr>
      <w:tr>
        <w:trPr/>
        <w:tc>
          <w:tcPr>
            <w:tcW w:w="2315" w:type="dxa"/>
            <w:tcBorders/>
            <w:shd w:fill="CCEEFF" w:val="clear"/>
            <w:tcMar>
              <w:top w:w="0" w:type="dxa"/>
              <w:bottom w:w="0" w:type="dxa"/>
            </w:tcMar>
            <w:vAlign w:val="center"/>
          </w:tcPr>
          <w:p>
            <w:pPr>
              <w:pStyle w:val="TableContents"/>
              <w:bidi w:val="0"/>
              <w:spacing w:before="0" w:after="283"/>
              <w:jc w:val="left"/>
              <w:rPr/>
            </w:pPr>
            <w:r>
              <w:rPr/>
              <w:t>Backbone Paraguay</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580" w:type="dxa"/>
            <w:tcBorders/>
            <w:shd w:fill="CCEEFF" w:val="clear"/>
            <w:tcMar>
              <w:top w:w="0" w:type="dxa"/>
              <w:bottom w:w="0" w:type="dxa"/>
            </w:tcMar>
            <w:vAlign w:val="center"/>
          </w:tcPr>
          <w:p>
            <w:pPr>
              <w:pStyle w:val="TableContents"/>
              <w:bidi w:val="0"/>
              <w:spacing w:before="0" w:after="283"/>
              <w:jc w:val="right"/>
              <w:rPr/>
            </w:pPr>
            <w:r>
              <w:rPr/>
              <w:t>Ordinary shares</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2330" w:type="dxa"/>
            <w:tcBorders/>
            <w:shd w:fill="CCEEFF" w:val="clear"/>
            <w:tcMar>
              <w:top w:w="0" w:type="dxa"/>
              <w:bottom w:w="0" w:type="dxa"/>
            </w:tcMar>
            <w:vAlign w:val="center"/>
          </w:tcPr>
          <w:p>
            <w:pPr>
              <w:pStyle w:val="TableContents"/>
              <w:bidi w:val="0"/>
              <w:spacing w:before="0" w:after="283"/>
              <w:jc w:val="right"/>
              <w:rPr/>
            </w:pPr>
            <w:r>
              <w:rPr/>
              <w:t>PAR</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84" w:type="dxa"/>
            <w:tcBorders/>
            <w:shd w:fill="CCEEFF" w:val="clear"/>
            <w:tcMar>
              <w:top w:w="0" w:type="dxa"/>
              <w:bottom w:w="0" w:type="dxa"/>
            </w:tcMar>
            <w:vAlign w:val="center"/>
          </w:tcPr>
          <w:p>
            <w:pPr>
              <w:pStyle w:val="TableContents"/>
              <w:bidi w:val="0"/>
              <w:spacing w:before="0" w:after="283"/>
              <w:jc w:val="left"/>
              <w:rPr/>
            </w:pPr>
            <w:r>
              <w:rPr/>
              <w:t> </w:t>
            </w:r>
          </w:p>
        </w:tc>
        <w:tc>
          <w:tcPr>
            <w:tcW w:w="841"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33" w:type="dxa"/>
            <w:tcBorders/>
            <w:shd w:fill="CCEEFF" w:val="clear"/>
            <w:tcMar>
              <w:top w:w="0" w:type="dxa"/>
              <w:bottom w:w="0" w:type="dxa"/>
            </w:tcMar>
            <w:vAlign w:val="center"/>
          </w:tcPr>
          <w:p>
            <w:pPr>
              <w:pStyle w:val="TableContents"/>
              <w:bidi w:val="0"/>
              <w:spacing w:before="0" w:after="283"/>
              <w:jc w:val="left"/>
              <w:rPr/>
            </w:pPr>
            <w:r>
              <w:rPr/>
              <w:t> </w:t>
            </w:r>
          </w:p>
        </w:tc>
        <w:tc>
          <w:tcPr>
            <w:tcW w:w="607"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33" w:type="dxa"/>
            <w:tcBorders/>
            <w:shd w:fill="CCEEFF" w:val="clear"/>
            <w:tcMar>
              <w:top w:w="0" w:type="dxa"/>
              <w:bottom w:w="0" w:type="dxa"/>
            </w:tcMar>
            <w:vAlign w:val="center"/>
          </w:tcPr>
          <w:p>
            <w:pPr>
              <w:pStyle w:val="TableContents"/>
              <w:bidi w:val="0"/>
              <w:spacing w:before="0" w:after="283"/>
              <w:jc w:val="left"/>
              <w:rPr/>
            </w:pPr>
            <w:r>
              <w:rPr/>
              <w:t> </w:t>
            </w:r>
          </w:p>
        </w:tc>
        <w:tc>
          <w:tcPr>
            <w:tcW w:w="607" w:type="dxa"/>
            <w:tcBorders/>
            <w:shd w:fill="CCEEFF" w:val="clear"/>
            <w:tcMar>
              <w:top w:w="0" w:type="dxa"/>
              <w:bottom w:w="0" w:type="dxa"/>
            </w:tcMar>
            <w:vAlign w:val="center"/>
          </w:tcPr>
          <w:p>
            <w:pPr>
              <w:pStyle w:val="TableContents"/>
              <w:bidi w:val="0"/>
              <w:spacing w:before="0" w:after="283"/>
              <w:jc w:val="right"/>
              <w:rPr/>
            </w:pPr>
            <w:r>
              <w:rPr/>
              <w:t>100</w:t>
            </w:r>
          </w:p>
        </w:tc>
        <w:tc>
          <w:tcPr>
            <w:tcW w:w="290" w:type="dxa"/>
            <w:tcBorders/>
            <w:shd w:fill="CCEEFF" w:val="clear"/>
            <w:tcMar>
              <w:top w:w="0" w:type="dxa"/>
              <w:bottom w:w="0" w:type="dxa"/>
            </w:tcMar>
            <w:vAlign w:val="center"/>
          </w:tcPr>
          <w:p>
            <w:pPr>
              <w:pStyle w:val="TableContents"/>
              <w:bidi w:val="0"/>
              <w:spacing w:before="0" w:after="283"/>
              <w:jc w:val="left"/>
              <w:rPr/>
            </w:pPr>
            <w:r>
              <w:rPr/>
              <w:t>%</w:t>
            </w:r>
          </w:p>
        </w:tc>
      </w:tr>
      <w:tr>
        <w:trPr/>
        <w:tc>
          <w:tcPr>
            <w:tcW w:w="2315" w:type="dxa"/>
            <w:tcBorders/>
            <w:tcMar>
              <w:top w:w="0" w:type="dxa"/>
              <w:bottom w:w="0" w:type="dxa"/>
            </w:tcMar>
            <w:vAlign w:val="center"/>
          </w:tcPr>
          <w:p>
            <w:pPr>
              <w:pStyle w:val="TableContents"/>
              <w:bidi w:val="0"/>
              <w:spacing w:before="0" w:after="283"/>
              <w:jc w:val="left"/>
              <w:rPr/>
            </w:pPr>
            <w:r>
              <w:rPr/>
              <w:t>Backbone Mining</w:t>
            </w:r>
          </w:p>
        </w:tc>
        <w:tc>
          <w:tcPr>
            <w:tcW w:w="90" w:type="dxa"/>
            <w:tcBorders/>
            <w:tcMar>
              <w:top w:w="0" w:type="dxa"/>
              <w:bottom w:w="0" w:type="dxa"/>
            </w:tcMar>
            <w:vAlign w:val="center"/>
          </w:tcPr>
          <w:p>
            <w:pPr>
              <w:pStyle w:val="TableContents"/>
              <w:bidi w:val="0"/>
              <w:spacing w:before="0" w:after="283"/>
              <w:jc w:val="left"/>
              <w:rPr/>
            </w:pPr>
            <w:r>
              <w:rPr/>
              <w:t> </w:t>
            </w:r>
          </w:p>
        </w:tc>
        <w:tc>
          <w:tcPr>
            <w:tcW w:w="1580" w:type="dxa"/>
            <w:tcBorders/>
            <w:tcMar>
              <w:top w:w="0" w:type="dxa"/>
              <w:bottom w:w="0" w:type="dxa"/>
            </w:tcMar>
            <w:vAlign w:val="center"/>
          </w:tcPr>
          <w:p>
            <w:pPr>
              <w:pStyle w:val="TableContents"/>
              <w:bidi w:val="0"/>
              <w:spacing w:before="0" w:after="283"/>
              <w:jc w:val="right"/>
              <w:rPr/>
            </w:pPr>
            <w:r>
              <w:rPr/>
              <w:t>Common shares</w:t>
            </w:r>
          </w:p>
        </w:tc>
        <w:tc>
          <w:tcPr>
            <w:tcW w:w="90" w:type="dxa"/>
            <w:tcBorders/>
            <w:tcMar>
              <w:top w:w="0" w:type="dxa"/>
              <w:bottom w:w="0" w:type="dxa"/>
            </w:tcMar>
            <w:vAlign w:val="center"/>
          </w:tcPr>
          <w:p>
            <w:pPr>
              <w:pStyle w:val="TableContents"/>
              <w:bidi w:val="0"/>
              <w:spacing w:before="0" w:after="283"/>
              <w:jc w:val="left"/>
              <w:rPr/>
            </w:pPr>
            <w:r>
              <w:rPr/>
              <w:t> </w:t>
            </w:r>
          </w:p>
        </w:tc>
        <w:tc>
          <w:tcPr>
            <w:tcW w:w="2330" w:type="dxa"/>
            <w:tcBorders/>
            <w:tcMar>
              <w:top w:w="0" w:type="dxa"/>
              <w:bottom w:w="0" w:type="dxa"/>
            </w:tcMar>
            <w:vAlign w:val="center"/>
          </w:tcPr>
          <w:p>
            <w:pPr>
              <w:pStyle w:val="TableContents"/>
              <w:bidi w:val="0"/>
              <w:spacing w:before="0" w:after="283"/>
              <w:jc w:val="right"/>
              <w:rPr/>
            </w:pPr>
            <w:r>
              <w:rPr/>
              <w:t>USA</w:t>
            </w:r>
          </w:p>
        </w:tc>
        <w:tc>
          <w:tcPr>
            <w:tcW w:w="90" w:type="dxa"/>
            <w:tcBorders/>
            <w:tcMar>
              <w:top w:w="0" w:type="dxa"/>
              <w:bottom w:w="0" w:type="dxa"/>
            </w:tcMar>
            <w:vAlign w:val="center"/>
          </w:tcPr>
          <w:p>
            <w:pPr>
              <w:pStyle w:val="TableContents"/>
              <w:bidi w:val="0"/>
              <w:spacing w:before="0" w:after="283"/>
              <w:jc w:val="left"/>
              <w:rPr/>
            </w:pPr>
            <w:r>
              <w:rPr/>
              <w:t> </w:t>
            </w:r>
          </w:p>
        </w:tc>
        <w:tc>
          <w:tcPr>
            <w:tcW w:w="184" w:type="dxa"/>
            <w:tcBorders/>
            <w:tcMar>
              <w:top w:w="0" w:type="dxa"/>
              <w:bottom w:w="0" w:type="dxa"/>
            </w:tcMar>
            <w:vAlign w:val="center"/>
          </w:tcPr>
          <w:p>
            <w:pPr>
              <w:pStyle w:val="TableContents"/>
              <w:bidi w:val="0"/>
              <w:spacing w:before="0" w:after="283"/>
              <w:jc w:val="left"/>
              <w:rPr/>
            </w:pPr>
            <w:r>
              <w:rPr/>
              <w:t> </w:t>
            </w:r>
          </w:p>
        </w:tc>
        <w:tc>
          <w:tcPr>
            <w:tcW w:w="841" w:type="dxa"/>
            <w:tcBorders/>
            <w:tcMar>
              <w:top w:w="0" w:type="dxa"/>
              <w:bottom w:w="0" w:type="dxa"/>
            </w:tcMar>
            <w:vAlign w:val="center"/>
          </w:tcPr>
          <w:p>
            <w:pPr>
              <w:pStyle w:val="TableContents"/>
              <w:bidi w:val="0"/>
              <w:spacing w:before="0" w:after="283"/>
              <w:jc w:val="right"/>
              <w:rPr/>
            </w:pPr>
            <w:r>
              <w:rPr/>
              <w:t>100</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33" w:type="dxa"/>
            <w:tcBorders/>
            <w:tcMar>
              <w:top w:w="0" w:type="dxa"/>
              <w:bottom w:w="0" w:type="dxa"/>
            </w:tcMar>
            <w:vAlign w:val="center"/>
          </w:tcPr>
          <w:p>
            <w:pPr>
              <w:pStyle w:val="TableContents"/>
              <w:bidi w:val="0"/>
              <w:spacing w:before="0" w:after="283"/>
              <w:jc w:val="left"/>
              <w:rPr/>
            </w:pPr>
            <w:r>
              <w:rPr/>
              <w:t> </w:t>
            </w:r>
          </w:p>
        </w:tc>
        <w:tc>
          <w:tcPr>
            <w:tcW w:w="607" w:type="dxa"/>
            <w:tcBorders/>
            <w:tcMar>
              <w:top w:w="0" w:type="dxa"/>
              <w:bottom w:w="0" w:type="dxa"/>
            </w:tcMar>
            <w:vAlign w:val="center"/>
          </w:tcPr>
          <w:p>
            <w:pPr>
              <w:pStyle w:val="TableContents"/>
              <w:bidi w:val="0"/>
              <w:spacing w:before="0" w:after="283"/>
              <w:jc w:val="right"/>
              <w:rPr/>
            </w:pPr>
            <w:r>
              <w:rPr/>
              <w:t>100</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33" w:type="dxa"/>
            <w:tcBorders/>
            <w:tcMar>
              <w:top w:w="0" w:type="dxa"/>
              <w:bottom w:w="0" w:type="dxa"/>
            </w:tcMar>
            <w:vAlign w:val="center"/>
          </w:tcPr>
          <w:p>
            <w:pPr>
              <w:pStyle w:val="TableContents"/>
              <w:bidi w:val="0"/>
              <w:spacing w:before="0" w:after="283"/>
              <w:jc w:val="left"/>
              <w:rPr/>
            </w:pPr>
            <w:r>
              <w:rPr/>
              <w:t> </w:t>
            </w:r>
          </w:p>
        </w:tc>
        <w:tc>
          <w:tcPr>
            <w:tcW w:w="607" w:type="dxa"/>
            <w:tcBorders/>
            <w:tcMar>
              <w:top w:w="0" w:type="dxa"/>
              <w:bottom w:w="0" w:type="dxa"/>
            </w:tcMar>
            <w:vAlign w:val="center"/>
          </w:tcPr>
          <w:p>
            <w:pPr>
              <w:pStyle w:val="TableContents"/>
              <w:bidi w:val="0"/>
              <w:spacing w:before="0" w:after="283"/>
              <w:jc w:val="right"/>
              <w:rPr/>
            </w:pPr>
            <w:r>
              <w:rPr/>
              <w:t>100</w:t>
            </w:r>
          </w:p>
        </w:tc>
        <w:tc>
          <w:tcPr>
            <w:tcW w:w="290" w:type="dxa"/>
            <w:tcBorders/>
            <w:tcMar>
              <w:top w:w="0" w:type="dxa"/>
              <w:bottom w:w="0" w:type="dxa"/>
            </w:tcMar>
            <w:vAlign w:val="center"/>
          </w:tcPr>
          <w:p>
            <w:pPr>
              <w:pStyle w:val="TableContents"/>
              <w:bidi w:val="0"/>
              <w:spacing w:before="0" w:after="283"/>
              <w:jc w:val="left"/>
              <w:rPr/>
            </w:pPr>
            <w:r>
              <w:rPr/>
              <w:t>%</w:t>
            </w:r>
          </w:p>
        </w:tc>
      </w:tr>
      <w:tr>
        <w:trPr/>
        <w:tc>
          <w:tcPr>
            <w:tcW w:w="2315" w:type="dxa"/>
            <w:tcBorders/>
            <w:shd w:fill="CCEEFF" w:val="clear"/>
            <w:tcMar>
              <w:top w:w="0" w:type="dxa"/>
              <w:bottom w:w="0" w:type="dxa"/>
            </w:tcMar>
            <w:vAlign w:val="center"/>
          </w:tcPr>
          <w:p>
            <w:pPr>
              <w:pStyle w:val="TableContents"/>
              <w:bidi w:val="0"/>
              <w:spacing w:before="0" w:after="283"/>
              <w:jc w:val="left"/>
              <w:rPr/>
            </w:pPr>
            <w:r>
              <w:rPr/>
              <w:t>Backbone Sharon</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580" w:type="dxa"/>
            <w:tcBorders/>
            <w:shd w:fill="CCEEFF" w:val="clear"/>
            <w:tcMar>
              <w:top w:w="0" w:type="dxa"/>
              <w:bottom w:w="0" w:type="dxa"/>
            </w:tcMar>
            <w:vAlign w:val="center"/>
          </w:tcPr>
          <w:p>
            <w:pPr>
              <w:pStyle w:val="TableContents"/>
              <w:bidi w:val="0"/>
              <w:spacing w:before="0" w:after="283"/>
              <w:jc w:val="right"/>
              <w:rPr/>
            </w:pPr>
            <w:r>
              <w:rPr/>
              <w:t>Common shares</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2330" w:type="dxa"/>
            <w:tcBorders/>
            <w:shd w:fill="CCEEFF" w:val="clear"/>
            <w:tcMar>
              <w:top w:w="0" w:type="dxa"/>
              <w:bottom w:w="0" w:type="dxa"/>
            </w:tcMar>
            <w:vAlign w:val="center"/>
          </w:tcPr>
          <w:p>
            <w:pPr>
              <w:pStyle w:val="TableContents"/>
              <w:bidi w:val="0"/>
              <w:spacing w:before="0" w:after="283"/>
              <w:jc w:val="right"/>
              <w:rPr/>
            </w:pPr>
            <w:r>
              <w:rPr/>
              <w:t>USA</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84" w:type="dxa"/>
            <w:tcBorders/>
            <w:shd w:fill="CCEEFF" w:val="clear"/>
            <w:tcMar>
              <w:top w:w="0" w:type="dxa"/>
              <w:bottom w:w="0" w:type="dxa"/>
            </w:tcMar>
            <w:vAlign w:val="center"/>
          </w:tcPr>
          <w:p>
            <w:pPr>
              <w:pStyle w:val="TableContents"/>
              <w:bidi w:val="0"/>
              <w:spacing w:before="0" w:after="283"/>
              <w:jc w:val="left"/>
              <w:rPr/>
            </w:pPr>
            <w:r>
              <w:rPr/>
              <w:t> </w:t>
            </w:r>
          </w:p>
        </w:tc>
        <w:tc>
          <w:tcPr>
            <w:tcW w:w="841"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33" w:type="dxa"/>
            <w:tcBorders/>
            <w:shd w:fill="CCEEFF" w:val="clear"/>
            <w:tcMar>
              <w:top w:w="0" w:type="dxa"/>
              <w:bottom w:w="0" w:type="dxa"/>
            </w:tcMar>
            <w:vAlign w:val="center"/>
          </w:tcPr>
          <w:p>
            <w:pPr>
              <w:pStyle w:val="TableContents"/>
              <w:bidi w:val="0"/>
              <w:spacing w:before="0" w:after="283"/>
              <w:jc w:val="left"/>
              <w:rPr/>
            </w:pPr>
            <w:r>
              <w:rPr/>
              <w:t> </w:t>
            </w:r>
          </w:p>
        </w:tc>
        <w:tc>
          <w:tcPr>
            <w:tcW w:w="607"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33" w:type="dxa"/>
            <w:tcBorders/>
            <w:shd w:fill="CCEEFF" w:val="clear"/>
            <w:tcMar>
              <w:top w:w="0" w:type="dxa"/>
              <w:bottom w:w="0" w:type="dxa"/>
            </w:tcMar>
            <w:vAlign w:val="center"/>
          </w:tcPr>
          <w:p>
            <w:pPr>
              <w:pStyle w:val="TableContents"/>
              <w:bidi w:val="0"/>
              <w:spacing w:before="0" w:after="283"/>
              <w:jc w:val="left"/>
              <w:rPr/>
            </w:pPr>
            <w:r>
              <w:rPr/>
              <w:t> </w:t>
            </w:r>
          </w:p>
        </w:tc>
        <w:tc>
          <w:tcPr>
            <w:tcW w:w="607" w:type="dxa"/>
            <w:tcBorders/>
            <w:shd w:fill="CCEEFF" w:val="clear"/>
            <w:tcMar>
              <w:top w:w="0" w:type="dxa"/>
              <w:bottom w:w="0" w:type="dxa"/>
            </w:tcMar>
            <w:vAlign w:val="center"/>
          </w:tcPr>
          <w:p>
            <w:pPr>
              <w:pStyle w:val="TableContents"/>
              <w:bidi w:val="0"/>
              <w:spacing w:before="0" w:after="283"/>
              <w:jc w:val="right"/>
              <w:rPr/>
            </w:pPr>
            <w:r>
              <w:rPr/>
              <w:t>100</w:t>
            </w:r>
          </w:p>
        </w:tc>
        <w:tc>
          <w:tcPr>
            <w:tcW w:w="290" w:type="dxa"/>
            <w:tcBorders/>
            <w:shd w:fill="CCEEFF" w:val="clear"/>
            <w:tcMar>
              <w:top w:w="0" w:type="dxa"/>
              <w:bottom w:w="0" w:type="dxa"/>
            </w:tcMar>
            <w:vAlign w:val="center"/>
          </w:tcPr>
          <w:p>
            <w:pPr>
              <w:pStyle w:val="TableContents"/>
              <w:bidi w:val="0"/>
              <w:spacing w:before="0" w:after="283"/>
              <w:jc w:val="left"/>
              <w:rPr/>
            </w:pPr>
            <w:r>
              <w:rPr/>
              <w:t>%</w:t>
            </w:r>
          </w:p>
        </w:tc>
      </w:tr>
      <w:tr>
        <w:trPr/>
        <w:tc>
          <w:tcPr>
            <w:tcW w:w="2315" w:type="dxa"/>
            <w:tcBorders/>
            <w:tcMar>
              <w:top w:w="0" w:type="dxa"/>
              <w:bottom w:w="0" w:type="dxa"/>
            </w:tcMar>
            <w:vAlign w:val="center"/>
          </w:tcPr>
          <w:p>
            <w:pPr>
              <w:pStyle w:val="TableContents"/>
              <w:bidi w:val="0"/>
              <w:spacing w:before="0" w:after="283"/>
              <w:jc w:val="left"/>
              <w:rPr/>
            </w:pPr>
            <w:r>
              <w:rPr/>
              <w:t>Backbone Paso Pe</w:t>
            </w:r>
          </w:p>
        </w:tc>
        <w:tc>
          <w:tcPr>
            <w:tcW w:w="90" w:type="dxa"/>
            <w:tcBorders/>
            <w:tcMar>
              <w:top w:w="0" w:type="dxa"/>
              <w:bottom w:w="0" w:type="dxa"/>
            </w:tcMar>
            <w:vAlign w:val="center"/>
          </w:tcPr>
          <w:p>
            <w:pPr>
              <w:pStyle w:val="TableContents"/>
              <w:bidi w:val="0"/>
              <w:spacing w:before="0" w:after="283"/>
              <w:jc w:val="left"/>
              <w:rPr/>
            </w:pPr>
            <w:r>
              <w:rPr/>
              <w:t> </w:t>
            </w:r>
          </w:p>
        </w:tc>
        <w:tc>
          <w:tcPr>
            <w:tcW w:w="1580" w:type="dxa"/>
            <w:tcBorders/>
            <w:tcMar>
              <w:top w:w="0" w:type="dxa"/>
              <w:bottom w:w="0" w:type="dxa"/>
            </w:tcMar>
            <w:vAlign w:val="center"/>
          </w:tcPr>
          <w:p>
            <w:pPr>
              <w:pStyle w:val="TableContents"/>
              <w:bidi w:val="0"/>
              <w:spacing w:before="0" w:after="283"/>
              <w:jc w:val="right"/>
              <w:rPr/>
            </w:pPr>
            <w:r>
              <w:rPr/>
              <w:t>Ordinary shares</w:t>
            </w:r>
          </w:p>
        </w:tc>
        <w:tc>
          <w:tcPr>
            <w:tcW w:w="90" w:type="dxa"/>
            <w:tcBorders/>
            <w:tcMar>
              <w:top w:w="0" w:type="dxa"/>
              <w:bottom w:w="0" w:type="dxa"/>
            </w:tcMar>
            <w:vAlign w:val="center"/>
          </w:tcPr>
          <w:p>
            <w:pPr>
              <w:pStyle w:val="TableContents"/>
              <w:bidi w:val="0"/>
              <w:spacing w:before="0" w:after="283"/>
              <w:jc w:val="left"/>
              <w:rPr/>
            </w:pPr>
            <w:r>
              <w:rPr/>
              <w:t> </w:t>
            </w:r>
          </w:p>
        </w:tc>
        <w:tc>
          <w:tcPr>
            <w:tcW w:w="2330" w:type="dxa"/>
            <w:tcBorders/>
            <w:tcMar>
              <w:top w:w="0" w:type="dxa"/>
              <w:bottom w:w="0" w:type="dxa"/>
            </w:tcMar>
            <w:vAlign w:val="center"/>
          </w:tcPr>
          <w:p>
            <w:pPr>
              <w:pStyle w:val="TableContents"/>
              <w:bidi w:val="0"/>
              <w:spacing w:before="0" w:after="283"/>
              <w:jc w:val="right"/>
              <w:rPr/>
            </w:pPr>
            <w:r>
              <w:rPr/>
              <w:t>PAR</w:t>
            </w:r>
          </w:p>
        </w:tc>
        <w:tc>
          <w:tcPr>
            <w:tcW w:w="90" w:type="dxa"/>
            <w:tcBorders/>
            <w:tcMar>
              <w:top w:w="0" w:type="dxa"/>
              <w:bottom w:w="0" w:type="dxa"/>
            </w:tcMar>
            <w:vAlign w:val="center"/>
          </w:tcPr>
          <w:p>
            <w:pPr>
              <w:pStyle w:val="TableContents"/>
              <w:bidi w:val="0"/>
              <w:spacing w:before="0" w:after="283"/>
              <w:jc w:val="left"/>
              <w:rPr/>
            </w:pPr>
            <w:r>
              <w:rPr/>
              <w:t> </w:t>
            </w:r>
          </w:p>
        </w:tc>
        <w:tc>
          <w:tcPr>
            <w:tcW w:w="184" w:type="dxa"/>
            <w:tcBorders/>
            <w:tcMar>
              <w:top w:w="0" w:type="dxa"/>
              <w:bottom w:w="0" w:type="dxa"/>
            </w:tcMar>
            <w:vAlign w:val="center"/>
          </w:tcPr>
          <w:p>
            <w:pPr>
              <w:pStyle w:val="TableContents"/>
              <w:bidi w:val="0"/>
              <w:spacing w:before="0" w:after="283"/>
              <w:jc w:val="left"/>
              <w:rPr/>
            </w:pPr>
            <w:r>
              <w:rPr/>
              <w:t> </w:t>
            </w:r>
          </w:p>
        </w:tc>
        <w:tc>
          <w:tcPr>
            <w:tcW w:w="841" w:type="dxa"/>
            <w:tcBorders/>
            <w:tcMar>
              <w:top w:w="0" w:type="dxa"/>
              <w:bottom w:w="0" w:type="dxa"/>
            </w:tcMar>
            <w:vAlign w:val="center"/>
          </w:tcPr>
          <w:p>
            <w:pPr>
              <w:pStyle w:val="TableContents"/>
              <w:bidi w:val="0"/>
              <w:spacing w:before="0" w:after="283"/>
              <w:jc w:val="right"/>
              <w:rPr/>
            </w:pPr>
            <w:r>
              <w:rPr/>
              <w:t>100</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33" w:type="dxa"/>
            <w:tcBorders/>
            <w:tcMar>
              <w:top w:w="0" w:type="dxa"/>
              <w:bottom w:w="0" w:type="dxa"/>
            </w:tcMar>
            <w:vAlign w:val="center"/>
          </w:tcPr>
          <w:p>
            <w:pPr>
              <w:pStyle w:val="TableContents"/>
              <w:bidi w:val="0"/>
              <w:spacing w:before="0" w:after="283"/>
              <w:jc w:val="left"/>
              <w:rPr/>
            </w:pPr>
            <w:r>
              <w:rPr/>
              <w:t> </w:t>
            </w:r>
          </w:p>
        </w:tc>
        <w:tc>
          <w:tcPr>
            <w:tcW w:w="607" w:type="dxa"/>
            <w:tcBorders/>
            <w:tcMar>
              <w:top w:w="0" w:type="dxa"/>
              <w:bottom w:w="0" w:type="dxa"/>
            </w:tcMar>
            <w:vAlign w:val="center"/>
          </w:tcPr>
          <w:p>
            <w:pPr>
              <w:pStyle w:val="TableContents"/>
              <w:bidi w:val="0"/>
              <w:spacing w:before="0" w:after="283"/>
              <w:jc w:val="right"/>
              <w:rPr/>
            </w:pPr>
            <w:r>
              <w:rPr/>
              <w:t>100</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33" w:type="dxa"/>
            <w:tcBorders/>
            <w:tcMar>
              <w:top w:w="0" w:type="dxa"/>
              <w:bottom w:w="0" w:type="dxa"/>
            </w:tcMar>
            <w:vAlign w:val="center"/>
          </w:tcPr>
          <w:p>
            <w:pPr>
              <w:pStyle w:val="TableContents"/>
              <w:bidi w:val="0"/>
              <w:spacing w:before="0" w:after="283"/>
              <w:jc w:val="left"/>
              <w:rPr/>
            </w:pPr>
            <w:r>
              <w:rPr/>
              <w:t> </w:t>
            </w:r>
          </w:p>
        </w:tc>
        <w:tc>
          <w:tcPr>
            <w:tcW w:w="607" w:type="dxa"/>
            <w:tcBorders/>
            <w:tcMar>
              <w:top w:w="0" w:type="dxa"/>
              <w:bottom w:w="0" w:type="dxa"/>
            </w:tcMar>
            <w:vAlign w:val="center"/>
          </w:tcPr>
          <w:p>
            <w:pPr>
              <w:pStyle w:val="TableContents"/>
              <w:bidi w:val="0"/>
              <w:spacing w:before="0" w:after="283"/>
              <w:jc w:val="right"/>
              <w:rPr/>
            </w:pPr>
            <w:r>
              <w:rPr/>
              <w:t>100</w:t>
            </w:r>
          </w:p>
        </w:tc>
        <w:tc>
          <w:tcPr>
            <w:tcW w:w="290" w:type="dxa"/>
            <w:tcBorders/>
            <w:tcMar>
              <w:top w:w="0" w:type="dxa"/>
              <w:bottom w:w="0" w:type="dxa"/>
            </w:tcMar>
            <w:vAlign w:val="center"/>
          </w:tcPr>
          <w:p>
            <w:pPr>
              <w:pStyle w:val="TableContents"/>
              <w:bidi w:val="0"/>
              <w:spacing w:before="0" w:after="283"/>
              <w:jc w:val="left"/>
              <w:rPr/>
            </w:pPr>
            <w:r>
              <w:rPr/>
              <w:t>%</w:t>
            </w:r>
          </w:p>
        </w:tc>
      </w:tr>
      <w:tr>
        <w:trPr/>
        <w:tc>
          <w:tcPr>
            <w:tcW w:w="2315" w:type="dxa"/>
            <w:tcBorders/>
            <w:shd w:fill="CCEEFF" w:val="clear"/>
            <w:tcMar>
              <w:top w:w="0" w:type="dxa"/>
              <w:bottom w:w="0" w:type="dxa"/>
            </w:tcMar>
            <w:vAlign w:val="center"/>
          </w:tcPr>
          <w:p>
            <w:pPr>
              <w:pStyle w:val="TableContents"/>
              <w:bidi w:val="0"/>
              <w:spacing w:before="0" w:after="283"/>
              <w:jc w:val="left"/>
              <w:rPr/>
            </w:pPr>
            <w:r>
              <w:rPr/>
              <w:t>Backbone Yguazu</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580" w:type="dxa"/>
            <w:tcBorders/>
            <w:shd w:fill="CCEEFF" w:val="clear"/>
            <w:tcMar>
              <w:top w:w="0" w:type="dxa"/>
              <w:bottom w:w="0" w:type="dxa"/>
            </w:tcMar>
            <w:vAlign w:val="center"/>
          </w:tcPr>
          <w:p>
            <w:pPr>
              <w:pStyle w:val="TableContents"/>
              <w:bidi w:val="0"/>
              <w:spacing w:before="0" w:after="283"/>
              <w:jc w:val="right"/>
              <w:rPr/>
            </w:pPr>
            <w:r>
              <w:rPr/>
              <w:t>Ordinary shares</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2330" w:type="dxa"/>
            <w:tcBorders/>
            <w:shd w:fill="CCEEFF" w:val="clear"/>
            <w:tcMar>
              <w:top w:w="0" w:type="dxa"/>
              <w:bottom w:w="0" w:type="dxa"/>
            </w:tcMar>
            <w:vAlign w:val="center"/>
          </w:tcPr>
          <w:p>
            <w:pPr>
              <w:pStyle w:val="TableContents"/>
              <w:bidi w:val="0"/>
              <w:spacing w:before="0" w:after="283"/>
              <w:jc w:val="right"/>
              <w:rPr/>
            </w:pPr>
            <w:r>
              <w:rPr/>
              <w:t>PAR</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84" w:type="dxa"/>
            <w:tcBorders/>
            <w:shd w:fill="CCEEFF" w:val="clear"/>
            <w:tcMar>
              <w:top w:w="0" w:type="dxa"/>
              <w:bottom w:w="0" w:type="dxa"/>
            </w:tcMar>
            <w:vAlign w:val="center"/>
          </w:tcPr>
          <w:p>
            <w:pPr>
              <w:pStyle w:val="TableContents"/>
              <w:bidi w:val="0"/>
              <w:spacing w:before="0" w:after="283"/>
              <w:jc w:val="left"/>
              <w:rPr/>
            </w:pPr>
            <w:r>
              <w:rPr/>
              <w:t> </w:t>
            </w:r>
          </w:p>
        </w:tc>
        <w:tc>
          <w:tcPr>
            <w:tcW w:w="841"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33" w:type="dxa"/>
            <w:tcBorders/>
            <w:shd w:fill="CCEEFF" w:val="clear"/>
            <w:tcMar>
              <w:top w:w="0" w:type="dxa"/>
              <w:bottom w:w="0" w:type="dxa"/>
            </w:tcMar>
            <w:vAlign w:val="center"/>
          </w:tcPr>
          <w:p>
            <w:pPr>
              <w:pStyle w:val="TableContents"/>
              <w:bidi w:val="0"/>
              <w:spacing w:before="0" w:after="283"/>
              <w:jc w:val="left"/>
              <w:rPr/>
            </w:pPr>
            <w:r>
              <w:rPr/>
              <w:t> </w:t>
            </w:r>
          </w:p>
        </w:tc>
        <w:tc>
          <w:tcPr>
            <w:tcW w:w="607"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33" w:type="dxa"/>
            <w:tcBorders/>
            <w:shd w:fill="CCEEFF" w:val="clear"/>
            <w:tcMar>
              <w:top w:w="0" w:type="dxa"/>
              <w:bottom w:w="0" w:type="dxa"/>
            </w:tcMar>
            <w:vAlign w:val="center"/>
          </w:tcPr>
          <w:p>
            <w:pPr>
              <w:pStyle w:val="TableContents"/>
              <w:bidi w:val="0"/>
              <w:spacing w:before="0" w:after="283"/>
              <w:jc w:val="left"/>
              <w:rPr/>
            </w:pPr>
            <w:r>
              <w:rPr/>
              <w:t> </w:t>
            </w:r>
          </w:p>
        </w:tc>
        <w:tc>
          <w:tcPr>
            <w:tcW w:w="607" w:type="dxa"/>
            <w:tcBorders/>
            <w:shd w:fill="CCEEFF" w:val="clear"/>
            <w:tcMar>
              <w:top w:w="0" w:type="dxa"/>
              <w:bottom w:w="0" w:type="dxa"/>
            </w:tcMar>
            <w:vAlign w:val="center"/>
          </w:tcPr>
          <w:p>
            <w:pPr>
              <w:pStyle w:val="TableContents"/>
              <w:bidi w:val="0"/>
              <w:spacing w:before="0" w:after="283"/>
              <w:jc w:val="right"/>
              <w:rPr/>
            </w:pPr>
            <w:r>
              <w:rPr/>
              <w:t>100</w:t>
            </w:r>
          </w:p>
        </w:tc>
        <w:tc>
          <w:tcPr>
            <w:tcW w:w="290" w:type="dxa"/>
            <w:tcBorders/>
            <w:shd w:fill="CCEEFF" w:val="clear"/>
            <w:tcMar>
              <w:top w:w="0" w:type="dxa"/>
              <w:bottom w:w="0" w:type="dxa"/>
            </w:tcMar>
            <w:vAlign w:val="center"/>
          </w:tcPr>
          <w:p>
            <w:pPr>
              <w:pStyle w:val="TableContents"/>
              <w:bidi w:val="0"/>
              <w:spacing w:before="0" w:after="283"/>
              <w:jc w:val="left"/>
              <w:rPr/>
            </w:pPr>
            <w:r>
              <w:rPr/>
              <w:t>%</w:t>
            </w:r>
          </w:p>
        </w:tc>
      </w:tr>
      <w:tr>
        <w:trPr/>
        <w:tc>
          <w:tcPr>
            <w:tcW w:w="2315" w:type="dxa"/>
            <w:tcBorders/>
            <w:tcMar>
              <w:top w:w="0" w:type="dxa"/>
              <w:bottom w:w="0" w:type="dxa"/>
            </w:tcMar>
            <w:vAlign w:val="center"/>
          </w:tcPr>
          <w:p>
            <w:pPr>
              <w:pStyle w:val="TableContents"/>
              <w:bidi w:val="0"/>
              <w:spacing w:before="0" w:after="283"/>
              <w:jc w:val="left"/>
              <w:rPr/>
            </w:pPr>
            <w:r>
              <w:rPr/>
              <w:t>Backbone Paraguay LP</w:t>
            </w:r>
          </w:p>
        </w:tc>
        <w:tc>
          <w:tcPr>
            <w:tcW w:w="90" w:type="dxa"/>
            <w:tcBorders/>
            <w:tcMar>
              <w:top w:w="0" w:type="dxa"/>
              <w:bottom w:w="0" w:type="dxa"/>
            </w:tcMar>
            <w:vAlign w:val="center"/>
          </w:tcPr>
          <w:p>
            <w:pPr>
              <w:pStyle w:val="TableContents"/>
              <w:bidi w:val="0"/>
              <w:spacing w:before="0" w:after="283"/>
              <w:jc w:val="left"/>
              <w:rPr/>
            </w:pPr>
            <w:r>
              <w:rPr/>
              <w:t> </w:t>
            </w:r>
          </w:p>
        </w:tc>
        <w:tc>
          <w:tcPr>
            <w:tcW w:w="1580" w:type="dxa"/>
            <w:tcBorders/>
            <w:tcMar>
              <w:top w:w="0" w:type="dxa"/>
              <w:bottom w:w="0" w:type="dxa"/>
            </w:tcMar>
            <w:vAlign w:val="center"/>
          </w:tcPr>
          <w:p>
            <w:pPr>
              <w:pStyle w:val="TableContents"/>
              <w:bidi w:val="0"/>
              <w:spacing w:before="0" w:after="283"/>
              <w:jc w:val="right"/>
              <w:rPr/>
            </w:pPr>
            <w:r>
              <w:rPr/>
              <w:t>Common shares</w:t>
            </w:r>
          </w:p>
        </w:tc>
        <w:tc>
          <w:tcPr>
            <w:tcW w:w="90" w:type="dxa"/>
            <w:tcBorders/>
            <w:tcMar>
              <w:top w:w="0" w:type="dxa"/>
              <w:bottom w:w="0" w:type="dxa"/>
            </w:tcMar>
            <w:vAlign w:val="center"/>
          </w:tcPr>
          <w:p>
            <w:pPr>
              <w:pStyle w:val="TableContents"/>
              <w:bidi w:val="0"/>
              <w:spacing w:before="0" w:after="283"/>
              <w:jc w:val="left"/>
              <w:rPr/>
            </w:pPr>
            <w:r>
              <w:rPr/>
              <w:t> </w:t>
            </w:r>
          </w:p>
        </w:tc>
        <w:tc>
          <w:tcPr>
            <w:tcW w:w="2330" w:type="dxa"/>
            <w:tcBorders/>
            <w:tcMar>
              <w:top w:w="0" w:type="dxa"/>
              <w:bottom w:w="0" w:type="dxa"/>
            </w:tcMar>
            <w:vAlign w:val="center"/>
          </w:tcPr>
          <w:p>
            <w:pPr>
              <w:pStyle w:val="TableContents"/>
              <w:bidi w:val="0"/>
              <w:spacing w:before="0" w:after="283"/>
              <w:jc w:val="right"/>
              <w:rPr/>
            </w:pPr>
            <w:r>
              <w:rPr/>
              <w:t>PAR</w:t>
            </w:r>
          </w:p>
        </w:tc>
        <w:tc>
          <w:tcPr>
            <w:tcW w:w="90" w:type="dxa"/>
            <w:tcBorders/>
            <w:tcMar>
              <w:top w:w="0" w:type="dxa"/>
              <w:bottom w:w="0" w:type="dxa"/>
            </w:tcMar>
            <w:vAlign w:val="center"/>
          </w:tcPr>
          <w:p>
            <w:pPr>
              <w:pStyle w:val="TableContents"/>
              <w:bidi w:val="0"/>
              <w:spacing w:before="0" w:after="283"/>
              <w:jc w:val="left"/>
              <w:rPr/>
            </w:pPr>
            <w:r>
              <w:rPr/>
              <w:t> </w:t>
            </w:r>
          </w:p>
        </w:tc>
        <w:tc>
          <w:tcPr>
            <w:tcW w:w="184" w:type="dxa"/>
            <w:tcBorders/>
            <w:tcMar>
              <w:top w:w="0" w:type="dxa"/>
              <w:bottom w:w="0" w:type="dxa"/>
            </w:tcMar>
            <w:vAlign w:val="center"/>
          </w:tcPr>
          <w:p>
            <w:pPr>
              <w:pStyle w:val="TableContents"/>
              <w:bidi w:val="0"/>
              <w:spacing w:before="0" w:after="283"/>
              <w:jc w:val="left"/>
              <w:rPr/>
            </w:pPr>
            <w:r>
              <w:rPr/>
              <w:t> </w:t>
            </w:r>
          </w:p>
        </w:tc>
        <w:tc>
          <w:tcPr>
            <w:tcW w:w="841" w:type="dxa"/>
            <w:tcBorders/>
            <w:tcMar>
              <w:top w:w="0" w:type="dxa"/>
              <w:bottom w:w="0" w:type="dxa"/>
            </w:tcMar>
            <w:vAlign w:val="center"/>
          </w:tcPr>
          <w:p>
            <w:pPr>
              <w:pStyle w:val="TableContents"/>
              <w:bidi w:val="0"/>
              <w:spacing w:before="0" w:after="283"/>
              <w:jc w:val="right"/>
              <w:rPr/>
            </w:pPr>
            <w:r>
              <w:rPr/>
              <w:t>100</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33" w:type="dxa"/>
            <w:tcBorders/>
            <w:tcMar>
              <w:top w:w="0" w:type="dxa"/>
              <w:bottom w:w="0" w:type="dxa"/>
            </w:tcMar>
            <w:vAlign w:val="center"/>
          </w:tcPr>
          <w:p>
            <w:pPr>
              <w:pStyle w:val="TableContents"/>
              <w:bidi w:val="0"/>
              <w:spacing w:before="0" w:after="283"/>
              <w:jc w:val="left"/>
              <w:rPr/>
            </w:pPr>
            <w:r>
              <w:rPr/>
              <w:t> </w:t>
            </w:r>
          </w:p>
        </w:tc>
        <w:tc>
          <w:tcPr>
            <w:tcW w:w="607" w:type="dxa"/>
            <w:tcBorders/>
            <w:tcMar>
              <w:top w:w="0" w:type="dxa"/>
              <w:bottom w:w="0" w:type="dxa"/>
            </w:tcMar>
            <w:vAlign w:val="center"/>
          </w:tcPr>
          <w:p>
            <w:pPr>
              <w:pStyle w:val="TableContents"/>
              <w:bidi w:val="0"/>
              <w:spacing w:before="0" w:after="283"/>
              <w:jc w:val="right"/>
              <w:rPr/>
            </w:pPr>
            <w:r>
              <w:rPr/>
              <w:t>100</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33" w:type="dxa"/>
            <w:tcBorders/>
            <w:tcMar>
              <w:top w:w="0" w:type="dxa"/>
              <w:bottom w:w="0" w:type="dxa"/>
            </w:tcMar>
            <w:vAlign w:val="center"/>
          </w:tcPr>
          <w:p>
            <w:pPr>
              <w:pStyle w:val="TableContents"/>
              <w:bidi w:val="0"/>
              <w:spacing w:before="0" w:after="283"/>
              <w:jc w:val="left"/>
              <w:rPr/>
            </w:pPr>
            <w:r>
              <w:rPr/>
              <w:t> </w:t>
            </w:r>
          </w:p>
        </w:tc>
        <w:tc>
          <w:tcPr>
            <w:tcW w:w="607" w:type="dxa"/>
            <w:tcBorders/>
            <w:tcMar>
              <w:top w:w="0" w:type="dxa"/>
              <w:bottom w:w="0" w:type="dxa"/>
            </w:tcMar>
            <w:vAlign w:val="center"/>
          </w:tcPr>
          <w:p>
            <w:pPr>
              <w:pStyle w:val="TableContents"/>
              <w:bidi w:val="0"/>
              <w:spacing w:before="0" w:after="283"/>
              <w:jc w:val="right"/>
              <w:rPr/>
            </w:pPr>
            <w:r>
              <w:rPr/>
              <w:t>100</w:t>
            </w:r>
          </w:p>
        </w:tc>
        <w:tc>
          <w:tcPr>
            <w:tcW w:w="290" w:type="dxa"/>
            <w:tcBorders/>
            <w:tcMar>
              <w:top w:w="0" w:type="dxa"/>
              <w:bottom w:w="0" w:type="dxa"/>
            </w:tcMar>
            <w:vAlign w:val="center"/>
          </w:tcPr>
          <w:p>
            <w:pPr>
              <w:pStyle w:val="TableContents"/>
              <w:bidi w:val="0"/>
              <w:spacing w:before="0" w:after="283"/>
              <w:jc w:val="left"/>
              <w:rPr/>
            </w:pPr>
            <w:r>
              <w:rPr/>
              <w:t>%</w:t>
            </w:r>
          </w:p>
        </w:tc>
      </w:tr>
      <w:tr>
        <w:trPr/>
        <w:tc>
          <w:tcPr>
            <w:tcW w:w="2315" w:type="dxa"/>
            <w:tcBorders/>
            <w:shd w:fill="CCEEFF" w:val="clear"/>
            <w:tcMar>
              <w:top w:w="0" w:type="dxa"/>
              <w:bottom w:w="0" w:type="dxa"/>
            </w:tcMar>
            <w:vAlign w:val="center"/>
          </w:tcPr>
          <w:p>
            <w:pPr>
              <w:pStyle w:val="TableContents"/>
              <w:bidi w:val="0"/>
              <w:spacing w:before="0" w:after="283"/>
              <w:jc w:val="left"/>
              <w:rPr/>
            </w:pPr>
            <w:r>
              <w:rPr/>
              <w:t>Orion</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580" w:type="dxa"/>
            <w:tcBorders/>
            <w:shd w:fill="CCEEFF" w:val="clear"/>
            <w:tcMar>
              <w:top w:w="0" w:type="dxa"/>
              <w:bottom w:w="0" w:type="dxa"/>
            </w:tcMar>
            <w:vAlign w:val="center"/>
          </w:tcPr>
          <w:p>
            <w:pPr>
              <w:pStyle w:val="TableContents"/>
              <w:bidi w:val="0"/>
              <w:spacing w:before="0" w:after="283"/>
              <w:jc w:val="right"/>
              <w:rPr/>
            </w:pPr>
            <w:r>
              <w:rPr/>
              <w:t>Common shares</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2330" w:type="dxa"/>
            <w:tcBorders/>
            <w:shd w:fill="CCEEFF" w:val="clear"/>
            <w:tcMar>
              <w:top w:w="0" w:type="dxa"/>
              <w:bottom w:w="0" w:type="dxa"/>
            </w:tcMar>
            <w:vAlign w:val="center"/>
          </w:tcPr>
          <w:p>
            <w:pPr>
              <w:pStyle w:val="TableContents"/>
              <w:bidi w:val="0"/>
              <w:spacing w:before="0" w:after="283"/>
              <w:jc w:val="right"/>
              <w:rPr/>
            </w:pPr>
            <w:r>
              <w:rPr/>
              <w:t>CAN</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84" w:type="dxa"/>
            <w:tcBorders/>
            <w:shd w:fill="CCEEFF" w:val="clear"/>
            <w:tcMar>
              <w:top w:w="0" w:type="dxa"/>
              <w:bottom w:w="0" w:type="dxa"/>
            </w:tcMar>
            <w:vAlign w:val="center"/>
          </w:tcPr>
          <w:p>
            <w:pPr>
              <w:pStyle w:val="TableContents"/>
              <w:bidi w:val="0"/>
              <w:spacing w:before="0" w:after="283"/>
              <w:jc w:val="left"/>
              <w:rPr/>
            </w:pPr>
            <w:r>
              <w:rPr/>
              <w:t> </w:t>
            </w:r>
          </w:p>
        </w:tc>
        <w:tc>
          <w:tcPr>
            <w:tcW w:w="841"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33" w:type="dxa"/>
            <w:tcBorders/>
            <w:shd w:fill="CCEEFF" w:val="clear"/>
            <w:tcMar>
              <w:top w:w="0" w:type="dxa"/>
              <w:bottom w:w="0" w:type="dxa"/>
            </w:tcMar>
            <w:vAlign w:val="center"/>
          </w:tcPr>
          <w:p>
            <w:pPr>
              <w:pStyle w:val="TableContents"/>
              <w:bidi w:val="0"/>
              <w:spacing w:before="0" w:after="283"/>
              <w:jc w:val="left"/>
              <w:rPr/>
            </w:pPr>
            <w:r>
              <w:rPr/>
              <w:t> </w:t>
            </w:r>
          </w:p>
        </w:tc>
        <w:tc>
          <w:tcPr>
            <w:tcW w:w="607"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33" w:type="dxa"/>
            <w:tcBorders/>
            <w:shd w:fill="CCEEFF" w:val="clear"/>
            <w:tcMar>
              <w:top w:w="0" w:type="dxa"/>
              <w:bottom w:w="0" w:type="dxa"/>
            </w:tcMar>
            <w:vAlign w:val="center"/>
          </w:tcPr>
          <w:p>
            <w:pPr>
              <w:pStyle w:val="TableContents"/>
              <w:bidi w:val="0"/>
              <w:spacing w:before="0" w:after="283"/>
              <w:jc w:val="left"/>
              <w:rPr/>
            </w:pPr>
            <w:r>
              <w:rPr/>
              <w:t> </w:t>
            </w:r>
          </w:p>
        </w:tc>
        <w:tc>
          <w:tcPr>
            <w:tcW w:w="607" w:type="dxa"/>
            <w:tcBorders/>
            <w:shd w:fill="CCEEFF" w:val="clear"/>
            <w:tcMar>
              <w:top w:w="0" w:type="dxa"/>
              <w:bottom w:w="0" w:type="dxa"/>
            </w:tcMar>
            <w:vAlign w:val="center"/>
          </w:tcPr>
          <w:p>
            <w:pPr>
              <w:pStyle w:val="TableContents"/>
              <w:bidi w:val="0"/>
              <w:spacing w:before="0" w:after="283"/>
              <w:jc w:val="right"/>
              <w:rPr/>
            </w:pPr>
            <w:r>
              <w:rPr/>
              <w:t>100</w:t>
            </w:r>
          </w:p>
        </w:tc>
        <w:tc>
          <w:tcPr>
            <w:tcW w:w="290" w:type="dxa"/>
            <w:tcBorders/>
            <w:shd w:fill="CCEEFF" w:val="clear"/>
            <w:tcMar>
              <w:top w:w="0" w:type="dxa"/>
              <w:bottom w:w="0" w:type="dxa"/>
            </w:tcMar>
            <w:vAlign w:val="center"/>
          </w:tcPr>
          <w:p>
            <w:pPr>
              <w:pStyle w:val="TableContents"/>
              <w:bidi w:val="0"/>
              <w:spacing w:before="0" w:after="283"/>
              <w:jc w:val="left"/>
              <w:rPr/>
            </w:pPr>
            <w:r>
              <w:rPr/>
              <w:t>%</w:t>
            </w:r>
          </w:p>
        </w:tc>
      </w:tr>
      <w:tr>
        <w:trPr/>
        <w:tc>
          <w:tcPr>
            <w:tcW w:w="2315" w:type="dxa"/>
            <w:tcBorders>
              <w:bottom w:val="single" w:sz="12" w:space="0" w:color="000000"/>
            </w:tcBorders>
            <w:tcMar>
              <w:top w:w="0" w:type="dxa"/>
            </w:tcMar>
            <w:vAlign w:val="center"/>
          </w:tcPr>
          <w:p>
            <w:pPr>
              <w:pStyle w:val="TableContents"/>
              <w:bidi w:val="0"/>
              <w:spacing w:before="0" w:after="283"/>
              <w:jc w:val="left"/>
              <w:rPr/>
            </w:pPr>
            <w:r>
              <w:rPr/>
              <w:t>Volta</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1580" w:type="dxa"/>
            <w:tcBorders>
              <w:bottom w:val="single" w:sz="12" w:space="0" w:color="000000"/>
            </w:tcBorders>
            <w:tcMar>
              <w:top w:w="0" w:type="dxa"/>
            </w:tcMar>
            <w:vAlign w:val="center"/>
          </w:tcPr>
          <w:p>
            <w:pPr>
              <w:pStyle w:val="TableContents"/>
              <w:bidi w:val="0"/>
              <w:spacing w:before="0" w:after="283"/>
              <w:jc w:val="right"/>
              <w:rPr/>
            </w:pPr>
            <w:r>
              <w:rPr/>
              <w:t>Common shares</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2330" w:type="dxa"/>
            <w:tcBorders>
              <w:bottom w:val="single" w:sz="12" w:space="0" w:color="000000"/>
            </w:tcBorders>
            <w:tcMar>
              <w:top w:w="0" w:type="dxa"/>
            </w:tcMar>
            <w:vAlign w:val="center"/>
          </w:tcPr>
          <w:p>
            <w:pPr>
              <w:pStyle w:val="TableContents"/>
              <w:bidi w:val="0"/>
              <w:spacing w:before="0" w:after="283"/>
              <w:jc w:val="right"/>
              <w:rPr/>
            </w:pPr>
            <w:r>
              <w:rPr/>
              <w:t>CAN</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184" w:type="dxa"/>
            <w:tcBorders>
              <w:bottom w:val="single" w:sz="12" w:space="0" w:color="000000"/>
            </w:tcBorders>
            <w:tcMar>
              <w:top w:w="0" w:type="dxa"/>
            </w:tcMar>
            <w:vAlign w:val="center"/>
          </w:tcPr>
          <w:p>
            <w:pPr>
              <w:pStyle w:val="TableContents"/>
              <w:bidi w:val="0"/>
              <w:spacing w:before="0" w:after="283"/>
              <w:jc w:val="left"/>
              <w:rPr/>
            </w:pPr>
            <w:r>
              <w:rPr/>
              <w:t> </w:t>
            </w:r>
          </w:p>
        </w:tc>
        <w:tc>
          <w:tcPr>
            <w:tcW w:w="841" w:type="dxa"/>
            <w:tcBorders>
              <w:bottom w:val="single" w:sz="12" w:space="0" w:color="000000"/>
            </w:tcBorders>
            <w:tcMar>
              <w:top w:w="0" w:type="dxa"/>
            </w:tcMar>
            <w:vAlign w:val="center"/>
          </w:tcPr>
          <w:p>
            <w:pPr>
              <w:pStyle w:val="TableContents"/>
              <w:bidi w:val="0"/>
              <w:spacing w:before="0" w:after="283"/>
              <w:jc w:val="right"/>
              <w:rPr/>
            </w:pPr>
            <w:r>
              <w:rPr/>
              <w:t>100</w:t>
            </w:r>
          </w:p>
        </w:tc>
        <w:tc>
          <w:tcPr>
            <w:tcW w:w="245" w:type="dxa"/>
            <w:tcBorders>
              <w:bottom w:val="single" w:sz="12" w:space="0" w:color="000000"/>
            </w:tcBorders>
            <w:tcMar>
              <w:top w:w="0" w:type="dxa"/>
            </w:tcMar>
            <w:vAlign w:val="center"/>
          </w:tcPr>
          <w:p>
            <w:pPr>
              <w:pStyle w:val="TableContents"/>
              <w:bidi w:val="0"/>
              <w:spacing w:before="0" w:after="283"/>
              <w:jc w:val="left"/>
              <w:rPr/>
            </w:pPr>
            <w:r>
              <w:rPr/>
              <w:t>%</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133" w:type="dxa"/>
            <w:tcBorders>
              <w:bottom w:val="single" w:sz="12" w:space="0" w:color="000000"/>
            </w:tcBorders>
            <w:tcMar>
              <w:top w:w="0" w:type="dxa"/>
            </w:tcMar>
            <w:vAlign w:val="center"/>
          </w:tcPr>
          <w:p>
            <w:pPr>
              <w:pStyle w:val="TableContents"/>
              <w:bidi w:val="0"/>
              <w:spacing w:before="0" w:after="283"/>
              <w:jc w:val="left"/>
              <w:rPr/>
            </w:pPr>
            <w:r>
              <w:rPr/>
              <w:t> </w:t>
            </w:r>
          </w:p>
        </w:tc>
        <w:tc>
          <w:tcPr>
            <w:tcW w:w="607" w:type="dxa"/>
            <w:tcBorders>
              <w:bottom w:val="single" w:sz="12" w:space="0" w:color="000000"/>
            </w:tcBorders>
            <w:tcMar>
              <w:top w:w="0" w:type="dxa"/>
            </w:tcMar>
            <w:vAlign w:val="center"/>
          </w:tcPr>
          <w:p>
            <w:pPr>
              <w:pStyle w:val="TableContents"/>
              <w:bidi w:val="0"/>
              <w:spacing w:before="0" w:after="283"/>
              <w:jc w:val="right"/>
              <w:rPr/>
            </w:pPr>
            <w:r>
              <w:rPr/>
              <w:t>100</w:t>
            </w:r>
          </w:p>
        </w:tc>
        <w:tc>
          <w:tcPr>
            <w:tcW w:w="245" w:type="dxa"/>
            <w:tcBorders>
              <w:bottom w:val="single" w:sz="12" w:space="0" w:color="000000"/>
            </w:tcBorders>
            <w:tcMar>
              <w:top w:w="0" w:type="dxa"/>
            </w:tcMar>
            <w:vAlign w:val="center"/>
          </w:tcPr>
          <w:p>
            <w:pPr>
              <w:pStyle w:val="TableContents"/>
              <w:bidi w:val="0"/>
              <w:spacing w:before="0" w:after="283"/>
              <w:jc w:val="left"/>
              <w:rPr/>
            </w:pPr>
            <w:r>
              <w:rPr/>
              <w:t>%</w:t>
            </w:r>
          </w:p>
        </w:tc>
        <w:tc>
          <w:tcPr>
            <w:tcW w:w="90" w:type="dxa"/>
            <w:tcBorders>
              <w:bottom w:val="single" w:sz="12" w:space="0" w:color="000000"/>
            </w:tcBorders>
            <w:tcMar>
              <w:top w:w="0" w:type="dxa"/>
            </w:tcMar>
            <w:vAlign w:val="center"/>
          </w:tcPr>
          <w:p>
            <w:pPr>
              <w:pStyle w:val="TableContents"/>
              <w:bidi w:val="0"/>
              <w:spacing w:before="0" w:after="283"/>
              <w:jc w:val="left"/>
              <w:rPr/>
            </w:pPr>
            <w:r>
              <w:rPr/>
              <w:t> </w:t>
            </w:r>
          </w:p>
        </w:tc>
        <w:tc>
          <w:tcPr>
            <w:tcW w:w="133" w:type="dxa"/>
            <w:tcBorders>
              <w:bottom w:val="single" w:sz="12" w:space="0" w:color="000000"/>
            </w:tcBorders>
            <w:tcMar>
              <w:top w:w="0" w:type="dxa"/>
            </w:tcMar>
            <w:vAlign w:val="center"/>
          </w:tcPr>
          <w:p>
            <w:pPr>
              <w:pStyle w:val="TableContents"/>
              <w:bidi w:val="0"/>
              <w:spacing w:before="0" w:after="283"/>
              <w:jc w:val="left"/>
              <w:rPr/>
            </w:pPr>
            <w:r>
              <w:rPr/>
              <w:t> </w:t>
            </w:r>
          </w:p>
        </w:tc>
        <w:tc>
          <w:tcPr>
            <w:tcW w:w="607" w:type="dxa"/>
            <w:tcBorders>
              <w:bottom w:val="single" w:sz="12" w:space="0" w:color="000000"/>
            </w:tcBorders>
            <w:tcMar>
              <w:top w:w="0" w:type="dxa"/>
            </w:tcMar>
            <w:vAlign w:val="center"/>
          </w:tcPr>
          <w:p>
            <w:pPr>
              <w:pStyle w:val="TableContents"/>
              <w:bidi w:val="0"/>
              <w:spacing w:before="0" w:after="283"/>
              <w:jc w:val="right"/>
              <w:rPr/>
            </w:pPr>
            <w:r>
              <w:rPr/>
              <w:t>100</w:t>
            </w:r>
          </w:p>
        </w:tc>
        <w:tc>
          <w:tcPr>
            <w:tcW w:w="290" w:type="dxa"/>
            <w:tcBorders>
              <w:bottom w:val="single" w:sz="12" w:space="0" w:color="000000"/>
            </w:tcBorders>
            <w:tcMar>
              <w:top w:w="0" w:type="dxa"/>
            </w:tcMar>
            <w:vAlign w:val="center"/>
          </w:tcPr>
          <w:p>
            <w:pPr>
              <w:pStyle w:val="TableContents"/>
              <w:bidi w:val="0"/>
              <w:spacing w:before="0" w:after="283"/>
              <w:jc w:val="left"/>
              <w:rPr/>
            </w:pPr>
            <w:r>
              <w:rPr/>
              <w:t>%</w:t>
            </w:r>
          </w:p>
        </w:tc>
      </w:tr>
    </w:tbl>
    <w:p>
      <w:pPr>
        <w:pStyle w:val="TextBody"/>
        <w:bidi w:val="0"/>
        <w:spacing w:before="0" w:after="0"/>
        <w:ind w:left="23" w:right="0" w:hanging="6"/>
        <w:jc w:val="both"/>
        <w:rPr>
          <w:caps w:val="false"/>
          <w:smallCaps w:val="false"/>
        </w:rPr>
      </w:pPr>
      <w:r>
        <w:rPr>
          <w:caps w:val="false"/>
          <w:smallCaps w:val="false"/>
        </w:rPr>
        <w:t> </w:t>
      </w:r>
    </w:p>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assets, liabilities, revenues, expenses and cash flows in the consolidated financial statements are those of the entities listed in the table above. Refer to Note 30 for geographic information of revenues and property, plant and equipment.</w:t>
      </w:r>
    </w:p>
    <w:p>
      <w:pPr>
        <w:pStyle w:val="TextBody"/>
        <w:bidi w:val="0"/>
        <w:spacing w:before="0" w:after="0"/>
        <w:ind w:left="23" w:right="0" w:hanging="6"/>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5" w:name="a_035"/>
      <w:bookmarkStart w:id="76" w:name="a_035"/>
      <w:bookmarkEnd w:id="76"/>
    </w:p>
    <w:tbl>
      <w:tblPr>
        <w:tblW w:w="3918" w:type="dxa"/>
        <w:jc w:val="left"/>
        <w:tblInd w:w="0" w:type="dxa"/>
        <w:tblLayout w:type="fixed"/>
        <w:tblCellMar>
          <w:top w:w="0" w:type="dxa"/>
          <w:left w:w="0" w:type="dxa"/>
          <w:bottom w:w="0" w:type="dxa"/>
          <w:right w:w="0" w:type="dxa"/>
        </w:tblCellMar>
      </w:tblPr>
      <w:tblGrid>
        <w:gridCol w:w="68"/>
        <w:gridCol w:w="1115"/>
        <w:gridCol w:w="273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27:</w:t>
            </w:r>
          </w:p>
        </w:tc>
        <w:tc>
          <w:tcPr>
            <w:tcW w:w="2735" w:type="dxa"/>
            <w:tcBorders/>
            <w:vAlign w:val="center"/>
          </w:tcPr>
          <w:p>
            <w:pPr>
              <w:pStyle w:val="TableContents"/>
              <w:bidi w:val="0"/>
              <w:spacing w:before="0" w:after="283"/>
              <w:jc w:val="both"/>
              <w:rPr>
                <w:b/>
              </w:rPr>
            </w:pPr>
            <w:r>
              <w:rPr>
                <w:b/>
              </w:rPr>
              <w:t>NET LOSS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and 2023, potentially dilutive securities have not been included in the calculation of diluted loss per share because their effect is anti-dilutive. The additional potentially dilutive securities that would have been included in the calculation of diluted earnings per share, had their effect not been anti-dilutive for the year ended December 31, 2024, would have totaled 12,610,966 (year ended December 31, 2023: 4,964,361).</w:t>
      </w:r>
    </w:p>
    <w:p>
      <w:pPr>
        <w:pStyle w:val="TextBody"/>
        <w:bidi w:val="0"/>
        <w:spacing w:before="0" w:after="0"/>
        <w:ind w:left="17" w:right="0" w:hanging="6"/>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70 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 w:right="0" w:hanging="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17" w:right="0" w:hanging="6"/>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7" w:name="a_036"/>
      <w:bookmarkStart w:id="78" w:name="a_036"/>
      <w:bookmarkEnd w:id="78"/>
    </w:p>
    <w:tbl>
      <w:tblPr>
        <w:tblW w:w="4458" w:type="dxa"/>
        <w:jc w:val="left"/>
        <w:tblInd w:w="0" w:type="dxa"/>
        <w:tblLayout w:type="fixed"/>
        <w:tblCellMar>
          <w:top w:w="0" w:type="dxa"/>
          <w:left w:w="0" w:type="dxa"/>
          <w:bottom w:w="0" w:type="dxa"/>
          <w:right w:w="0" w:type="dxa"/>
        </w:tblCellMar>
      </w:tblPr>
      <w:tblGrid>
        <w:gridCol w:w="68"/>
        <w:gridCol w:w="1115"/>
        <w:gridCol w:w="327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28:</w:t>
            </w:r>
          </w:p>
        </w:tc>
        <w:tc>
          <w:tcPr>
            <w:tcW w:w="3275" w:type="dxa"/>
            <w:tcBorders/>
            <w:vAlign w:val="center"/>
          </w:tcPr>
          <w:p>
            <w:pPr>
              <w:pStyle w:val="TableContents"/>
              <w:bidi w:val="0"/>
              <w:spacing w:before="0" w:after="283"/>
              <w:jc w:val="both"/>
              <w:rPr>
                <w:b/>
              </w:rPr>
            </w:pPr>
            <w:r>
              <w:rPr>
                <w:b/>
              </w:rPr>
              <w:t>SHARE-BASED PAYMENTS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share-based payment expense related to stock options (“Options”) and restricted stock units (“RSU”) for employees, directors, consultants and former employees received was as follows:</w:t>
      </w:r>
    </w:p>
    <w:p>
      <w:pPr>
        <w:pStyle w:val="TextBody"/>
        <w:bidi w:val="0"/>
        <w:spacing w:before="0" w:after="0"/>
        <w:ind w:left="0" w:right="0" w:hanging="0"/>
        <w:jc w:val="both"/>
        <w:rPr>
          <w:caps w:val="false"/>
          <w:smallCaps w:val="false"/>
        </w:rPr>
      </w:pPr>
      <w:r>
        <w:rPr>
          <w:caps w:val="false"/>
          <w:smallCaps w:val="false"/>
        </w:rPr>
        <w:t> </w:t>
      </w:r>
    </w:p>
    <w:tbl>
      <w:tblPr>
        <w:tblW w:w="6878" w:type="dxa"/>
        <w:jc w:val="left"/>
        <w:tblInd w:w="0" w:type="dxa"/>
        <w:tblLayout w:type="fixed"/>
        <w:tblCellMar>
          <w:top w:w="0" w:type="dxa"/>
          <w:left w:w="0" w:type="dxa"/>
          <w:bottom w:w="28" w:type="dxa"/>
          <w:right w:w="0" w:type="dxa"/>
        </w:tblCellMar>
      </w:tblPr>
      <w:tblGrid>
        <w:gridCol w:w="3965"/>
        <w:gridCol w:w="90"/>
        <w:gridCol w:w="136"/>
        <w:gridCol w:w="1072"/>
        <w:gridCol w:w="136"/>
        <w:gridCol w:w="136"/>
        <w:gridCol w:w="136"/>
        <w:gridCol w:w="1072"/>
        <w:gridCol w:w="135"/>
      </w:tblGrid>
      <w:tr>
        <w:trPr/>
        <w:tc>
          <w:tcPr>
            <w:tcW w:w="396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88"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396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08" w:type="dxa"/>
            <w:gridSpan w:val="2"/>
            <w:tcBorders>
              <w:bottom w:val="single" w:sz="8" w:space="0" w:color="000000"/>
            </w:tcBorders>
            <w:vAlign w:val="center"/>
          </w:tcPr>
          <w:p>
            <w:pPr>
              <w:pStyle w:val="TableContents"/>
              <w:bidi w:val="0"/>
              <w:spacing w:before="0" w:after="283"/>
              <w:jc w:val="right"/>
              <w:rPr>
                <w:b/>
              </w:rPr>
            </w:pPr>
            <w:r>
              <w:rPr>
                <w:b/>
              </w:rPr>
              <w:t>2024</w:t>
            </w:r>
          </w:p>
        </w:tc>
        <w:tc>
          <w:tcPr>
            <w:tcW w:w="136" w:type="dxa"/>
            <w:tcBorders>
              <w:bottom w:val="single" w:sz="8" w:space="0" w:color="000000"/>
            </w:tcBorders>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208" w:type="dxa"/>
            <w:gridSpan w:val="2"/>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3965" w:type="dxa"/>
            <w:tcBorders>
              <w:bottom w:val="single" w:sz="12" w:space="0" w:color="000000"/>
            </w:tcBorders>
            <w:shd w:fill="CCEEFF" w:val="clear"/>
            <w:vAlign w:val="center"/>
          </w:tcPr>
          <w:p>
            <w:pPr>
              <w:pStyle w:val="TableContents"/>
              <w:bidi w:val="0"/>
              <w:spacing w:before="0" w:after="283"/>
              <w:jc w:val="left"/>
              <w:rPr/>
            </w:pPr>
            <w:r>
              <w:rPr/>
              <w:t>Equity-settled share-based payment plans</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072" w:type="dxa"/>
            <w:tcBorders>
              <w:bottom w:val="single" w:sz="12" w:space="0" w:color="000000"/>
            </w:tcBorders>
            <w:shd w:fill="CCEEFF" w:val="clear"/>
            <w:vAlign w:val="center"/>
          </w:tcPr>
          <w:p>
            <w:pPr>
              <w:pStyle w:val="TableContents"/>
              <w:bidi w:val="0"/>
              <w:spacing w:before="0" w:after="283"/>
              <w:jc w:val="right"/>
              <w:rPr>
                <w:b/>
              </w:rPr>
            </w:pPr>
            <w:r>
              <w:rPr>
                <w:b/>
              </w:rPr>
              <w:t>13,949</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vAlign w:val="center"/>
          </w:tcPr>
          <w:p>
            <w:pPr>
              <w:pStyle w:val="TableContents"/>
              <w:bidi w:val="0"/>
              <w:spacing w:before="0" w:after="283"/>
              <w:jc w:val="left"/>
              <w:rPr/>
            </w:pPr>
            <w:r>
              <w:rPr/>
              <w:t> </w:t>
            </w:r>
          </w:p>
        </w:tc>
        <w:tc>
          <w:tcPr>
            <w:tcW w:w="1072" w:type="dxa"/>
            <w:tcBorders>
              <w:bottom w:val="single" w:sz="12" w:space="0" w:color="000000"/>
            </w:tcBorders>
            <w:shd w:fill="CCEEFF" w:val="clear"/>
            <w:vAlign w:val="center"/>
          </w:tcPr>
          <w:p>
            <w:pPr>
              <w:pStyle w:val="TableContents"/>
              <w:bidi w:val="0"/>
              <w:spacing w:before="0" w:after="283"/>
              <w:jc w:val="right"/>
              <w:rPr/>
            </w:pPr>
            <w:r>
              <w:rPr/>
              <w:t>10,915</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Board approved stock option grants to purchase 9,010,000 common shares in accordance with the Long-Term Incentive Plan (the “LTIP Plan”) adopted on May 18, 2021 (year ended December 31, 2023: 13,156,250 common shares). All Options issued according to the LTIP Plan become exercisable when they vest and can be exercised for a maximum period of 5 years from the date of the grant.</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upon the voluntary surrender by Option holders, the Company cancelled outstanding Options exercisable for 10,535,000 common shares. The Company intended, but had no obligation, to grant new Options no less than 90 days after the cancellation date of the original Options to the persons who formerly held the cancelled Options. As the Options were cancelled without the concurrent grant of a replacement award, the cancellation was treated as a settlement for no consideration, and all remaining unrecognized share-based payment expense associated with the cancelled Options was accelerated for an amount of $914 during the first quarter of 2023.</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outstanding stock options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31"/>
        <w:gridCol w:w="90"/>
        <w:gridCol w:w="111"/>
        <w:gridCol w:w="1406"/>
        <w:gridCol w:w="125"/>
        <w:gridCol w:w="90"/>
        <w:gridCol w:w="361"/>
        <w:gridCol w:w="1897"/>
        <w:gridCol w:w="90"/>
        <w:gridCol w:w="90"/>
        <w:gridCol w:w="105"/>
        <w:gridCol w:w="1414"/>
        <w:gridCol w:w="125"/>
        <w:gridCol w:w="90"/>
        <w:gridCol w:w="343"/>
        <w:gridCol w:w="1798"/>
        <w:gridCol w:w="139"/>
      </w:tblGrid>
      <w:tr>
        <w:trPr/>
        <w:tc>
          <w:tcPr>
            <w:tcW w:w="1931"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045" w:type="dxa"/>
            <w:gridSpan w:val="14"/>
            <w:tcBorders>
              <w:bottom w:val="single" w:sz="8" w:space="0" w:color="000000"/>
            </w:tcBorders>
            <w:vAlign w:val="center"/>
          </w:tcPr>
          <w:p>
            <w:pPr>
              <w:pStyle w:val="TableContents"/>
              <w:bidi w:val="0"/>
              <w:spacing w:before="0" w:after="283"/>
              <w:jc w:val="center"/>
              <w:rPr>
                <w:b/>
              </w:rPr>
            </w:pPr>
            <w:r>
              <w:rPr>
                <w:b/>
              </w:rPr>
              <w:t>Year ended December 31,</w:t>
            </w:r>
          </w:p>
        </w:tc>
        <w:tc>
          <w:tcPr>
            <w:tcW w:w="139" w:type="dxa"/>
            <w:tcBorders>
              <w:bottom w:val="single" w:sz="8" w:space="0" w:color="000000"/>
            </w:tcBorders>
            <w:vAlign w:val="center"/>
          </w:tcPr>
          <w:p>
            <w:pPr>
              <w:pStyle w:val="TableContents"/>
              <w:bidi w:val="0"/>
              <w:spacing w:before="0" w:after="283"/>
              <w:jc w:val="left"/>
              <w:rPr/>
            </w:pPr>
            <w:r>
              <w:rPr/>
              <w:t> </w:t>
            </w:r>
          </w:p>
        </w:tc>
      </w:tr>
      <w:tr>
        <w:trPr/>
        <w:tc>
          <w:tcPr>
            <w:tcW w:w="1931"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990" w:type="dxa"/>
            <w:gridSpan w:val="6"/>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875" w:type="dxa"/>
            <w:gridSpan w:val="6"/>
            <w:tcBorders>
              <w:bottom w:val="single" w:sz="8" w:space="0" w:color="000000"/>
            </w:tcBorders>
            <w:vAlign w:val="center"/>
          </w:tcPr>
          <w:p>
            <w:pPr>
              <w:pStyle w:val="TableContents"/>
              <w:bidi w:val="0"/>
              <w:spacing w:before="0" w:after="283"/>
              <w:jc w:val="right"/>
              <w:rPr/>
            </w:pPr>
            <w:r>
              <w:rPr/>
              <w:t>2023</w:t>
            </w:r>
          </w:p>
        </w:tc>
        <w:tc>
          <w:tcPr>
            <w:tcW w:w="139" w:type="dxa"/>
            <w:tcBorders>
              <w:bottom w:val="single" w:sz="8" w:space="0" w:color="000000"/>
            </w:tcBorders>
            <w:vAlign w:val="center"/>
          </w:tcPr>
          <w:p>
            <w:pPr>
              <w:pStyle w:val="TableContents"/>
              <w:bidi w:val="0"/>
              <w:spacing w:before="0" w:after="283"/>
              <w:jc w:val="left"/>
              <w:rPr/>
            </w:pPr>
            <w:r>
              <w:rPr/>
              <w:t> </w:t>
            </w:r>
          </w:p>
        </w:tc>
      </w:tr>
      <w:tr>
        <w:trPr/>
        <w:tc>
          <w:tcPr>
            <w:tcW w:w="1931"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517" w:type="dxa"/>
            <w:gridSpan w:val="2"/>
            <w:tcBorders>
              <w:bottom w:val="single" w:sz="8" w:space="0" w:color="000000"/>
            </w:tcBorders>
            <w:vAlign w:val="center"/>
          </w:tcPr>
          <w:p>
            <w:pPr>
              <w:pStyle w:val="TableContents"/>
              <w:bidi w:val="0"/>
              <w:spacing w:before="0" w:after="283"/>
              <w:jc w:val="right"/>
              <w:rPr>
                <w:b/>
              </w:rPr>
            </w:pPr>
            <w:r>
              <w:rPr>
                <w:b/>
              </w:rPr>
              <w:t>Number of Options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258" w:type="dxa"/>
            <w:gridSpan w:val="2"/>
            <w:tcBorders>
              <w:bottom w:val="single" w:sz="8" w:space="0" w:color="000000"/>
            </w:tcBorders>
            <w:vAlign w:val="center"/>
          </w:tcPr>
          <w:p>
            <w:pPr>
              <w:pStyle w:val="TableContents"/>
              <w:bidi w:val="0"/>
              <w:spacing w:before="0" w:after="283"/>
              <w:jc w:val="right"/>
              <w:rPr>
                <w:b/>
              </w:rPr>
            </w:pPr>
            <w:r>
              <w:rPr>
                <w:b/>
              </w:rPr>
              <w:t>Weighted Average Exercise Price ($CAD)</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519" w:type="dxa"/>
            <w:gridSpan w:val="2"/>
            <w:tcBorders>
              <w:bottom w:val="single" w:sz="8" w:space="0" w:color="000000"/>
            </w:tcBorders>
            <w:vAlign w:val="center"/>
          </w:tcPr>
          <w:p>
            <w:pPr>
              <w:pStyle w:val="TableContents"/>
              <w:bidi w:val="0"/>
              <w:spacing w:before="0" w:after="283"/>
              <w:jc w:val="right"/>
              <w:rPr/>
            </w:pPr>
            <w:r>
              <w:rPr/>
              <w:t>Number of Options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141" w:type="dxa"/>
            <w:gridSpan w:val="2"/>
            <w:tcBorders>
              <w:bottom w:val="single" w:sz="8" w:space="0" w:color="000000"/>
            </w:tcBorders>
            <w:vAlign w:val="center"/>
          </w:tcPr>
          <w:p>
            <w:pPr>
              <w:pStyle w:val="TableContents"/>
              <w:bidi w:val="0"/>
              <w:spacing w:before="0" w:after="283"/>
              <w:jc w:val="right"/>
              <w:rPr/>
            </w:pPr>
            <w:r>
              <w:rPr/>
              <w:t>Weighted Average Exercise Price ($CAD)</w:t>
            </w:r>
          </w:p>
        </w:tc>
        <w:tc>
          <w:tcPr>
            <w:tcW w:w="139" w:type="dxa"/>
            <w:tcBorders>
              <w:bottom w:val="single" w:sz="8" w:space="0" w:color="000000"/>
            </w:tcBorders>
            <w:vAlign w:val="center"/>
          </w:tcPr>
          <w:p>
            <w:pPr>
              <w:pStyle w:val="TableContents"/>
              <w:bidi w:val="0"/>
              <w:spacing w:before="0" w:after="283"/>
              <w:jc w:val="left"/>
              <w:rPr/>
            </w:pPr>
            <w:r>
              <w:rPr/>
              <w:t> </w:t>
            </w:r>
          </w:p>
        </w:tc>
      </w:tr>
      <w:tr>
        <w:trPr/>
        <w:tc>
          <w:tcPr>
            <w:tcW w:w="1931" w:type="dxa"/>
            <w:tcBorders>
              <w:bottom w:val="single" w:sz="8" w:space="0" w:color="000000"/>
            </w:tcBorders>
            <w:shd w:fill="CCEEFF" w:val="clear"/>
            <w:vAlign w:val="center"/>
          </w:tcPr>
          <w:p>
            <w:pPr>
              <w:pStyle w:val="TableContents"/>
              <w:bidi w:val="0"/>
              <w:spacing w:before="0" w:after="283"/>
              <w:jc w:val="left"/>
              <w:rPr>
                <w:b/>
              </w:rPr>
            </w:pPr>
            <w:r>
              <w:rPr>
                <w:b/>
              </w:rPr>
              <w:t>Outstanding, January 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vAlign w:val="center"/>
          </w:tcPr>
          <w:p>
            <w:pPr>
              <w:pStyle w:val="TableContents"/>
              <w:bidi w:val="0"/>
              <w:spacing w:before="0" w:after="283"/>
              <w:jc w:val="left"/>
              <w:rPr/>
            </w:pPr>
            <w:r>
              <w:rPr/>
              <w:t> </w:t>
            </w:r>
          </w:p>
        </w:tc>
        <w:tc>
          <w:tcPr>
            <w:tcW w:w="1406" w:type="dxa"/>
            <w:tcBorders>
              <w:bottom w:val="single" w:sz="8" w:space="0" w:color="000000"/>
            </w:tcBorders>
            <w:shd w:fill="CCEEFF" w:val="clear"/>
            <w:vAlign w:val="center"/>
          </w:tcPr>
          <w:p>
            <w:pPr>
              <w:pStyle w:val="TableContents"/>
              <w:bidi w:val="0"/>
              <w:spacing w:before="0" w:after="283"/>
              <w:jc w:val="right"/>
              <w:rPr>
                <w:b/>
              </w:rPr>
            </w:pPr>
            <w:r>
              <w:rPr>
                <w:b/>
              </w:rPr>
              <w:t>20,939,387</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vAlign w:val="center"/>
          </w:tcPr>
          <w:p>
            <w:pPr>
              <w:pStyle w:val="TableContents"/>
              <w:bidi w:val="0"/>
              <w:spacing w:before="0" w:after="283"/>
              <w:jc w:val="left"/>
              <w:rPr/>
            </w:pPr>
            <w:r>
              <w:rPr/>
              <w:t> </w:t>
            </w:r>
          </w:p>
        </w:tc>
        <w:tc>
          <w:tcPr>
            <w:tcW w:w="1897" w:type="dxa"/>
            <w:tcBorders>
              <w:bottom w:val="single" w:sz="8" w:space="0" w:color="000000"/>
            </w:tcBorders>
            <w:shd w:fill="CCEEFF" w:val="clear"/>
            <w:vAlign w:val="center"/>
          </w:tcPr>
          <w:p>
            <w:pPr>
              <w:pStyle w:val="TableContents"/>
              <w:bidi w:val="0"/>
              <w:spacing w:before="0" w:after="283"/>
              <w:jc w:val="right"/>
              <w:rPr>
                <w:b/>
              </w:rPr>
            </w:pPr>
            <w:r>
              <w:rPr>
                <w:b/>
              </w:rPr>
              <w:t>2.41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vAlign w:val="center"/>
          </w:tcPr>
          <w:p>
            <w:pPr>
              <w:pStyle w:val="TableContents"/>
              <w:bidi w:val="0"/>
              <w:spacing w:before="0" w:after="283"/>
              <w:jc w:val="left"/>
              <w:rPr/>
            </w:pPr>
            <w:r>
              <w:rPr/>
              <w:t> </w:t>
            </w:r>
          </w:p>
        </w:tc>
        <w:tc>
          <w:tcPr>
            <w:tcW w:w="1414" w:type="dxa"/>
            <w:tcBorders>
              <w:bottom w:val="single" w:sz="8" w:space="0" w:color="000000"/>
            </w:tcBorders>
            <w:shd w:fill="CCEEFF" w:val="clear"/>
            <w:vAlign w:val="center"/>
          </w:tcPr>
          <w:p>
            <w:pPr>
              <w:pStyle w:val="TableContents"/>
              <w:bidi w:val="0"/>
              <w:spacing w:before="0" w:after="283"/>
              <w:jc w:val="right"/>
              <w:rPr/>
            </w:pPr>
            <w:r>
              <w:rPr/>
              <w:t>21,804,233</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vAlign w:val="center"/>
          </w:tcPr>
          <w:p>
            <w:pPr>
              <w:pStyle w:val="TableContents"/>
              <w:bidi w:val="0"/>
              <w:spacing w:before="0" w:after="283"/>
              <w:jc w:val="left"/>
              <w:rPr/>
            </w:pPr>
            <w:r>
              <w:rPr/>
              <w:t> </w:t>
            </w:r>
          </w:p>
        </w:tc>
        <w:tc>
          <w:tcPr>
            <w:tcW w:w="1798" w:type="dxa"/>
            <w:tcBorders>
              <w:bottom w:val="single" w:sz="8" w:space="0" w:color="000000"/>
            </w:tcBorders>
            <w:shd w:fill="CCEEFF" w:val="clear"/>
            <w:vAlign w:val="center"/>
          </w:tcPr>
          <w:p>
            <w:pPr>
              <w:pStyle w:val="TableContents"/>
              <w:bidi w:val="0"/>
              <w:spacing w:before="0" w:after="283"/>
              <w:jc w:val="right"/>
              <w:rPr/>
            </w:pPr>
            <w:r>
              <w:rPr/>
              <w:t>3.47</w:t>
            </w:r>
          </w:p>
        </w:tc>
        <w:tc>
          <w:tcPr>
            <w:tcW w:w="139"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1931" w:type="dxa"/>
            <w:tcBorders/>
            <w:tcMar>
              <w:bottom w:w="0" w:type="dxa"/>
            </w:tcMar>
            <w:vAlign w:val="center"/>
          </w:tcPr>
          <w:p>
            <w:pPr>
              <w:pStyle w:val="TableContents"/>
              <w:bidi w:val="0"/>
              <w:spacing w:before="0" w:after="283"/>
              <w:jc w:val="left"/>
              <w:rPr/>
            </w:pPr>
            <w:r>
              <w:rPr/>
              <w:t>Granted</w:t>
            </w:r>
          </w:p>
        </w:tc>
        <w:tc>
          <w:tcPr>
            <w:tcW w:w="90" w:type="dxa"/>
            <w:tcBorders/>
            <w:tcMar>
              <w:bottom w:w="0" w:type="dxa"/>
            </w:tcMar>
            <w:vAlign w:val="center"/>
          </w:tcPr>
          <w:p>
            <w:pPr>
              <w:pStyle w:val="TableContents"/>
              <w:bidi w:val="0"/>
              <w:spacing w:before="0" w:after="283"/>
              <w:jc w:val="left"/>
              <w:rPr/>
            </w:pPr>
            <w:r>
              <w:rPr/>
              <w:t> </w:t>
            </w:r>
          </w:p>
        </w:tc>
        <w:tc>
          <w:tcPr>
            <w:tcW w:w="111"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b/>
              </w:rPr>
            </w:pPr>
            <w:r>
              <w:rPr>
                <w:b/>
              </w:rPr>
              <w:t>9,010,000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1" w:type="dxa"/>
            <w:tcBorders/>
            <w:tcMar>
              <w:bottom w:w="0" w:type="dxa"/>
            </w:tcMar>
            <w:vAlign w:val="center"/>
          </w:tcPr>
          <w:p>
            <w:pPr>
              <w:pStyle w:val="TableContents"/>
              <w:bidi w:val="0"/>
              <w:spacing w:before="0" w:after="283"/>
              <w:jc w:val="left"/>
              <w:rPr/>
            </w:pPr>
            <w:r>
              <w:rPr/>
              <w:t> </w:t>
            </w:r>
          </w:p>
        </w:tc>
        <w:tc>
          <w:tcPr>
            <w:tcW w:w="1897" w:type="dxa"/>
            <w:tcBorders/>
            <w:tcMar>
              <w:bottom w:w="0" w:type="dxa"/>
            </w:tcMar>
            <w:vAlign w:val="center"/>
          </w:tcPr>
          <w:p>
            <w:pPr>
              <w:pStyle w:val="TableContents"/>
              <w:bidi w:val="0"/>
              <w:spacing w:before="0" w:after="283"/>
              <w:jc w:val="right"/>
              <w:rPr>
                <w:b/>
              </w:rPr>
            </w:pPr>
            <w:r>
              <w:rPr>
                <w:b/>
              </w:rPr>
              <w:t>2.96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414" w:type="dxa"/>
            <w:tcBorders/>
            <w:tcMar>
              <w:bottom w:w="0" w:type="dxa"/>
            </w:tcMar>
            <w:vAlign w:val="center"/>
          </w:tcPr>
          <w:p>
            <w:pPr>
              <w:pStyle w:val="TableContents"/>
              <w:bidi w:val="0"/>
              <w:spacing w:before="0" w:after="283"/>
              <w:jc w:val="right"/>
              <w:rPr/>
            </w:pPr>
            <w:r>
              <w:rPr/>
              <w:t>13,156,250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43" w:type="dxa"/>
            <w:tcBorders/>
            <w:tcMar>
              <w:bottom w:w="0" w:type="dxa"/>
            </w:tcMar>
            <w:vAlign w:val="center"/>
          </w:tcPr>
          <w:p>
            <w:pPr>
              <w:pStyle w:val="TableContents"/>
              <w:bidi w:val="0"/>
              <w:spacing w:before="0" w:after="283"/>
              <w:jc w:val="left"/>
              <w:rPr/>
            </w:pPr>
            <w:r>
              <w:rPr/>
              <w:t> </w:t>
            </w:r>
          </w:p>
        </w:tc>
        <w:tc>
          <w:tcPr>
            <w:tcW w:w="1798" w:type="dxa"/>
            <w:tcBorders/>
            <w:tcMar>
              <w:bottom w:w="0" w:type="dxa"/>
            </w:tcMar>
            <w:vAlign w:val="center"/>
          </w:tcPr>
          <w:p>
            <w:pPr>
              <w:pStyle w:val="TableContents"/>
              <w:bidi w:val="0"/>
              <w:spacing w:before="0" w:after="283"/>
              <w:jc w:val="right"/>
              <w:rPr/>
            </w:pPr>
            <w:r>
              <w:rPr/>
              <w:t>2.58</w:t>
            </w:r>
          </w:p>
        </w:tc>
        <w:tc>
          <w:tcPr>
            <w:tcW w:w="139" w:type="dxa"/>
            <w:tcBorders/>
            <w:tcMar>
              <w:bottom w:w="0" w:type="dxa"/>
            </w:tcMar>
            <w:vAlign w:val="center"/>
          </w:tcPr>
          <w:p>
            <w:pPr>
              <w:pStyle w:val="TableContents"/>
              <w:bidi w:val="0"/>
              <w:spacing w:before="0" w:after="283"/>
              <w:jc w:val="left"/>
              <w:rPr/>
            </w:pPr>
            <w:r>
              <w:rPr/>
              <w:t> </w:t>
            </w:r>
          </w:p>
        </w:tc>
      </w:tr>
      <w:tr>
        <w:trPr/>
        <w:tc>
          <w:tcPr>
            <w:tcW w:w="1931" w:type="dxa"/>
            <w:tcBorders/>
            <w:shd w:fill="CCEEFF" w:val="clear"/>
            <w:tcMar>
              <w:bottom w:w="0" w:type="dxa"/>
            </w:tcMar>
            <w:vAlign w:val="center"/>
          </w:tcPr>
          <w:p>
            <w:pPr>
              <w:pStyle w:val="TableContents"/>
              <w:bidi w:val="0"/>
              <w:spacing w:before="0" w:after="283"/>
              <w:jc w:val="left"/>
              <w:rPr/>
            </w:pPr>
            <w:r>
              <w:rPr/>
              <w:t>Exercised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b/>
              </w:rPr>
            </w:pPr>
            <w:r>
              <w:rPr>
                <w:b/>
              </w:rPr>
              <w:t>(2,644,873</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1" w:type="dxa"/>
            <w:tcBorders/>
            <w:shd w:fill="CCEEFF" w:val="clear"/>
            <w:tcMar>
              <w:bottom w:w="0" w:type="dxa"/>
            </w:tcMar>
            <w:vAlign w:val="center"/>
          </w:tcPr>
          <w:p>
            <w:pPr>
              <w:pStyle w:val="TableContents"/>
              <w:bidi w:val="0"/>
              <w:spacing w:before="0" w:after="283"/>
              <w:jc w:val="left"/>
              <w:rPr/>
            </w:pPr>
            <w:r>
              <w:rPr/>
              <w:t> </w:t>
            </w:r>
          </w:p>
        </w:tc>
        <w:tc>
          <w:tcPr>
            <w:tcW w:w="1897" w:type="dxa"/>
            <w:tcBorders/>
            <w:shd w:fill="CCEEFF" w:val="clear"/>
            <w:tcMar>
              <w:bottom w:w="0" w:type="dxa"/>
            </w:tcMar>
            <w:vAlign w:val="center"/>
          </w:tcPr>
          <w:p>
            <w:pPr>
              <w:pStyle w:val="TableContents"/>
              <w:bidi w:val="0"/>
              <w:spacing w:before="0" w:after="283"/>
              <w:jc w:val="right"/>
              <w:rPr>
                <w:b/>
              </w:rPr>
            </w:pPr>
            <w:r>
              <w:rPr>
                <w:b/>
              </w:rPr>
              <w:t>1.50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14" w:type="dxa"/>
            <w:tcBorders/>
            <w:shd w:fill="CCEEFF" w:val="clear"/>
            <w:tcMar>
              <w:bottom w:w="0" w:type="dxa"/>
            </w:tcMar>
            <w:vAlign w:val="center"/>
          </w:tcPr>
          <w:p>
            <w:pPr>
              <w:pStyle w:val="TableContents"/>
              <w:bidi w:val="0"/>
              <w:spacing w:before="0" w:after="283"/>
              <w:jc w:val="right"/>
              <w:rPr/>
            </w:pPr>
            <w:r>
              <w:rPr/>
              <w:t>(3,047,346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3" w:type="dxa"/>
            <w:tcBorders/>
            <w:shd w:fill="CCEEFF" w:val="clear"/>
            <w:tcMar>
              <w:bottom w:w="0" w:type="dxa"/>
            </w:tcMar>
            <w:vAlign w:val="center"/>
          </w:tcPr>
          <w:p>
            <w:pPr>
              <w:pStyle w:val="TableContents"/>
              <w:bidi w:val="0"/>
              <w:spacing w:before="0" w:after="283"/>
              <w:jc w:val="left"/>
              <w:rPr/>
            </w:pPr>
            <w:r>
              <w:rPr/>
              <w:t> </w:t>
            </w:r>
          </w:p>
        </w:tc>
        <w:tc>
          <w:tcPr>
            <w:tcW w:w="1798" w:type="dxa"/>
            <w:tcBorders/>
            <w:shd w:fill="CCEEFF" w:val="clear"/>
            <w:tcMar>
              <w:bottom w:w="0" w:type="dxa"/>
            </w:tcMar>
            <w:vAlign w:val="center"/>
          </w:tcPr>
          <w:p>
            <w:pPr>
              <w:pStyle w:val="TableContents"/>
              <w:bidi w:val="0"/>
              <w:spacing w:before="0" w:after="283"/>
              <w:jc w:val="right"/>
              <w:rPr/>
            </w:pPr>
            <w:r>
              <w:rPr/>
              <w:t>0.85</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931" w:type="dxa"/>
            <w:tcBorders/>
            <w:tcMar>
              <w:bottom w:w="0" w:type="dxa"/>
            </w:tcMar>
            <w:vAlign w:val="center"/>
          </w:tcPr>
          <w:p>
            <w:pPr>
              <w:pStyle w:val="TableContents"/>
              <w:bidi w:val="0"/>
              <w:spacing w:before="0" w:after="283"/>
              <w:jc w:val="left"/>
              <w:rPr/>
            </w:pPr>
            <w:r>
              <w:rPr/>
              <w:t>Cancelled</w:t>
            </w:r>
          </w:p>
        </w:tc>
        <w:tc>
          <w:tcPr>
            <w:tcW w:w="90" w:type="dxa"/>
            <w:tcBorders/>
            <w:tcMar>
              <w:bottom w:w="0" w:type="dxa"/>
            </w:tcMar>
            <w:vAlign w:val="center"/>
          </w:tcPr>
          <w:p>
            <w:pPr>
              <w:pStyle w:val="TableContents"/>
              <w:bidi w:val="0"/>
              <w:spacing w:before="0" w:after="283"/>
              <w:jc w:val="left"/>
              <w:rPr/>
            </w:pPr>
            <w:r>
              <w:rPr/>
              <w:t> </w:t>
            </w:r>
          </w:p>
        </w:tc>
        <w:tc>
          <w:tcPr>
            <w:tcW w:w="111"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1" w:type="dxa"/>
            <w:tcBorders/>
            <w:tcMar>
              <w:bottom w:w="0" w:type="dxa"/>
            </w:tcMar>
            <w:vAlign w:val="center"/>
          </w:tcPr>
          <w:p>
            <w:pPr>
              <w:pStyle w:val="TableContents"/>
              <w:bidi w:val="0"/>
              <w:spacing w:before="0" w:after="283"/>
              <w:jc w:val="left"/>
              <w:rPr/>
            </w:pPr>
            <w:r>
              <w:rPr/>
              <w:t> </w:t>
            </w:r>
          </w:p>
        </w:tc>
        <w:tc>
          <w:tcPr>
            <w:tcW w:w="1897"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414" w:type="dxa"/>
            <w:tcBorders/>
            <w:tcMar>
              <w:bottom w:w="0" w:type="dxa"/>
            </w:tcMar>
            <w:vAlign w:val="center"/>
          </w:tcPr>
          <w:p>
            <w:pPr>
              <w:pStyle w:val="TableContents"/>
              <w:bidi w:val="0"/>
              <w:spacing w:before="0" w:after="283"/>
              <w:jc w:val="right"/>
              <w:rPr/>
            </w:pPr>
            <w:r>
              <w:rPr/>
              <w:t>(10,633,750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343" w:type="dxa"/>
            <w:tcBorders/>
            <w:tcMar>
              <w:bottom w:w="0" w:type="dxa"/>
            </w:tcMar>
            <w:vAlign w:val="center"/>
          </w:tcPr>
          <w:p>
            <w:pPr>
              <w:pStyle w:val="TableContents"/>
              <w:bidi w:val="0"/>
              <w:spacing w:before="0" w:after="283"/>
              <w:jc w:val="left"/>
              <w:rPr/>
            </w:pPr>
            <w:r>
              <w:rPr/>
              <w:t> </w:t>
            </w:r>
          </w:p>
        </w:tc>
        <w:tc>
          <w:tcPr>
            <w:tcW w:w="1798" w:type="dxa"/>
            <w:tcBorders/>
            <w:tcMar>
              <w:bottom w:w="0" w:type="dxa"/>
            </w:tcMar>
            <w:vAlign w:val="center"/>
          </w:tcPr>
          <w:p>
            <w:pPr>
              <w:pStyle w:val="TableContents"/>
              <w:bidi w:val="0"/>
              <w:spacing w:before="0" w:after="283"/>
              <w:jc w:val="right"/>
              <w:rPr/>
            </w:pPr>
            <w:r>
              <w:rPr/>
              <w:t>5.15</w:t>
            </w:r>
          </w:p>
        </w:tc>
        <w:tc>
          <w:tcPr>
            <w:tcW w:w="139" w:type="dxa"/>
            <w:tcBorders/>
            <w:tcMar>
              <w:bottom w:w="0" w:type="dxa"/>
            </w:tcMar>
            <w:vAlign w:val="center"/>
          </w:tcPr>
          <w:p>
            <w:pPr>
              <w:pStyle w:val="TableContents"/>
              <w:bidi w:val="0"/>
              <w:spacing w:before="0" w:after="283"/>
              <w:jc w:val="left"/>
              <w:rPr/>
            </w:pPr>
            <w:r>
              <w:rPr/>
              <w:t> </w:t>
            </w:r>
          </w:p>
        </w:tc>
      </w:tr>
      <w:tr>
        <w:trPr/>
        <w:tc>
          <w:tcPr>
            <w:tcW w:w="1931" w:type="dxa"/>
            <w:tcBorders/>
            <w:shd w:fill="CCEEFF" w:val="clear"/>
            <w:tcMar>
              <w:bottom w:w="0" w:type="dxa"/>
            </w:tcMar>
            <w:vAlign w:val="center"/>
          </w:tcPr>
          <w:p>
            <w:pPr>
              <w:pStyle w:val="TableContents"/>
              <w:bidi w:val="0"/>
              <w:spacing w:before="0" w:after="283"/>
              <w:jc w:val="left"/>
              <w:rPr/>
            </w:pPr>
            <w:r>
              <w:rPr/>
              <w:t>Forfeited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b/>
              </w:rPr>
            </w:pPr>
            <w:r>
              <w:rPr>
                <w:b/>
              </w:rPr>
              <w:t>(142,500</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1" w:type="dxa"/>
            <w:tcBorders/>
            <w:shd w:fill="CCEEFF" w:val="clear"/>
            <w:tcMar>
              <w:bottom w:w="0" w:type="dxa"/>
            </w:tcMar>
            <w:vAlign w:val="center"/>
          </w:tcPr>
          <w:p>
            <w:pPr>
              <w:pStyle w:val="TableContents"/>
              <w:bidi w:val="0"/>
              <w:spacing w:before="0" w:after="283"/>
              <w:jc w:val="left"/>
              <w:rPr/>
            </w:pPr>
            <w:r>
              <w:rPr/>
              <w:t> </w:t>
            </w:r>
          </w:p>
        </w:tc>
        <w:tc>
          <w:tcPr>
            <w:tcW w:w="1897" w:type="dxa"/>
            <w:tcBorders/>
            <w:shd w:fill="CCEEFF" w:val="clear"/>
            <w:tcMar>
              <w:bottom w:w="0" w:type="dxa"/>
            </w:tcMar>
            <w:vAlign w:val="center"/>
          </w:tcPr>
          <w:p>
            <w:pPr>
              <w:pStyle w:val="TableContents"/>
              <w:bidi w:val="0"/>
              <w:spacing w:before="0" w:after="283"/>
              <w:jc w:val="right"/>
              <w:rPr>
                <w:b/>
              </w:rPr>
            </w:pPr>
            <w:r>
              <w:rPr>
                <w:b/>
              </w:rPr>
              <w:t>2.97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41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3" w:type="dxa"/>
            <w:tcBorders/>
            <w:shd w:fill="CCEEFF" w:val="clear"/>
            <w:tcMar>
              <w:bottom w:w="0" w:type="dxa"/>
            </w:tcMar>
            <w:vAlign w:val="center"/>
          </w:tcPr>
          <w:p>
            <w:pPr>
              <w:pStyle w:val="TableContents"/>
              <w:bidi w:val="0"/>
              <w:spacing w:before="0" w:after="283"/>
              <w:jc w:val="left"/>
              <w:rPr/>
            </w:pPr>
            <w:r>
              <w:rPr/>
              <w:t> </w:t>
            </w:r>
          </w:p>
        </w:tc>
        <w:tc>
          <w:tcPr>
            <w:tcW w:w="1798" w:type="dxa"/>
            <w:tcBorders/>
            <w:shd w:fill="CCEEFF" w:val="clear"/>
            <w:tcMar>
              <w:bottom w:w="0" w:type="dxa"/>
            </w:tcMar>
            <w:vAlign w:val="center"/>
          </w:tcPr>
          <w:p>
            <w:pPr>
              <w:pStyle w:val="TableContents"/>
              <w:bidi w:val="0"/>
              <w:spacing w:before="0" w:after="0"/>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931" w:type="dxa"/>
            <w:tcBorders>
              <w:bottom w:val="single" w:sz="8" w:space="0" w:color="000000"/>
            </w:tcBorders>
            <w:vAlign w:val="center"/>
          </w:tcPr>
          <w:p>
            <w:pPr>
              <w:pStyle w:val="TableContents"/>
              <w:bidi w:val="0"/>
              <w:spacing w:before="0" w:after="283"/>
              <w:jc w:val="left"/>
              <w:rPr/>
            </w:pPr>
            <w:r>
              <w:rPr/>
              <w:t>Expired</w:t>
            </w:r>
          </w:p>
        </w:tc>
        <w:tc>
          <w:tcPr>
            <w:tcW w:w="90" w:type="dxa"/>
            <w:tcBorders>
              <w:bottom w:val="single" w:sz="8" w:space="0" w:color="000000"/>
            </w:tcBorders>
            <w:vAlign w:val="center"/>
          </w:tcPr>
          <w:p>
            <w:pPr>
              <w:pStyle w:val="TableContents"/>
              <w:bidi w:val="0"/>
              <w:spacing w:before="0" w:after="283"/>
              <w:jc w:val="left"/>
              <w:rPr/>
            </w:pPr>
            <w:r>
              <w:rPr/>
              <w:t> </w:t>
            </w:r>
          </w:p>
        </w:tc>
        <w:tc>
          <w:tcPr>
            <w:tcW w:w="111" w:type="dxa"/>
            <w:tcBorders>
              <w:bottom w:val="single" w:sz="8" w:space="0" w:color="000000"/>
            </w:tcBorders>
            <w:vAlign w:val="center"/>
          </w:tcPr>
          <w:p>
            <w:pPr>
              <w:pStyle w:val="TableContents"/>
              <w:bidi w:val="0"/>
              <w:spacing w:before="0" w:after="283"/>
              <w:jc w:val="left"/>
              <w:rPr/>
            </w:pPr>
            <w:r>
              <w:rPr/>
              <w:t> </w:t>
            </w:r>
          </w:p>
        </w:tc>
        <w:tc>
          <w:tcPr>
            <w:tcW w:w="1406" w:type="dxa"/>
            <w:tcBorders>
              <w:bottom w:val="single" w:sz="8" w:space="0" w:color="000000"/>
            </w:tcBorders>
            <w:vAlign w:val="center"/>
          </w:tcPr>
          <w:p>
            <w:pPr>
              <w:pStyle w:val="TableContents"/>
              <w:bidi w:val="0"/>
              <w:spacing w:before="0" w:after="283"/>
              <w:jc w:val="right"/>
              <w:rPr>
                <w:b/>
              </w:rPr>
            </w:pPr>
            <w:r>
              <w:rPr>
                <w:b/>
              </w:rPr>
              <w:t>(296,250</w:t>
            </w:r>
          </w:p>
        </w:tc>
        <w:tc>
          <w:tcPr>
            <w:tcW w:w="125" w:type="dxa"/>
            <w:tcBorders>
              <w:bottom w:val="single" w:sz="8" w:space="0" w:color="000000"/>
            </w:tcBorders>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361" w:type="dxa"/>
            <w:tcBorders>
              <w:bottom w:val="single" w:sz="8" w:space="0" w:color="000000"/>
            </w:tcBorders>
            <w:vAlign w:val="center"/>
          </w:tcPr>
          <w:p>
            <w:pPr>
              <w:pStyle w:val="TableContents"/>
              <w:bidi w:val="0"/>
              <w:spacing w:before="0" w:after="283"/>
              <w:jc w:val="left"/>
              <w:rPr/>
            </w:pPr>
            <w:r>
              <w:rPr/>
              <w:t> </w:t>
            </w:r>
          </w:p>
        </w:tc>
        <w:tc>
          <w:tcPr>
            <w:tcW w:w="1897" w:type="dxa"/>
            <w:tcBorders>
              <w:bottom w:val="single" w:sz="8" w:space="0" w:color="000000"/>
            </w:tcBorders>
            <w:vAlign w:val="center"/>
          </w:tcPr>
          <w:p>
            <w:pPr>
              <w:pStyle w:val="TableContents"/>
              <w:bidi w:val="0"/>
              <w:spacing w:before="0" w:after="283"/>
              <w:jc w:val="right"/>
              <w:rPr>
                <w:b/>
              </w:rPr>
            </w:pPr>
            <w:r>
              <w:rPr>
                <w:b/>
              </w:rPr>
              <w:t>5.90</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05" w:type="dxa"/>
            <w:tcBorders>
              <w:bottom w:val="single" w:sz="8" w:space="0" w:color="000000"/>
            </w:tcBorders>
            <w:vAlign w:val="center"/>
          </w:tcPr>
          <w:p>
            <w:pPr>
              <w:pStyle w:val="TableContents"/>
              <w:bidi w:val="0"/>
              <w:spacing w:before="0" w:after="283"/>
              <w:jc w:val="left"/>
              <w:rPr/>
            </w:pPr>
            <w:r>
              <w:rPr/>
              <w:t> </w:t>
            </w:r>
          </w:p>
        </w:tc>
        <w:tc>
          <w:tcPr>
            <w:tcW w:w="1414" w:type="dxa"/>
            <w:tcBorders>
              <w:bottom w:val="single" w:sz="8" w:space="0" w:color="000000"/>
            </w:tcBorders>
            <w:vAlign w:val="center"/>
          </w:tcPr>
          <w:p>
            <w:pPr>
              <w:pStyle w:val="TableContents"/>
              <w:bidi w:val="0"/>
              <w:spacing w:before="0" w:after="283"/>
              <w:jc w:val="right"/>
              <w:rPr/>
            </w:pPr>
            <w:r>
              <w:rPr/>
              <w:t>(340,000</w:t>
            </w:r>
          </w:p>
        </w:tc>
        <w:tc>
          <w:tcPr>
            <w:tcW w:w="125" w:type="dxa"/>
            <w:tcBorders>
              <w:bottom w:val="single" w:sz="8" w:space="0" w:color="000000"/>
            </w:tcBorders>
            <w:vAlign w:val="center"/>
          </w:tcPr>
          <w:p>
            <w:pPr>
              <w:pStyle w:val="TableContents"/>
              <w:bidi w:val="0"/>
              <w:spacing w:before="0" w:after="283"/>
              <w:jc w:val="left"/>
              <w:rPr/>
            </w:pPr>
            <w:r>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343" w:type="dxa"/>
            <w:tcBorders>
              <w:bottom w:val="single" w:sz="8" w:space="0" w:color="000000"/>
            </w:tcBorders>
            <w:vAlign w:val="center"/>
          </w:tcPr>
          <w:p>
            <w:pPr>
              <w:pStyle w:val="TableContents"/>
              <w:bidi w:val="0"/>
              <w:spacing w:before="0" w:after="283"/>
              <w:jc w:val="left"/>
              <w:rPr/>
            </w:pPr>
            <w:r>
              <w:rPr/>
              <w:t> </w:t>
            </w:r>
          </w:p>
        </w:tc>
        <w:tc>
          <w:tcPr>
            <w:tcW w:w="1798" w:type="dxa"/>
            <w:tcBorders>
              <w:bottom w:val="single" w:sz="8" w:space="0" w:color="000000"/>
            </w:tcBorders>
            <w:vAlign w:val="center"/>
          </w:tcPr>
          <w:p>
            <w:pPr>
              <w:pStyle w:val="TableContents"/>
              <w:bidi w:val="0"/>
              <w:spacing w:before="0" w:after="283"/>
              <w:jc w:val="right"/>
              <w:rPr/>
            </w:pPr>
            <w:r>
              <w:rPr/>
              <w:t>5.47</w:t>
            </w:r>
          </w:p>
        </w:tc>
        <w:tc>
          <w:tcPr>
            <w:tcW w:w="139" w:type="dxa"/>
            <w:tcBorders>
              <w:bottom w:val="single" w:sz="8" w:space="0" w:color="000000"/>
            </w:tcBorders>
            <w:vAlign w:val="center"/>
          </w:tcPr>
          <w:p>
            <w:pPr>
              <w:pStyle w:val="TableContents"/>
              <w:bidi w:val="0"/>
              <w:spacing w:before="0" w:after="283"/>
              <w:jc w:val="left"/>
              <w:rPr/>
            </w:pPr>
            <w:r>
              <w:rPr/>
              <w:t> </w:t>
            </w:r>
          </w:p>
        </w:tc>
      </w:tr>
      <w:tr>
        <w:trPr/>
        <w:tc>
          <w:tcPr>
            <w:tcW w:w="1931" w:type="dxa"/>
            <w:tcBorders>
              <w:bottom w:val="single" w:sz="12" w:space="0" w:color="000000"/>
            </w:tcBorders>
            <w:shd w:fill="CCEEFF" w:val="clear"/>
            <w:vAlign w:val="center"/>
          </w:tcPr>
          <w:p>
            <w:pPr>
              <w:pStyle w:val="TableContents"/>
              <w:bidi w:val="0"/>
              <w:spacing w:before="0" w:after="283"/>
              <w:jc w:val="left"/>
              <w:rPr>
                <w:b/>
              </w:rPr>
            </w:pPr>
            <w:r>
              <w:rPr>
                <w:b/>
              </w:rPr>
              <w:t>Outstanding, December 31,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vAlign w:val="center"/>
          </w:tcPr>
          <w:p>
            <w:pPr>
              <w:pStyle w:val="TableContents"/>
              <w:bidi w:val="0"/>
              <w:spacing w:before="0" w:after="283"/>
              <w:jc w:val="left"/>
              <w:rPr/>
            </w:pPr>
            <w:r>
              <w:rPr/>
              <w:t> </w:t>
            </w:r>
          </w:p>
        </w:tc>
        <w:tc>
          <w:tcPr>
            <w:tcW w:w="1406" w:type="dxa"/>
            <w:tcBorders>
              <w:bottom w:val="single" w:sz="12" w:space="0" w:color="000000"/>
            </w:tcBorders>
            <w:shd w:fill="CCEEFF" w:val="clear"/>
            <w:vAlign w:val="center"/>
          </w:tcPr>
          <w:p>
            <w:pPr>
              <w:pStyle w:val="TableContents"/>
              <w:bidi w:val="0"/>
              <w:spacing w:before="0" w:after="283"/>
              <w:jc w:val="right"/>
              <w:rPr>
                <w:b/>
              </w:rPr>
            </w:pPr>
            <w:r>
              <w:rPr>
                <w:b/>
              </w:rPr>
              <w:t>26,865,764</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361" w:type="dxa"/>
            <w:tcBorders>
              <w:bottom w:val="single" w:sz="12" w:space="0" w:color="000000"/>
            </w:tcBorders>
            <w:shd w:fill="CCEEFF" w:val="clear"/>
            <w:vAlign w:val="center"/>
          </w:tcPr>
          <w:p>
            <w:pPr>
              <w:pStyle w:val="TableContents"/>
              <w:bidi w:val="0"/>
              <w:spacing w:before="0" w:after="283"/>
              <w:jc w:val="left"/>
              <w:rPr/>
            </w:pPr>
            <w:r>
              <w:rPr/>
              <w:t> </w:t>
            </w:r>
          </w:p>
        </w:tc>
        <w:tc>
          <w:tcPr>
            <w:tcW w:w="1897" w:type="dxa"/>
            <w:tcBorders>
              <w:bottom w:val="single" w:sz="12" w:space="0" w:color="000000"/>
            </w:tcBorders>
            <w:shd w:fill="CCEEFF" w:val="clear"/>
            <w:vAlign w:val="center"/>
          </w:tcPr>
          <w:p>
            <w:pPr>
              <w:pStyle w:val="TableContents"/>
              <w:bidi w:val="0"/>
              <w:spacing w:before="0" w:after="283"/>
              <w:jc w:val="right"/>
              <w:rPr>
                <w:b/>
              </w:rPr>
            </w:pPr>
            <w:r>
              <w:rPr>
                <w:b/>
              </w:rPr>
              <w:t>2.64</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1414" w:type="dxa"/>
            <w:tcBorders>
              <w:bottom w:val="single" w:sz="12" w:space="0" w:color="000000"/>
            </w:tcBorders>
            <w:shd w:fill="CCEEFF" w:val="clear"/>
            <w:vAlign w:val="center"/>
          </w:tcPr>
          <w:p>
            <w:pPr>
              <w:pStyle w:val="TableContents"/>
              <w:bidi w:val="0"/>
              <w:spacing w:before="0" w:after="283"/>
              <w:jc w:val="right"/>
              <w:rPr/>
            </w:pPr>
            <w:r>
              <w:rPr/>
              <w:t>20,939,387</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343" w:type="dxa"/>
            <w:tcBorders>
              <w:bottom w:val="single" w:sz="12" w:space="0" w:color="000000"/>
            </w:tcBorders>
            <w:shd w:fill="CCEEFF" w:val="clear"/>
            <w:vAlign w:val="center"/>
          </w:tcPr>
          <w:p>
            <w:pPr>
              <w:pStyle w:val="TableContents"/>
              <w:bidi w:val="0"/>
              <w:spacing w:before="0" w:after="283"/>
              <w:jc w:val="left"/>
              <w:rPr/>
            </w:pPr>
            <w:r>
              <w:rPr/>
              <w:t> </w:t>
            </w:r>
          </w:p>
        </w:tc>
        <w:tc>
          <w:tcPr>
            <w:tcW w:w="1798" w:type="dxa"/>
            <w:tcBorders>
              <w:bottom w:val="single" w:sz="12" w:space="0" w:color="000000"/>
            </w:tcBorders>
            <w:shd w:fill="CCEEFF" w:val="clear"/>
            <w:vAlign w:val="center"/>
          </w:tcPr>
          <w:p>
            <w:pPr>
              <w:pStyle w:val="TableContents"/>
              <w:bidi w:val="0"/>
              <w:spacing w:before="0" w:after="283"/>
              <w:jc w:val="right"/>
              <w:rPr/>
            </w:pPr>
            <w:r>
              <w:rPr/>
              <w:t>2.41</w:t>
            </w:r>
          </w:p>
        </w:tc>
        <w:tc>
          <w:tcPr>
            <w:tcW w:w="139" w:type="dxa"/>
            <w:tcBorders>
              <w:bottom w:val="single" w:sz="12" w:space="0" w:color="000000"/>
            </w:tcBorders>
            <w:shd w:fill="CCEEFF" w:val="clear"/>
            <w:vAlign w:val="center"/>
          </w:tcPr>
          <w:p>
            <w:pPr>
              <w:pStyle w:val="TableContents"/>
              <w:bidi w:val="0"/>
              <w:spacing w:before="0" w:after="283"/>
              <w:jc w:val="left"/>
              <w:rPr/>
            </w:pPr>
            <w:r>
              <w:rPr/>
              <w:t> </w:t>
            </w:r>
          </w:p>
        </w:tc>
      </w:tr>
      <w:tr>
        <w:trPr/>
        <w:tc>
          <w:tcPr>
            <w:tcW w:w="1931" w:type="dxa"/>
            <w:tcBorders>
              <w:bottom w:val="single" w:sz="12" w:space="0" w:color="000000"/>
            </w:tcBorders>
            <w:vAlign w:val="center"/>
          </w:tcPr>
          <w:p>
            <w:pPr>
              <w:pStyle w:val="TableContents"/>
              <w:bidi w:val="0"/>
              <w:spacing w:before="0" w:after="283"/>
              <w:jc w:val="left"/>
              <w:rPr>
                <w:b/>
              </w:rPr>
            </w:pPr>
            <w:r>
              <w:rPr>
                <w:b/>
              </w:rPr>
              <w:t>Exercisable, December 31,</w:t>
            </w:r>
          </w:p>
        </w:tc>
        <w:tc>
          <w:tcPr>
            <w:tcW w:w="90" w:type="dxa"/>
            <w:tcBorders>
              <w:bottom w:val="single" w:sz="12" w:space="0" w:color="000000"/>
            </w:tcBorders>
            <w:vAlign w:val="center"/>
          </w:tcPr>
          <w:p>
            <w:pPr>
              <w:pStyle w:val="TableContents"/>
              <w:bidi w:val="0"/>
              <w:spacing w:before="0" w:after="283"/>
              <w:jc w:val="left"/>
              <w:rPr/>
            </w:pPr>
            <w:r>
              <w:rPr/>
              <w:t> </w:t>
            </w:r>
          </w:p>
        </w:tc>
        <w:tc>
          <w:tcPr>
            <w:tcW w:w="111" w:type="dxa"/>
            <w:tcBorders>
              <w:bottom w:val="single" w:sz="12" w:space="0" w:color="000000"/>
            </w:tcBorders>
            <w:vAlign w:val="center"/>
          </w:tcPr>
          <w:p>
            <w:pPr>
              <w:pStyle w:val="TableContents"/>
              <w:bidi w:val="0"/>
              <w:spacing w:before="0" w:after="283"/>
              <w:jc w:val="left"/>
              <w:rPr/>
            </w:pPr>
            <w:r>
              <w:rPr/>
              <w:t> </w:t>
            </w:r>
          </w:p>
        </w:tc>
        <w:tc>
          <w:tcPr>
            <w:tcW w:w="1406" w:type="dxa"/>
            <w:tcBorders>
              <w:bottom w:val="single" w:sz="12" w:space="0" w:color="000000"/>
            </w:tcBorders>
            <w:vAlign w:val="center"/>
          </w:tcPr>
          <w:p>
            <w:pPr>
              <w:pStyle w:val="TableContents"/>
              <w:bidi w:val="0"/>
              <w:spacing w:before="0" w:after="283"/>
              <w:jc w:val="right"/>
              <w:rPr>
                <w:b/>
              </w:rPr>
            </w:pPr>
            <w:r>
              <w:rPr>
                <w:b/>
              </w:rPr>
              <w:t>9,515,764</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61" w:type="dxa"/>
            <w:tcBorders>
              <w:bottom w:val="single" w:sz="12" w:space="0" w:color="000000"/>
            </w:tcBorders>
            <w:vAlign w:val="center"/>
          </w:tcPr>
          <w:p>
            <w:pPr>
              <w:pStyle w:val="TableContents"/>
              <w:bidi w:val="0"/>
              <w:spacing w:before="0" w:after="283"/>
              <w:jc w:val="left"/>
              <w:rPr/>
            </w:pPr>
            <w:r>
              <w:rPr/>
              <w:t> </w:t>
            </w:r>
          </w:p>
        </w:tc>
        <w:tc>
          <w:tcPr>
            <w:tcW w:w="1897" w:type="dxa"/>
            <w:tcBorders>
              <w:bottom w:val="single" w:sz="12" w:space="0" w:color="000000"/>
            </w:tcBorders>
            <w:vAlign w:val="center"/>
          </w:tcPr>
          <w:p>
            <w:pPr>
              <w:pStyle w:val="TableContents"/>
              <w:bidi w:val="0"/>
              <w:spacing w:before="0" w:after="283"/>
              <w:jc w:val="right"/>
              <w:rPr>
                <w:b/>
              </w:rPr>
            </w:pPr>
            <w:r>
              <w:rPr>
                <w:b/>
              </w:rPr>
              <w:t>1.58</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1414" w:type="dxa"/>
            <w:tcBorders>
              <w:bottom w:val="single" w:sz="12" w:space="0" w:color="000000"/>
            </w:tcBorders>
            <w:vAlign w:val="center"/>
          </w:tcPr>
          <w:p>
            <w:pPr>
              <w:pStyle w:val="TableContents"/>
              <w:bidi w:val="0"/>
              <w:spacing w:before="0" w:after="283"/>
              <w:jc w:val="right"/>
              <w:rPr/>
            </w:pPr>
            <w:r>
              <w:rPr/>
              <w:t>11,112,519</w:t>
            </w:r>
          </w:p>
        </w:tc>
        <w:tc>
          <w:tcPr>
            <w:tcW w:w="12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343" w:type="dxa"/>
            <w:tcBorders>
              <w:bottom w:val="single" w:sz="12" w:space="0" w:color="000000"/>
            </w:tcBorders>
            <w:vAlign w:val="center"/>
          </w:tcPr>
          <w:p>
            <w:pPr>
              <w:pStyle w:val="TableContents"/>
              <w:bidi w:val="0"/>
              <w:spacing w:before="0" w:after="283"/>
              <w:jc w:val="left"/>
              <w:rPr/>
            </w:pPr>
            <w:r>
              <w:rPr/>
              <w:t> </w:t>
            </w:r>
          </w:p>
        </w:tc>
        <w:tc>
          <w:tcPr>
            <w:tcW w:w="1798" w:type="dxa"/>
            <w:tcBorders>
              <w:bottom w:val="single" w:sz="12" w:space="0" w:color="000000"/>
            </w:tcBorders>
            <w:vAlign w:val="center"/>
          </w:tcPr>
          <w:p>
            <w:pPr>
              <w:pStyle w:val="TableContents"/>
              <w:bidi w:val="0"/>
              <w:spacing w:before="0" w:after="283"/>
              <w:jc w:val="right"/>
              <w:rPr/>
            </w:pPr>
            <w:r>
              <w:rPr/>
              <w:t>2.01</w:t>
            </w:r>
          </w:p>
        </w:tc>
        <w:tc>
          <w:tcPr>
            <w:tcW w:w="139"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contractual life of the outstanding Options as of December 31, 2024 was 3.7 years (December 31, 2023: 4.1 years).</w:t>
      </w:r>
    </w:p>
    <w:p>
      <w:pPr>
        <w:pStyle w:val="TextBody"/>
        <w:bidi w:val="0"/>
        <w:spacing w:before="0" w:after="0"/>
        <w:ind w:left="17" w:right="0" w:hanging="6"/>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71 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6" w:right="0" w:hanging="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68"/>
        <w:gridCol w:w="1115"/>
        <w:gridCol w:w="447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28:</w:t>
            </w:r>
          </w:p>
        </w:tc>
        <w:tc>
          <w:tcPr>
            <w:tcW w:w="4475" w:type="dxa"/>
            <w:tcBorders/>
            <w:vAlign w:val="center"/>
          </w:tcPr>
          <w:p>
            <w:pPr>
              <w:pStyle w:val="TableContents"/>
              <w:bidi w:val="0"/>
              <w:spacing w:before="0" w:after="283"/>
              <w:jc w:val="both"/>
              <w:rPr/>
            </w:pPr>
            <w:r>
              <w:rPr>
                <w:b/>
              </w:rPr>
              <w:t>SHARE-BASED PAYMENTS</w:t>
            </w:r>
            <w:r>
              <w:rPr/>
              <w:t xml:space="preserve"> (Continued)</w:t>
            </w:r>
          </w:p>
        </w:tc>
      </w:tr>
    </w:tbl>
    <w:p>
      <w:pPr>
        <w:pStyle w:val="TextBody"/>
        <w:bidi w:val="0"/>
        <w:spacing w:before="0" w:after="0"/>
        <w:ind w:left="6" w:right="0" w:hanging="0"/>
        <w:jc w:val="both"/>
        <w:rPr>
          <w:caps w:val="false"/>
          <w:smallCaps w:val="false"/>
        </w:rPr>
      </w:pPr>
      <w:r>
        <w:rPr>
          <w:caps w:val="false"/>
          <w:smallCaps w:val="false"/>
        </w:rPr>
        <w:t> </w:t>
      </w:r>
    </w:p>
    <w:p>
      <w:pPr>
        <w:pStyle w:val="TextBody"/>
        <w:bidi w:val="0"/>
        <w:spacing w:before="0" w:after="0"/>
        <w:ind w:left="6"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Options </w:t>
      </w:r>
      <w:r>
        <w:rPr>
          <w:rFonts w:ascii="Times New Roman;Times;Serif" w:hAnsi="Times New Roman;Times;Serif"/>
          <w:b w:val="false"/>
          <w:i w:val="false"/>
          <w:caps w:val="false"/>
          <w:smallCaps w:val="false"/>
          <w:sz w:val="20"/>
        </w:rPr>
        <w:t>(Continued)</w:t>
      </w:r>
    </w:p>
    <w:p>
      <w:pPr>
        <w:pStyle w:val="TextBody"/>
        <w:bidi w:val="0"/>
        <w:spacing w:before="0" w:after="0"/>
        <w:ind w:left="6" w:right="0" w:hanging="0"/>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inputs used to value the stock option grants using the Black-Scholes model are as follows:</w:t>
      </w:r>
    </w:p>
    <w:p>
      <w:pPr>
        <w:pStyle w:val="TextBody"/>
        <w:bidi w:val="0"/>
        <w:spacing w:before="0" w:after="0"/>
        <w:ind w:left="17" w:right="0" w:hanging="6"/>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2550"/>
        <w:gridCol w:w="90"/>
        <w:gridCol w:w="90"/>
        <w:gridCol w:w="830"/>
        <w:gridCol w:w="245"/>
        <w:gridCol w:w="90"/>
        <w:gridCol w:w="103"/>
        <w:gridCol w:w="953"/>
        <w:gridCol w:w="245"/>
        <w:gridCol w:w="90"/>
        <w:gridCol w:w="126"/>
        <w:gridCol w:w="1164"/>
        <w:gridCol w:w="245"/>
        <w:gridCol w:w="90"/>
        <w:gridCol w:w="110"/>
        <w:gridCol w:w="1253"/>
        <w:gridCol w:w="245"/>
        <w:gridCol w:w="90"/>
        <w:gridCol w:w="127"/>
        <w:gridCol w:w="1176"/>
        <w:gridCol w:w="293"/>
      </w:tblGrid>
      <w:tr>
        <w:trPr/>
        <w:tc>
          <w:tcPr>
            <w:tcW w:w="2550" w:type="dxa"/>
            <w:tcBorders>
              <w:top w:val="single" w:sz="8" w:space="0" w:color="000000"/>
              <w:bottom w:val="single" w:sz="8" w:space="0" w:color="000000"/>
            </w:tcBorders>
            <w:vAlign w:val="center"/>
          </w:tcPr>
          <w:p>
            <w:pPr>
              <w:pStyle w:val="TableContents"/>
              <w:bidi w:val="0"/>
              <w:spacing w:before="0" w:after="283"/>
              <w:jc w:val="left"/>
              <w:rPr>
                <w:b/>
              </w:rPr>
            </w:pPr>
            <w:r>
              <w:rPr>
                <w:b/>
              </w:rPr>
              <w:t>Grant date</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20" w:type="dxa"/>
            <w:gridSpan w:val="2"/>
            <w:tcBorders>
              <w:top w:val="single" w:sz="8" w:space="0" w:color="000000"/>
              <w:bottom w:val="single" w:sz="8" w:space="0" w:color="000000"/>
            </w:tcBorders>
            <w:vAlign w:val="center"/>
          </w:tcPr>
          <w:p>
            <w:pPr>
              <w:pStyle w:val="TableContents"/>
              <w:bidi w:val="0"/>
              <w:spacing w:before="0" w:after="283"/>
              <w:jc w:val="right"/>
              <w:rPr>
                <w:b/>
              </w:rPr>
            </w:pPr>
            <w:r>
              <w:rPr>
                <w:b/>
              </w:rPr>
              <w:t>May 22,</w:t>
              <w:br/>
              <w:t>2024</w:t>
            </w:r>
          </w:p>
        </w:tc>
        <w:tc>
          <w:tcPr>
            <w:tcW w:w="245"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056" w:type="dxa"/>
            <w:gridSpan w:val="2"/>
            <w:tcBorders>
              <w:top w:val="single" w:sz="8" w:space="0" w:color="000000"/>
              <w:bottom w:val="single" w:sz="8" w:space="0" w:color="000000"/>
            </w:tcBorders>
            <w:vAlign w:val="center"/>
          </w:tcPr>
          <w:p>
            <w:pPr>
              <w:pStyle w:val="TableContents"/>
              <w:bidi w:val="0"/>
              <w:spacing w:before="0" w:after="283"/>
              <w:jc w:val="right"/>
              <w:rPr>
                <w:b/>
              </w:rPr>
            </w:pPr>
            <w:r>
              <w:rPr>
                <w:b/>
              </w:rPr>
              <w:t>August 23,</w:t>
              <w:br/>
              <w:t>2024</w:t>
            </w:r>
          </w:p>
        </w:tc>
        <w:tc>
          <w:tcPr>
            <w:tcW w:w="245"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290" w:type="dxa"/>
            <w:gridSpan w:val="2"/>
            <w:tcBorders>
              <w:top w:val="single" w:sz="8" w:space="0" w:color="000000"/>
              <w:bottom w:val="single" w:sz="8" w:space="0" w:color="000000"/>
            </w:tcBorders>
            <w:vAlign w:val="center"/>
          </w:tcPr>
          <w:p>
            <w:pPr>
              <w:pStyle w:val="TableContents"/>
              <w:bidi w:val="0"/>
              <w:spacing w:before="0" w:after="283"/>
              <w:jc w:val="right"/>
              <w:rPr>
                <w:b/>
              </w:rPr>
            </w:pPr>
            <w:r>
              <w:rPr>
                <w:b/>
              </w:rPr>
              <w:t>September 5,</w:t>
              <w:br/>
              <w:t>2024</w:t>
            </w:r>
          </w:p>
        </w:tc>
        <w:tc>
          <w:tcPr>
            <w:tcW w:w="245"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363" w:type="dxa"/>
            <w:gridSpan w:val="2"/>
            <w:tcBorders>
              <w:top w:val="single" w:sz="8" w:space="0" w:color="000000"/>
              <w:bottom w:val="single" w:sz="8" w:space="0" w:color="000000"/>
            </w:tcBorders>
            <w:vAlign w:val="center"/>
          </w:tcPr>
          <w:p>
            <w:pPr>
              <w:pStyle w:val="TableContents"/>
              <w:bidi w:val="0"/>
              <w:spacing w:before="0" w:after="283"/>
              <w:jc w:val="right"/>
              <w:rPr>
                <w:b/>
              </w:rPr>
            </w:pPr>
            <w:r>
              <w:rPr>
                <w:b/>
              </w:rPr>
              <w:t>September 30,</w:t>
              <w:br/>
              <w:t>2024</w:t>
            </w:r>
          </w:p>
        </w:tc>
        <w:tc>
          <w:tcPr>
            <w:tcW w:w="245"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303" w:type="dxa"/>
            <w:gridSpan w:val="2"/>
            <w:tcBorders>
              <w:top w:val="single" w:sz="8" w:space="0" w:color="000000"/>
              <w:bottom w:val="single" w:sz="8" w:space="0" w:color="000000"/>
            </w:tcBorders>
            <w:vAlign w:val="center"/>
          </w:tcPr>
          <w:p>
            <w:pPr>
              <w:pStyle w:val="TableContents"/>
              <w:bidi w:val="0"/>
              <w:spacing w:before="0" w:after="283"/>
              <w:jc w:val="right"/>
              <w:rPr>
                <w:b/>
              </w:rPr>
            </w:pPr>
            <w:r>
              <w:rPr>
                <w:b/>
              </w:rPr>
              <w:t>December 18,</w:t>
              <w:br/>
              <w:t>2024</w:t>
            </w:r>
          </w:p>
        </w:tc>
        <w:tc>
          <w:tcPr>
            <w:tcW w:w="293" w:type="dxa"/>
            <w:tcBorders>
              <w:top w:val="single" w:sz="8" w:space="0" w:color="000000"/>
              <w:bottom w:val="single" w:sz="8" w:space="0" w:color="000000"/>
            </w:tcBorders>
            <w:vAlign w:val="center"/>
          </w:tcPr>
          <w:p>
            <w:pPr>
              <w:pStyle w:val="TableContents"/>
              <w:bidi w:val="0"/>
              <w:spacing w:before="0" w:after="283"/>
              <w:jc w:val="left"/>
              <w:rPr/>
            </w:pPr>
            <w:r>
              <w:rPr/>
              <w:t> </w:t>
            </w:r>
          </w:p>
        </w:tc>
      </w:tr>
      <w:tr>
        <w:trPr/>
        <w:tc>
          <w:tcPr>
            <w:tcW w:w="2550" w:type="dxa"/>
            <w:tcBorders/>
            <w:shd w:fill="CCEEFF" w:val="clear"/>
            <w:tcMar>
              <w:top w:w="0" w:type="dxa"/>
              <w:bottom w:w="0" w:type="dxa"/>
            </w:tcMar>
            <w:vAlign w:val="center"/>
          </w:tcPr>
          <w:p>
            <w:pPr>
              <w:pStyle w:val="TableContents"/>
              <w:bidi w:val="0"/>
              <w:spacing w:before="0" w:after="283"/>
              <w:jc w:val="left"/>
              <w:rPr/>
            </w:pPr>
            <w:r>
              <w:rPr/>
              <w:t>Dividend yield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830" w:type="dxa"/>
            <w:tcBorders/>
            <w:shd w:fill="CCEEFF" w:val="clear"/>
            <w:tcMar>
              <w:top w:w="0" w:type="dxa"/>
              <w:bottom w:w="0" w:type="dxa"/>
            </w:tcMar>
            <w:vAlign w:val="center"/>
          </w:tcPr>
          <w:p>
            <w:pPr>
              <w:pStyle w:val="TableContents"/>
              <w:bidi w:val="0"/>
              <w:spacing w:before="0" w:after="0"/>
              <w:jc w:val="right"/>
              <w:rPr/>
            </w:pPr>
            <w:r>
              <w:rPr/>
              <w:t>—</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03" w:type="dxa"/>
            <w:tcBorders/>
            <w:shd w:fill="CCEEFF" w:val="clear"/>
            <w:tcMar>
              <w:top w:w="0" w:type="dxa"/>
              <w:bottom w:w="0" w:type="dxa"/>
            </w:tcMar>
            <w:vAlign w:val="center"/>
          </w:tcPr>
          <w:p>
            <w:pPr>
              <w:pStyle w:val="TableContents"/>
              <w:bidi w:val="0"/>
              <w:spacing w:before="0" w:after="283"/>
              <w:jc w:val="left"/>
              <w:rPr/>
            </w:pPr>
            <w:r>
              <w:rPr/>
              <w:t> </w:t>
            </w:r>
          </w:p>
        </w:tc>
        <w:tc>
          <w:tcPr>
            <w:tcW w:w="953" w:type="dxa"/>
            <w:tcBorders/>
            <w:shd w:fill="CCEEFF" w:val="clear"/>
            <w:tcMar>
              <w:top w:w="0" w:type="dxa"/>
              <w:bottom w:w="0" w:type="dxa"/>
            </w:tcMar>
            <w:vAlign w:val="center"/>
          </w:tcPr>
          <w:p>
            <w:pPr>
              <w:pStyle w:val="TableContents"/>
              <w:bidi w:val="0"/>
              <w:spacing w:before="0" w:after="0"/>
              <w:jc w:val="right"/>
              <w:rPr/>
            </w:pPr>
            <w:r>
              <w:rPr/>
              <w:t>—</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26" w:type="dxa"/>
            <w:tcBorders/>
            <w:shd w:fill="CCEEFF" w:val="clear"/>
            <w:tcMar>
              <w:top w:w="0" w:type="dxa"/>
              <w:bottom w:w="0" w:type="dxa"/>
            </w:tcMar>
            <w:vAlign w:val="center"/>
          </w:tcPr>
          <w:p>
            <w:pPr>
              <w:pStyle w:val="TableContents"/>
              <w:bidi w:val="0"/>
              <w:spacing w:before="0" w:after="283"/>
              <w:jc w:val="left"/>
              <w:rPr/>
            </w:pPr>
            <w:r>
              <w:rPr/>
              <w:t> </w:t>
            </w:r>
          </w:p>
        </w:tc>
        <w:tc>
          <w:tcPr>
            <w:tcW w:w="1164" w:type="dxa"/>
            <w:tcBorders/>
            <w:shd w:fill="CCEEFF" w:val="clear"/>
            <w:tcMar>
              <w:top w:w="0" w:type="dxa"/>
              <w:bottom w:w="0" w:type="dxa"/>
            </w:tcMar>
            <w:vAlign w:val="center"/>
          </w:tcPr>
          <w:p>
            <w:pPr>
              <w:pStyle w:val="TableContents"/>
              <w:bidi w:val="0"/>
              <w:spacing w:before="0" w:after="0"/>
              <w:jc w:val="right"/>
              <w:rPr/>
            </w:pPr>
            <w:r>
              <w:rPr/>
              <w:t>—</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253" w:type="dxa"/>
            <w:tcBorders/>
            <w:shd w:fill="CCEEFF" w:val="clear"/>
            <w:tcMar>
              <w:top w:w="0" w:type="dxa"/>
              <w:bottom w:w="0" w:type="dxa"/>
            </w:tcMar>
            <w:vAlign w:val="center"/>
          </w:tcPr>
          <w:p>
            <w:pPr>
              <w:pStyle w:val="TableContents"/>
              <w:bidi w:val="0"/>
              <w:spacing w:before="0" w:after="0"/>
              <w:jc w:val="right"/>
              <w:rPr/>
            </w:pPr>
            <w:r>
              <w:rPr/>
              <w:t>—</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27" w:type="dxa"/>
            <w:tcBorders/>
            <w:shd w:fill="CCEEFF" w:val="clear"/>
            <w:tcMar>
              <w:top w:w="0" w:type="dxa"/>
              <w:bottom w:w="0" w:type="dxa"/>
            </w:tcMar>
            <w:vAlign w:val="center"/>
          </w:tcPr>
          <w:p>
            <w:pPr>
              <w:pStyle w:val="TableContents"/>
              <w:bidi w:val="0"/>
              <w:spacing w:before="0" w:after="283"/>
              <w:jc w:val="left"/>
              <w:rPr/>
            </w:pPr>
            <w:r>
              <w:rPr/>
              <w:t> </w:t>
            </w:r>
          </w:p>
        </w:tc>
        <w:tc>
          <w:tcPr>
            <w:tcW w:w="1176" w:type="dxa"/>
            <w:tcBorders/>
            <w:shd w:fill="CCEEFF" w:val="clear"/>
            <w:tcMar>
              <w:top w:w="0" w:type="dxa"/>
              <w:bottom w:w="0" w:type="dxa"/>
            </w:tcMar>
            <w:vAlign w:val="center"/>
          </w:tcPr>
          <w:p>
            <w:pPr>
              <w:pStyle w:val="TableContents"/>
              <w:bidi w:val="0"/>
              <w:spacing w:before="0" w:after="0"/>
              <w:jc w:val="right"/>
              <w:rPr/>
            </w:pPr>
            <w:r>
              <w:rPr/>
              <w:t>—</w:t>
            </w:r>
          </w:p>
        </w:tc>
        <w:tc>
          <w:tcPr>
            <w:tcW w:w="293" w:type="dxa"/>
            <w:tcBorders/>
            <w:shd w:fill="CCEEFF" w:val="clear"/>
            <w:tcMar>
              <w:top w:w="0" w:type="dxa"/>
              <w:bottom w:w="0" w:type="dxa"/>
            </w:tcMar>
            <w:vAlign w:val="center"/>
          </w:tcPr>
          <w:p>
            <w:pPr>
              <w:pStyle w:val="TableContents"/>
              <w:bidi w:val="0"/>
              <w:spacing w:before="0" w:after="283"/>
              <w:jc w:val="left"/>
              <w:rPr/>
            </w:pPr>
            <w:r>
              <w:rPr/>
              <w:t> </w:t>
            </w:r>
          </w:p>
        </w:tc>
      </w:tr>
      <w:tr>
        <w:trPr/>
        <w:tc>
          <w:tcPr>
            <w:tcW w:w="2550" w:type="dxa"/>
            <w:tcBorders/>
            <w:tcMar>
              <w:top w:w="0" w:type="dxa"/>
              <w:bottom w:w="0" w:type="dxa"/>
            </w:tcMar>
            <w:vAlign w:val="center"/>
          </w:tcPr>
          <w:p>
            <w:pPr>
              <w:pStyle w:val="TableContents"/>
              <w:bidi w:val="0"/>
              <w:spacing w:before="0" w:after="283"/>
              <w:jc w:val="left"/>
              <w:rPr/>
            </w:pPr>
            <w:r>
              <w:rPr/>
              <w:t>Expected share price volatility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830" w:type="dxa"/>
            <w:tcBorders/>
            <w:tcMar>
              <w:top w:w="0" w:type="dxa"/>
              <w:bottom w:w="0" w:type="dxa"/>
            </w:tcMar>
            <w:vAlign w:val="center"/>
          </w:tcPr>
          <w:p>
            <w:pPr>
              <w:pStyle w:val="TableContents"/>
              <w:bidi w:val="0"/>
              <w:spacing w:before="0" w:after="283"/>
              <w:jc w:val="right"/>
              <w:rPr/>
            </w:pPr>
            <w:r>
              <w:rPr/>
              <w:t>83</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03" w:type="dxa"/>
            <w:tcBorders/>
            <w:tcMar>
              <w:top w:w="0" w:type="dxa"/>
              <w:bottom w:w="0" w:type="dxa"/>
            </w:tcMar>
            <w:vAlign w:val="center"/>
          </w:tcPr>
          <w:p>
            <w:pPr>
              <w:pStyle w:val="TableContents"/>
              <w:bidi w:val="0"/>
              <w:spacing w:before="0" w:after="283"/>
              <w:jc w:val="left"/>
              <w:rPr/>
            </w:pPr>
            <w:r>
              <w:rPr/>
              <w:t> </w:t>
            </w:r>
          </w:p>
        </w:tc>
        <w:tc>
          <w:tcPr>
            <w:tcW w:w="953" w:type="dxa"/>
            <w:tcBorders/>
            <w:tcMar>
              <w:top w:w="0" w:type="dxa"/>
              <w:bottom w:w="0" w:type="dxa"/>
            </w:tcMar>
            <w:vAlign w:val="center"/>
          </w:tcPr>
          <w:p>
            <w:pPr>
              <w:pStyle w:val="TableContents"/>
              <w:bidi w:val="0"/>
              <w:spacing w:before="0" w:after="283"/>
              <w:jc w:val="right"/>
              <w:rPr/>
            </w:pPr>
            <w:r>
              <w:rPr/>
              <w:t>82</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26" w:type="dxa"/>
            <w:tcBorders/>
            <w:tcMar>
              <w:top w:w="0" w:type="dxa"/>
              <w:bottom w:w="0" w:type="dxa"/>
            </w:tcMar>
            <w:vAlign w:val="center"/>
          </w:tcPr>
          <w:p>
            <w:pPr>
              <w:pStyle w:val="TableContents"/>
              <w:bidi w:val="0"/>
              <w:spacing w:before="0" w:after="283"/>
              <w:jc w:val="left"/>
              <w:rPr/>
            </w:pPr>
            <w:r>
              <w:rPr/>
              <w:t> </w:t>
            </w:r>
          </w:p>
        </w:tc>
        <w:tc>
          <w:tcPr>
            <w:tcW w:w="1164" w:type="dxa"/>
            <w:tcBorders/>
            <w:tcMar>
              <w:top w:w="0" w:type="dxa"/>
              <w:bottom w:w="0" w:type="dxa"/>
            </w:tcMar>
            <w:vAlign w:val="center"/>
          </w:tcPr>
          <w:p>
            <w:pPr>
              <w:pStyle w:val="TableContents"/>
              <w:bidi w:val="0"/>
              <w:spacing w:before="0" w:after="283"/>
              <w:jc w:val="right"/>
              <w:rPr/>
            </w:pPr>
            <w:r>
              <w:rPr/>
              <w:t>82</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pPr>
            <w:r>
              <w:rPr/>
              <w:t> </w:t>
            </w:r>
          </w:p>
        </w:tc>
        <w:tc>
          <w:tcPr>
            <w:tcW w:w="1253" w:type="dxa"/>
            <w:tcBorders/>
            <w:tcMar>
              <w:top w:w="0" w:type="dxa"/>
              <w:bottom w:w="0" w:type="dxa"/>
            </w:tcMar>
            <w:vAlign w:val="center"/>
          </w:tcPr>
          <w:p>
            <w:pPr>
              <w:pStyle w:val="TableContents"/>
              <w:bidi w:val="0"/>
              <w:spacing w:before="0" w:after="283"/>
              <w:jc w:val="right"/>
              <w:rPr/>
            </w:pPr>
            <w:r>
              <w:rPr/>
              <w:t>82</w:t>
            </w:r>
          </w:p>
        </w:tc>
        <w:tc>
          <w:tcPr>
            <w:tcW w:w="245" w:type="dxa"/>
            <w:tcBorders/>
            <w:tcMar>
              <w:top w:w="0" w:type="dxa"/>
              <w:bottom w:w="0" w:type="dxa"/>
            </w:tcMar>
            <w:vAlign w:val="center"/>
          </w:tcPr>
          <w:p>
            <w:pPr>
              <w:pStyle w:val="TableContents"/>
              <w:bidi w:val="0"/>
              <w:spacing w:before="0" w:after="283"/>
              <w:jc w:val="left"/>
              <w:rPr/>
            </w:pPr>
            <w:r>
              <w:rPr/>
              <w:t>%</w:t>
            </w:r>
          </w:p>
        </w:tc>
        <w:tc>
          <w:tcPr>
            <w:tcW w:w="90" w:type="dxa"/>
            <w:tcBorders/>
            <w:tcMar>
              <w:top w:w="0" w:type="dxa"/>
              <w:bottom w:w="0" w:type="dxa"/>
            </w:tcMar>
            <w:vAlign w:val="center"/>
          </w:tcPr>
          <w:p>
            <w:pPr>
              <w:pStyle w:val="TableContents"/>
              <w:bidi w:val="0"/>
              <w:spacing w:before="0" w:after="283"/>
              <w:jc w:val="left"/>
              <w:rPr/>
            </w:pPr>
            <w:r>
              <w:rPr/>
              <w:t> </w:t>
            </w:r>
          </w:p>
        </w:tc>
        <w:tc>
          <w:tcPr>
            <w:tcW w:w="127" w:type="dxa"/>
            <w:tcBorders/>
            <w:tcMar>
              <w:top w:w="0" w:type="dxa"/>
              <w:bottom w:w="0" w:type="dxa"/>
            </w:tcMar>
            <w:vAlign w:val="center"/>
          </w:tcPr>
          <w:p>
            <w:pPr>
              <w:pStyle w:val="TableContents"/>
              <w:bidi w:val="0"/>
              <w:spacing w:before="0" w:after="283"/>
              <w:jc w:val="left"/>
              <w:rPr/>
            </w:pPr>
            <w:r>
              <w:rPr/>
              <w:t> </w:t>
            </w:r>
          </w:p>
        </w:tc>
        <w:tc>
          <w:tcPr>
            <w:tcW w:w="1176" w:type="dxa"/>
            <w:tcBorders/>
            <w:tcMar>
              <w:top w:w="0" w:type="dxa"/>
              <w:bottom w:w="0" w:type="dxa"/>
            </w:tcMar>
            <w:vAlign w:val="center"/>
          </w:tcPr>
          <w:p>
            <w:pPr>
              <w:pStyle w:val="TableContents"/>
              <w:bidi w:val="0"/>
              <w:spacing w:before="0" w:after="283"/>
              <w:jc w:val="right"/>
              <w:rPr/>
            </w:pPr>
            <w:r>
              <w:rPr/>
              <w:t>81</w:t>
            </w:r>
          </w:p>
        </w:tc>
        <w:tc>
          <w:tcPr>
            <w:tcW w:w="293" w:type="dxa"/>
            <w:tcBorders/>
            <w:tcMar>
              <w:top w:w="0" w:type="dxa"/>
              <w:bottom w:w="0" w:type="dxa"/>
            </w:tcMar>
            <w:vAlign w:val="center"/>
          </w:tcPr>
          <w:p>
            <w:pPr>
              <w:pStyle w:val="TableContents"/>
              <w:bidi w:val="0"/>
              <w:spacing w:before="0" w:after="283"/>
              <w:jc w:val="left"/>
              <w:rPr/>
            </w:pPr>
            <w:r>
              <w:rPr/>
              <w:t>%</w:t>
            </w:r>
          </w:p>
        </w:tc>
      </w:tr>
      <w:tr>
        <w:trPr/>
        <w:tc>
          <w:tcPr>
            <w:tcW w:w="2550" w:type="dxa"/>
            <w:tcBorders/>
            <w:shd w:fill="CCEEFF" w:val="clear"/>
            <w:tcMar>
              <w:top w:w="0" w:type="dxa"/>
              <w:bottom w:w="0" w:type="dxa"/>
            </w:tcMar>
            <w:vAlign w:val="center"/>
          </w:tcPr>
          <w:p>
            <w:pPr>
              <w:pStyle w:val="TableContents"/>
              <w:bidi w:val="0"/>
              <w:spacing w:before="0" w:after="283"/>
              <w:jc w:val="left"/>
              <w:rPr/>
            </w:pPr>
            <w:r>
              <w:rPr/>
              <w:t>Risk-free interest rate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830" w:type="dxa"/>
            <w:tcBorders/>
            <w:shd w:fill="CCEEFF" w:val="clear"/>
            <w:tcMar>
              <w:top w:w="0" w:type="dxa"/>
              <w:bottom w:w="0" w:type="dxa"/>
            </w:tcMar>
            <w:vAlign w:val="center"/>
          </w:tcPr>
          <w:p>
            <w:pPr>
              <w:pStyle w:val="TableContents"/>
              <w:bidi w:val="0"/>
              <w:spacing w:before="0" w:after="283"/>
              <w:jc w:val="right"/>
              <w:rPr/>
            </w:pPr>
            <w:r>
              <w:rPr/>
              <w:t>4.64</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03" w:type="dxa"/>
            <w:tcBorders/>
            <w:shd w:fill="CCEEFF" w:val="clear"/>
            <w:tcMar>
              <w:top w:w="0" w:type="dxa"/>
              <w:bottom w:w="0" w:type="dxa"/>
            </w:tcMar>
            <w:vAlign w:val="center"/>
          </w:tcPr>
          <w:p>
            <w:pPr>
              <w:pStyle w:val="TableContents"/>
              <w:bidi w:val="0"/>
              <w:spacing w:before="0" w:after="283"/>
              <w:jc w:val="left"/>
              <w:rPr/>
            </w:pPr>
            <w:r>
              <w:rPr/>
              <w:t> </w:t>
            </w:r>
          </w:p>
        </w:tc>
        <w:tc>
          <w:tcPr>
            <w:tcW w:w="953" w:type="dxa"/>
            <w:tcBorders/>
            <w:shd w:fill="CCEEFF" w:val="clear"/>
            <w:tcMar>
              <w:top w:w="0" w:type="dxa"/>
              <w:bottom w:w="0" w:type="dxa"/>
            </w:tcMar>
            <w:vAlign w:val="center"/>
          </w:tcPr>
          <w:p>
            <w:pPr>
              <w:pStyle w:val="TableContents"/>
              <w:bidi w:val="0"/>
              <w:spacing w:before="0" w:after="283"/>
              <w:jc w:val="right"/>
              <w:rPr/>
            </w:pPr>
            <w:r>
              <w:rPr/>
              <w:t>3.73</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26" w:type="dxa"/>
            <w:tcBorders/>
            <w:shd w:fill="CCEEFF" w:val="clear"/>
            <w:tcMar>
              <w:top w:w="0" w:type="dxa"/>
              <w:bottom w:w="0" w:type="dxa"/>
            </w:tcMar>
            <w:vAlign w:val="center"/>
          </w:tcPr>
          <w:p>
            <w:pPr>
              <w:pStyle w:val="TableContents"/>
              <w:bidi w:val="0"/>
              <w:spacing w:before="0" w:after="283"/>
              <w:jc w:val="left"/>
              <w:rPr/>
            </w:pPr>
            <w:r>
              <w:rPr/>
              <w:t> </w:t>
            </w:r>
          </w:p>
        </w:tc>
        <w:tc>
          <w:tcPr>
            <w:tcW w:w="1164" w:type="dxa"/>
            <w:tcBorders/>
            <w:shd w:fill="CCEEFF" w:val="clear"/>
            <w:tcMar>
              <w:top w:w="0" w:type="dxa"/>
              <w:bottom w:w="0" w:type="dxa"/>
            </w:tcMar>
            <w:vAlign w:val="center"/>
          </w:tcPr>
          <w:p>
            <w:pPr>
              <w:pStyle w:val="TableContents"/>
              <w:bidi w:val="0"/>
              <w:spacing w:before="0" w:after="283"/>
              <w:jc w:val="right"/>
              <w:rPr/>
            </w:pPr>
            <w:r>
              <w:rPr/>
              <w:t>3.61</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253" w:type="dxa"/>
            <w:tcBorders/>
            <w:shd w:fill="CCEEFF" w:val="clear"/>
            <w:tcMar>
              <w:top w:w="0" w:type="dxa"/>
              <w:bottom w:w="0" w:type="dxa"/>
            </w:tcMar>
            <w:vAlign w:val="center"/>
          </w:tcPr>
          <w:p>
            <w:pPr>
              <w:pStyle w:val="TableContents"/>
              <w:bidi w:val="0"/>
              <w:spacing w:before="0" w:after="283"/>
              <w:jc w:val="right"/>
              <w:rPr/>
            </w:pPr>
            <w:r>
              <w:rPr/>
              <w:t>3.58</w:t>
            </w:r>
          </w:p>
        </w:tc>
        <w:tc>
          <w:tcPr>
            <w:tcW w:w="245" w:type="dxa"/>
            <w:tcBorders/>
            <w:shd w:fill="CCEEFF" w:val="clear"/>
            <w:tcMar>
              <w:top w:w="0" w:type="dxa"/>
              <w:bottom w:w="0" w:type="dxa"/>
            </w:tcMar>
            <w:vAlign w:val="center"/>
          </w:tcPr>
          <w:p>
            <w:pPr>
              <w:pStyle w:val="TableContents"/>
              <w:bidi w:val="0"/>
              <w:spacing w:before="0" w:after="283"/>
              <w:jc w:val="left"/>
              <w:rPr/>
            </w:pPr>
            <w:r>
              <w:rPr/>
              <w:t>%</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27" w:type="dxa"/>
            <w:tcBorders/>
            <w:shd w:fill="CCEEFF" w:val="clear"/>
            <w:tcMar>
              <w:top w:w="0" w:type="dxa"/>
              <w:bottom w:w="0" w:type="dxa"/>
            </w:tcMar>
            <w:vAlign w:val="center"/>
          </w:tcPr>
          <w:p>
            <w:pPr>
              <w:pStyle w:val="TableContents"/>
              <w:bidi w:val="0"/>
              <w:spacing w:before="0" w:after="283"/>
              <w:jc w:val="left"/>
              <w:rPr/>
            </w:pPr>
            <w:r>
              <w:rPr/>
              <w:t> </w:t>
            </w:r>
          </w:p>
        </w:tc>
        <w:tc>
          <w:tcPr>
            <w:tcW w:w="1176" w:type="dxa"/>
            <w:tcBorders/>
            <w:shd w:fill="CCEEFF" w:val="clear"/>
            <w:tcMar>
              <w:top w:w="0" w:type="dxa"/>
              <w:bottom w:w="0" w:type="dxa"/>
            </w:tcMar>
            <w:vAlign w:val="center"/>
          </w:tcPr>
          <w:p>
            <w:pPr>
              <w:pStyle w:val="TableContents"/>
              <w:bidi w:val="0"/>
              <w:spacing w:before="0" w:after="283"/>
              <w:jc w:val="right"/>
              <w:rPr/>
            </w:pPr>
            <w:r>
              <w:rPr/>
              <w:t>4.35</w:t>
            </w:r>
          </w:p>
        </w:tc>
        <w:tc>
          <w:tcPr>
            <w:tcW w:w="293" w:type="dxa"/>
            <w:tcBorders/>
            <w:shd w:fill="CCEEFF" w:val="clear"/>
            <w:tcMar>
              <w:top w:w="0" w:type="dxa"/>
              <w:bottom w:w="0" w:type="dxa"/>
            </w:tcMar>
            <w:vAlign w:val="center"/>
          </w:tcPr>
          <w:p>
            <w:pPr>
              <w:pStyle w:val="TableContents"/>
              <w:bidi w:val="0"/>
              <w:spacing w:before="0" w:after="283"/>
              <w:jc w:val="left"/>
              <w:rPr/>
            </w:pPr>
            <w:r>
              <w:rPr/>
              <w:t>%</w:t>
            </w:r>
          </w:p>
        </w:tc>
      </w:tr>
      <w:tr>
        <w:trPr/>
        <w:tc>
          <w:tcPr>
            <w:tcW w:w="2550" w:type="dxa"/>
            <w:tcBorders/>
            <w:tcMar>
              <w:top w:w="0" w:type="dxa"/>
              <w:bottom w:w="0" w:type="dxa"/>
            </w:tcMar>
            <w:vAlign w:val="center"/>
          </w:tcPr>
          <w:p>
            <w:pPr>
              <w:pStyle w:val="TableContents"/>
              <w:bidi w:val="0"/>
              <w:spacing w:before="0" w:after="283"/>
              <w:jc w:val="left"/>
              <w:rPr/>
            </w:pPr>
            <w:r>
              <w:rPr/>
              <w:t>Expected life of stock options (years)</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830" w:type="dxa"/>
            <w:tcBorders/>
            <w:tcMar>
              <w:top w:w="0" w:type="dxa"/>
              <w:bottom w:w="0" w:type="dxa"/>
            </w:tcMar>
            <w:vAlign w:val="center"/>
          </w:tcPr>
          <w:p>
            <w:pPr>
              <w:pStyle w:val="TableContents"/>
              <w:bidi w:val="0"/>
              <w:spacing w:before="0" w:after="283"/>
              <w:jc w:val="right"/>
              <w:rPr/>
            </w:pPr>
            <w:r>
              <w:rPr/>
              <w:t>3</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03" w:type="dxa"/>
            <w:tcBorders/>
            <w:tcMar>
              <w:top w:w="0" w:type="dxa"/>
              <w:bottom w:w="0" w:type="dxa"/>
            </w:tcMar>
            <w:vAlign w:val="center"/>
          </w:tcPr>
          <w:p>
            <w:pPr>
              <w:pStyle w:val="TableContents"/>
              <w:bidi w:val="0"/>
              <w:spacing w:before="0" w:after="283"/>
              <w:jc w:val="left"/>
              <w:rPr/>
            </w:pPr>
            <w:r>
              <w:rPr/>
              <w:t> </w:t>
            </w:r>
          </w:p>
        </w:tc>
        <w:tc>
          <w:tcPr>
            <w:tcW w:w="953" w:type="dxa"/>
            <w:tcBorders/>
            <w:tcMar>
              <w:top w:w="0" w:type="dxa"/>
              <w:bottom w:w="0" w:type="dxa"/>
            </w:tcMar>
            <w:vAlign w:val="center"/>
          </w:tcPr>
          <w:p>
            <w:pPr>
              <w:pStyle w:val="TableContents"/>
              <w:bidi w:val="0"/>
              <w:spacing w:before="0" w:after="283"/>
              <w:jc w:val="right"/>
              <w:rPr/>
            </w:pPr>
            <w:r>
              <w:rPr/>
              <w:t>3</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26" w:type="dxa"/>
            <w:tcBorders/>
            <w:tcMar>
              <w:top w:w="0" w:type="dxa"/>
              <w:bottom w:w="0" w:type="dxa"/>
            </w:tcMar>
            <w:vAlign w:val="center"/>
          </w:tcPr>
          <w:p>
            <w:pPr>
              <w:pStyle w:val="TableContents"/>
              <w:bidi w:val="0"/>
              <w:spacing w:before="0" w:after="283"/>
              <w:jc w:val="left"/>
              <w:rPr/>
            </w:pPr>
            <w:r>
              <w:rPr/>
              <w:t> </w:t>
            </w:r>
          </w:p>
        </w:tc>
        <w:tc>
          <w:tcPr>
            <w:tcW w:w="1164" w:type="dxa"/>
            <w:tcBorders/>
            <w:tcMar>
              <w:top w:w="0" w:type="dxa"/>
              <w:bottom w:w="0" w:type="dxa"/>
            </w:tcMar>
            <w:vAlign w:val="center"/>
          </w:tcPr>
          <w:p>
            <w:pPr>
              <w:pStyle w:val="TableContents"/>
              <w:bidi w:val="0"/>
              <w:spacing w:before="0" w:after="283"/>
              <w:jc w:val="right"/>
              <w:rPr/>
            </w:pPr>
            <w:r>
              <w:rPr/>
              <w:t>3</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pPr>
            <w:r>
              <w:rPr/>
              <w:t> </w:t>
            </w:r>
          </w:p>
        </w:tc>
        <w:tc>
          <w:tcPr>
            <w:tcW w:w="1253" w:type="dxa"/>
            <w:tcBorders/>
            <w:tcMar>
              <w:top w:w="0" w:type="dxa"/>
              <w:bottom w:w="0" w:type="dxa"/>
            </w:tcMar>
            <w:vAlign w:val="center"/>
          </w:tcPr>
          <w:p>
            <w:pPr>
              <w:pStyle w:val="TableContents"/>
              <w:bidi w:val="0"/>
              <w:spacing w:before="0" w:after="283"/>
              <w:jc w:val="right"/>
              <w:rPr/>
            </w:pPr>
            <w:r>
              <w:rPr/>
              <w:t>3</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27" w:type="dxa"/>
            <w:tcBorders/>
            <w:tcMar>
              <w:top w:w="0" w:type="dxa"/>
              <w:bottom w:w="0" w:type="dxa"/>
            </w:tcMar>
            <w:vAlign w:val="center"/>
          </w:tcPr>
          <w:p>
            <w:pPr>
              <w:pStyle w:val="TableContents"/>
              <w:bidi w:val="0"/>
              <w:spacing w:before="0" w:after="283"/>
              <w:jc w:val="left"/>
              <w:rPr/>
            </w:pPr>
            <w:r>
              <w:rPr/>
              <w:t> </w:t>
            </w:r>
          </w:p>
        </w:tc>
        <w:tc>
          <w:tcPr>
            <w:tcW w:w="1176" w:type="dxa"/>
            <w:tcBorders/>
            <w:tcMar>
              <w:top w:w="0" w:type="dxa"/>
              <w:bottom w:w="0" w:type="dxa"/>
            </w:tcMar>
            <w:vAlign w:val="center"/>
          </w:tcPr>
          <w:p>
            <w:pPr>
              <w:pStyle w:val="TableContents"/>
              <w:bidi w:val="0"/>
              <w:spacing w:before="0" w:after="283"/>
              <w:jc w:val="right"/>
              <w:rPr/>
            </w:pPr>
            <w:r>
              <w:rPr/>
              <w:t>3</w:t>
            </w:r>
          </w:p>
        </w:tc>
        <w:tc>
          <w:tcPr>
            <w:tcW w:w="293" w:type="dxa"/>
            <w:tcBorders/>
            <w:tcMar>
              <w:top w:w="0" w:type="dxa"/>
              <w:bottom w:w="0" w:type="dxa"/>
            </w:tcMar>
            <w:vAlign w:val="center"/>
          </w:tcPr>
          <w:p>
            <w:pPr>
              <w:pStyle w:val="TableContents"/>
              <w:bidi w:val="0"/>
              <w:spacing w:before="0" w:after="283"/>
              <w:jc w:val="left"/>
              <w:rPr/>
            </w:pPr>
            <w:r>
              <w:rPr/>
              <w:t> </w:t>
            </w:r>
          </w:p>
        </w:tc>
      </w:tr>
      <w:tr>
        <w:trPr/>
        <w:tc>
          <w:tcPr>
            <w:tcW w:w="2550" w:type="dxa"/>
            <w:tcBorders/>
            <w:shd w:fill="CCEEFF" w:val="clear"/>
            <w:tcMar>
              <w:top w:w="0" w:type="dxa"/>
              <w:bottom w:w="0" w:type="dxa"/>
            </w:tcMar>
            <w:vAlign w:val="center"/>
          </w:tcPr>
          <w:p>
            <w:pPr>
              <w:pStyle w:val="TableContents"/>
              <w:bidi w:val="0"/>
              <w:spacing w:before="0" w:after="283"/>
              <w:jc w:val="left"/>
              <w:rPr/>
            </w:pPr>
            <w:r>
              <w:rPr/>
              <w:t>Share price (CAD)</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830" w:type="dxa"/>
            <w:tcBorders/>
            <w:shd w:fill="CCEEFF" w:val="clear"/>
            <w:tcMar>
              <w:top w:w="0" w:type="dxa"/>
              <w:bottom w:w="0" w:type="dxa"/>
            </w:tcMar>
            <w:vAlign w:val="center"/>
          </w:tcPr>
          <w:p>
            <w:pPr>
              <w:pStyle w:val="TableContents"/>
              <w:bidi w:val="0"/>
              <w:spacing w:before="0" w:after="283"/>
              <w:jc w:val="right"/>
              <w:rPr/>
            </w:pPr>
            <w:r>
              <w:rPr/>
              <w:t>2.55</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03" w:type="dxa"/>
            <w:tcBorders/>
            <w:shd w:fill="CCEEFF" w:val="clear"/>
            <w:tcMar>
              <w:top w:w="0" w:type="dxa"/>
              <w:bottom w:w="0" w:type="dxa"/>
            </w:tcMar>
            <w:vAlign w:val="center"/>
          </w:tcPr>
          <w:p>
            <w:pPr>
              <w:pStyle w:val="TableContents"/>
              <w:bidi w:val="0"/>
              <w:spacing w:before="0" w:after="283"/>
              <w:jc w:val="left"/>
              <w:rPr/>
            </w:pPr>
            <w:r>
              <w:rPr/>
              <w:t> </w:t>
            </w:r>
          </w:p>
        </w:tc>
        <w:tc>
          <w:tcPr>
            <w:tcW w:w="953" w:type="dxa"/>
            <w:tcBorders/>
            <w:shd w:fill="CCEEFF" w:val="clear"/>
            <w:tcMar>
              <w:top w:w="0" w:type="dxa"/>
              <w:bottom w:w="0" w:type="dxa"/>
            </w:tcMar>
            <w:vAlign w:val="center"/>
          </w:tcPr>
          <w:p>
            <w:pPr>
              <w:pStyle w:val="TableContents"/>
              <w:bidi w:val="0"/>
              <w:spacing w:before="0" w:after="283"/>
              <w:jc w:val="right"/>
              <w:rPr/>
            </w:pPr>
            <w:r>
              <w:rPr/>
              <w:t>3.07</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26" w:type="dxa"/>
            <w:tcBorders/>
            <w:shd w:fill="CCEEFF" w:val="clear"/>
            <w:tcMar>
              <w:top w:w="0" w:type="dxa"/>
              <w:bottom w:w="0" w:type="dxa"/>
            </w:tcMar>
            <w:vAlign w:val="center"/>
          </w:tcPr>
          <w:p>
            <w:pPr>
              <w:pStyle w:val="TableContents"/>
              <w:bidi w:val="0"/>
              <w:spacing w:before="0" w:after="283"/>
              <w:jc w:val="left"/>
              <w:rPr/>
            </w:pPr>
            <w:r>
              <w:rPr/>
              <w:t> </w:t>
            </w:r>
          </w:p>
        </w:tc>
        <w:tc>
          <w:tcPr>
            <w:tcW w:w="1164" w:type="dxa"/>
            <w:tcBorders/>
            <w:shd w:fill="CCEEFF" w:val="clear"/>
            <w:tcMar>
              <w:top w:w="0" w:type="dxa"/>
              <w:bottom w:w="0" w:type="dxa"/>
            </w:tcMar>
            <w:vAlign w:val="center"/>
          </w:tcPr>
          <w:p>
            <w:pPr>
              <w:pStyle w:val="TableContents"/>
              <w:bidi w:val="0"/>
              <w:spacing w:before="0" w:after="283"/>
              <w:jc w:val="right"/>
              <w:rPr/>
            </w:pPr>
            <w:r>
              <w:rPr/>
              <w:t>2.62</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253" w:type="dxa"/>
            <w:tcBorders/>
            <w:shd w:fill="CCEEFF" w:val="clear"/>
            <w:tcMar>
              <w:top w:w="0" w:type="dxa"/>
              <w:bottom w:w="0" w:type="dxa"/>
            </w:tcMar>
            <w:vAlign w:val="center"/>
          </w:tcPr>
          <w:p>
            <w:pPr>
              <w:pStyle w:val="TableContents"/>
              <w:bidi w:val="0"/>
              <w:spacing w:before="0" w:after="283"/>
              <w:jc w:val="right"/>
              <w:rPr/>
            </w:pPr>
            <w:r>
              <w:rPr/>
              <w:t>3.03</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27" w:type="dxa"/>
            <w:tcBorders/>
            <w:shd w:fill="CCEEFF" w:val="clear"/>
            <w:tcMar>
              <w:top w:w="0" w:type="dxa"/>
              <w:bottom w:w="0" w:type="dxa"/>
            </w:tcMar>
            <w:vAlign w:val="center"/>
          </w:tcPr>
          <w:p>
            <w:pPr>
              <w:pStyle w:val="TableContents"/>
              <w:bidi w:val="0"/>
              <w:spacing w:before="0" w:after="283"/>
              <w:jc w:val="left"/>
              <w:rPr/>
            </w:pPr>
            <w:r>
              <w:rPr/>
              <w:t> </w:t>
            </w:r>
          </w:p>
        </w:tc>
        <w:tc>
          <w:tcPr>
            <w:tcW w:w="1176" w:type="dxa"/>
            <w:tcBorders/>
            <w:shd w:fill="CCEEFF" w:val="clear"/>
            <w:tcMar>
              <w:top w:w="0" w:type="dxa"/>
              <w:bottom w:w="0" w:type="dxa"/>
            </w:tcMar>
            <w:vAlign w:val="center"/>
          </w:tcPr>
          <w:p>
            <w:pPr>
              <w:pStyle w:val="TableContents"/>
              <w:bidi w:val="0"/>
              <w:spacing w:before="0" w:after="283"/>
              <w:jc w:val="right"/>
              <w:rPr/>
            </w:pPr>
            <w:r>
              <w:rPr/>
              <w:t>2.60</w:t>
            </w:r>
          </w:p>
        </w:tc>
        <w:tc>
          <w:tcPr>
            <w:tcW w:w="293" w:type="dxa"/>
            <w:tcBorders/>
            <w:shd w:fill="CCEEFF" w:val="clear"/>
            <w:tcMar>
              <w:top w:w="0" w:type="dxa"/>
              <w:bottom w:w="0" w:type="dxa"/>
            </w:tcMar>
            <w:vAlign w:val="center"/>
          </w:tcPr>
          <w:p>
            <w:pPr>
              <w:pStyle w:val="TableContents"/>
              <w:bidi w:val="0"/>
              <w:spacing w:before="0" w:after="283"/>
              <w:jc w:val="left"/>
              <w:rPr/>
            </w:pPr>
            <w:r>
              <w:rPr/>
              <w:t> </w:t>
            </w:r>
          </w:p>
        </w:tc>
      </w:tr>
      <w:tr>
        <w:trPr/>
        <w:tc>
          <w:tcPr>
            <w:tcW w:w="2550" w:type="dxa"/>
            <w:tcBorders/>
            <w:tcMar>
              <w:top w:w="0" w:type="dxa"/>
              <w:bottom w:w="0" w:type="dxa"/>
            </w:tcMar>
            <w:vAlign w:val="center"/>
          </w:tcPr>
          <w:p>
            <w:pPr>
              <w:pStyle w:val="TableContents"/>
              <w:bidi w:val="0"/>
              <w:spacing w:before="0" w:after="283"/>
              <w:jc w:val="left"/>
              <w:rPr/>
            </w:pPr>
            <w:r>
              <w:rPr/>
              <w:t>Exercise price (CAD)</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830" w:type="dxa"/>
            <w:tcBorders/>
            <w:tcMar>
              <w:top w:w="0" w:type="dxa"/>
              <w:bottom w:w="0" w:type="dxa"/>
            </w:tcMar>
            <w:vAlign w:val="center"/>
          </w:tcPr>
          <w:p>
            <w:pPr>
              <w:pStyle w:val="TableContents"/>
              <w:bidi w:val="0"/>
              <w:spacing w:before="0" w:after="283"/>
              <w:jc w:val="right"/>
              <w:rPr/>
            </w:pPr>
            <w:r>
              <w:rPr/>
              <w:t>2.55</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03" w:type="dxa"/>
            <w:tcBorders/>
            <w:tcMar>
              <w:top w:w="0" w:type="dxa"/>
              <w:bottom w:w="0" w:type="dxa"/>
            </w:tcMar>
            <w:vAlign w:val="center"/>
          </w:tcPr>
          <w:p>
            <w:pPr>
              <w:pStyle w:val="TableContents"/>
              <w:bidi w:val="0"/>
              <w:spacing w:before="0" w:after="283"/>
              <w:jc w:val="left"/>
              <w:rPr/>
            </w:pPr>
            <w:r>
              <w:rPr/>
              <w:t> </w:t>
            </w:r>
          </w:p>
        </w:tc>
        <w:tc>
          <w:tcPr>
            <w:tcW w:w="953" w:type="dxa"/>
            <w:tcBorders/>
            <w:tcMar>
              <w:top w:w="0" w:type="dxa"/>
              <w:bottom w:w="0" w:type="dxa"/>
            </w:tcMar>
            <w:vAlign w:val="center"/>
          </w:tcPr>
          <w:p>
            <w:pPr>
              <w:pStyle w:val="TableContents"/>
              <w:bidi w:val="0"/>
              <w:spacing w:before="0" w:after="283"/>
              <w:jc w:val="right"/>
              <w:rPr/>
            </w:pPr>
            <w:r>
              <w:rPr/>
              <w:t>3.07</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26" w:type="dxa"/>
            <w:tcBorders/>
            <w:tcMar>
              <w:top w:w="0" w:type="dxa"/>
              <w:bottom w:w="0" w:type="dxa"/>
            </w:tcMar>
            <w:vAlign w:val="center"/>
          </w:tcPr>
          <w:p>
            <w:pPr>
              <w:pStyle w:val="TableContents"/>
              <w:bidi w:val="0"/>
              <w:spacing w:before="0" w:after="283"/>
              <w:jc w:val="left"/>
              <w:rPr/>
            </w:pPr>
            <w:r>
              <w:rPr/>
              <w:t> </w:t>
            </w:r>
          </w:p>
        </w:tc>
        <w:tc>
          <w:tcPr>
            <w:tcW w:w="1164" w:type="dxa"/>
            <w:tcBorders/>
            <w:tcMar>
              <w:top w:w="0" w:type="dxa"/>
              <w:bottom w:w="0" w:type="dxa"/>
            </w:tcMar>
            <w:vAlign w:val="center"/>
          </w:tcPr>
          <w:p>
            <w:pPr>
              <w:pStyle w:val="TableContents"/>
              <w:bidi w:val="0"/>
              <w:spacing w:before="0" w:after="283"/>
              <w:jc w:val="right"/>
              <w:rPr/>
            </w:pPr>
            <w:r>
              <w:rPr/>
              <w:t>2.62</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pPr>
            <w:r>
              <w:rPr/>
              <w:t> </w:t>
            </w:r>
          </w:p>
        </w:tc>
        <w:tc>
          <w:tcPr>
            <w:tcW w:w="1253" w:type="dxa"/>
            <w:tcBorders/>
            <w:tcMar>
              <w:top w:w="0" w:type="dxa"/>
              <w:bottom w:w="0" w:type="dxa"/>
            </w:tcMar>
            <w:vAlign w:val="center"/>
          </w:tcPr>
          <w:p>
            <w:pPr>
              <w:pStyle w:val="TableContents"/>
              <w:bidi w:val="0"/>
              <w:spacing w:before="0" w:after="283"/>
              <w:jc w:val="right"/>
              <w:rPr/>
            </w:pPr>
            <w:r>
              <w:rPr/>
              <w:t>3.03</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27" w:type="dxa"/>
            <w:tcBorders/>
            <w:tcMar>
              <w:top w:w="0" w:type="dxa"/>
              <w:bottom w:w="0" w:type="dxa"/>
            </w:tcMar>
            <w:vAlign w:val="center"/>
          </w:tcPr>
          <w:p>
            <w:pPr>
              <w:pStyle w:val="TableContents"/>
              <w:bidi w:val="0"/>
              <w:spacing w:before="0" w:after="283"/>
              <w:jc w:val="left"/>
              <w:rPr/>
            </w:pPr>
            <w:r>
              <w:rPr/>
              <w:t> </w:t>
            </w:r>
          </w:p>
        </w:tc>
        <w:tc>
          <w:tcPr>
            <w:tcW w:w="1176" w:type="dxa"/>
            <w:tcBorders/>
            <w:tcMar>
              <w:top w:w="0" w:type="dxa"/>
              <w:bottom w:w="0" w:type="dxa"/>
            </w:tcMar>
            <w:vAlign w:val="center"/>
          </w:tcPr>
          <w:p>
            <w:pPr>
              <w:pStyle w:val="TableContents"/>
              <w:bidi w:val="0"/>
              <w:spacing w:before="0" w:after="283"/>
              <w:jc w:val="right"/>
              <w:rPr/>
            </w:pPr>
            <w:r>
              <w:rPr/>
              <w:t>2.60</w:t>
            </w:r>
          </w:p>
        </w:tc>
        <w:tc>
          <w:tcPr>
            <w:tcW w:w="293" w:type="dxa"/>
            <w:tcBorders/>
            <w:tcMar>
              <w:top w:w="0" w:type="dxa"/>
              <w:bottom w:w="0" w:type="dxa"/>
            </w:tcMar>
            <w:vAlign w:val="center"/>
          </w:tcPr>
          <w:p>
            <w:pPr>
              <w:pStyle w:val="TableContents"/>
              <w:bidi w:val="0"/>
              <w:spacing w:before="0" w:after="283"/>
              <w:jc w:val="left"/>
              <w:rPr/>
            </w:pPr>
            <w:r>
              <w:rPr/>
              <w:t> </w:t>
            </w:r>
          </w:p>
        </w:tc>
      </w:tr>
      <w:tr>
        <w:trPr/>
        <w:tc>
          <w:tcPr>
            <w:tcW w:w="2550" w:type="dxa"/>
            <w:tcBorders/>
            <w:shd w:fill="CCEEFF" w:val="clear"/>
            <w:tcMar>
              <w:top w:w="0" w:type="dxa"/>
              <w:bottom w:w="0" w:type="dxa"/>
            </w:tcMar>
            <w:vAlign w:val="center"/>
          </w:tcPr>
          <w:p>
            <w:pPr>
              <w:pStyle w:val="TableContents"/>
              <w:bidi w:val="0"/>
              <w:spacing w:before="0" w:after="283"/>
              <w:jc w:val="left"/>
              <w:rPr/>
            </w:pPr>
            <w:r>
              <w:rPr/>
              <w:t>Fair value of options (USD)</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830" w:type="dxa"/>
            <w:tcBorders/>
            <w:shd w:fill="CCEEFF" w:val="clear"/>
            <w:tcMar>
              <w:top w:w="0" w:type="dxa"/>
              <w:bottom w:w="0" w:type="dxa"/>
            </w:tcMar>
            <w:vAlign w:val="center"/>
          </w:tcPr>
          <w:p>
            <w:pPr>
              <w:pStyle w:val="TableContents"/>
              <w:bidi w:val="0"/>
              <w:spacing w:before="0" w:after="283"/>
              <w:jc w:val="right"/>
              <w:rPr/>
            </w:pPr>
            <w:r>
              <w:rPr/>
              <w:t>0.97</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03" w:type="dxa"/>
            <w:tcBorders/>
            <w:shd w:fill="CCEEFF" w:val="clear"/>
            <w:tcMar>
              <w:top w:w="0" w:type="dxa"/>
              <w:bottom w:w="0" w:type="dxa"/>
            </w:tcMar>
            <w:vAlign w:val="center"/>
          </w:tcPr>
          <w:p>
            <w:pPr>
              <w:pStyle w:val="TableContents"/>
              <w:bidi w:val="0"/>
              <w:spacing w:before="0" w:after="283"/>
              <w:jc w:val="left"/>
              <w:rPr/>
            </w:pPr>
            <w:r>
              <w:rPr/>
              <w:t> </w:t>
            </w:r>
          </w:p>
        </w:tc>
        <w:tc>
          <w:tcPr>
            <w:tcW w:w="953" w:type="dxa"/>
            <w:tcBorders/>
            <w:shd w:fill="CCEEFF" w:val="clear"/>
            <w:tcMar>
              <w:top w:w="0" w:type="dxa"/>
              <w:bottom w:w="0" w:type="dxa"/>
            </w:tcMar>
            <w:vAlign w:val="center"/>
          </w:tcPr>
          <w:p>
            <w:pPr>
              <w:pStyle w:val="TableContents"/>
              <w:bidi w:val="0"/>
              <w:spacing w:before="0" w:after="283"/>
              <w:jc w:val="right"/>
              <w:rPr/>
            </w:pPr>
            <w:r>
              <w:rPr/>
              <w:t>1.16</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26" w:type="dxa"/>
            <w:tcBorders/>
            <w:shd w:fill="CCEEFF" w:val="clear"/>
            <w:tcMar>
              <w:top w:w="0" w:type="dxa"/>
              <w:bottom w:w="0" w:type="dxa"/>
            </w:tcMar>
            <w:vAlign w:val="center"/>
          </w:tcPr>
          <w:p>
            <w:pPr>
              <w:pStyle w:val="TableContents"/>
              <w:bidi w:val="0"/>
              <w:spacing w:before="0" w:after="283"/>
              <w:jc w:val="left"/>
              <w:rPr/>
            </w:pPr>
            <w:r>
              <w:rPr/>
              <w:t> </w:t>
            </w:r>
          </w:p>
        </w:tc>
        <w:tc>
          <w:tcPr>
            <w:tcW w:w="1164" w:type="dxa"/>
            <w:tcBorders/>
            <w:shd w:fill="CCEEFF" w:val="clear"/>
            <w:tcMar>
              <w:top w:w="0" w:type="dxa"/>
              <w:bottom w:w="0" w:type="dxa"/>
            </w:tcMar>
            <w:vAlign w:val="center"/>
          </w:tcPr>
          <w:p>
            <w:pPr>
              <w:pStyle w:val="TableContents"/>
              <w:bidi w:val="0"/>
              <w:spacing w:before="0" w:after="283"/>
              <w:jc w:val="right"/>
              <w:rPr/>
            </w:pPr>
            <w:r>
              <w:rPr/>
              <w:t>1.00</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10" w:type="dxa"/>
            <w:tcBorders/>
            <w:shd w:fill="CCEEFF" w:val="clear"/>
            <w:tcMar>
              <w:top w:w="0" w:type="dxa"/>
              <w:bottom w:w="0" w:type="dxa"/>
            </w:tcMar>
            <w:vAlign w:val="center"/>
          </w:tcPr>
          <w:p>
            <w:pPr>
              <w:pStyle w:val="TableContents"/>
              <w:bidi w:val="0"/>
              <w:spacing w:before="0" w:after="283"/>
              <w:jc w:val="left"/>
              <w:rPr/>
            </w:pPr>
            <w:r>
              <w:rPr/>
              <w:t> </w:t>
            </w:r>
          </w:p>
        </w:tc>
        <w:tc>
          <w:tcPr>
            <w:tcW w:w="1253" w:type="dxa"/>
            <w:tcBorders/>
            <w:shd w:fill="CCEEFF" w:val="clear"/>
            <w:tcMar>
              <w:top w:w="0" w:type="dxa"/>
              <w:bottom w:w="0" w:type="dxa"/>
            </w:tcMar>
            <w:vAlign w:val="center"/>
          </w:tcPr>
          <w:p>
            <w:pPr>
              <w:pStyle w:val="TableContents"/>
              <w:bidi w:val="0"/>
              <w:spacing w:before="0" w:after="283"/>
              <w:jc w:val="right"/>
              <w:rPr/>
            </w:pPr>
            <w:r>
              <w:rPr/>
              <w:t>1.15</w:t>
            </w:r>
          </w:p>
        </w:tc>
        <w:tc>
          <w:tcPr>
            <w:tcW w:w="245"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27" w:type="dxa"/>
            <w:tcBorders/>
            <w:shd w:fill="CCEEFF" w:val="clear"/>
            <w:tcMar>
              <w:top w:w="0" w:type="dxa"/>
              <w:bottom w:w="0" w:type="dxa"/>
            </w:tcMar>
            <w:vAlign w:val="center"/>
          </w:tcPr>
          <w:p>
            <w:pPr>
              <w:pStyle w:val="TableContents"/>
              <w:bidi w:val="0"/>
              <w:spacing w:before="0" w:after="283"/>
              <w:jc w:val="left"/>
              <w:rPr/>
            </w:pPr>
            <w:r>
              <w:rPr/>
              <w:t> </w:t>
            </w:r>
          </w:p>
        </w:tc>
        <w:tc>
          <w:tcPr>
            <w:tcW w:w="1176" w:type="dxa"/>
            <w:tcBorders/>
            <w:shd w:fill="CCEEFF" w:val="clear"/>
            <w:tcMar>
              <w:top w:w="0" w:type="dxa"/>
              <w:bottom w:w="0" w:type="dxa"/>
            </w:tcMar>
            <w:vAlign w:val="center"/>
          </w:tcPr>
          <w:p>
            <w:pPr>
              <w:pStyle w:val="TableContents"/>
              <w:bidi w:val="0"/>
              <w:spacing w:before="0" w:after="283"/>
              <w:jc w:val="right"/>
              <w:rPr/>
            </w:pPr>
            <w:r>
              <w:rPr/>
              <w:t>0.92</w:t>
            </w:r>
          </w:p>
        </w:tc>
        <w:tc>
          <w:tcPr>
            <w:tcW w:w="293" w:type="dxa"/>
            <w:tcBorders/>
            <w:shd w:fill="CCEEFF" w:val="clear"/>
            <w:tcMar>
              <w:top w:w="0" w:type="dxa"/>
              <w:bottom w:w="0" w:type="dxa"/>
            </w:tcMar>
            <w:vAlign w:val="center"/>
          </w:tcPr>
          <w:p>
            <w:pPr>
              <w:pStyle w:val="TableContents"/>
              <w:bidi w:val="0"/>
              <w:spacing w:before="0" w:after="283"/>
              <w:jc w:val="left"/>
              <w:rPr/>
            </w:pPr>
            <w:r>
              <w:rPr/>
              <w:t> </w:t>
            </w:r>
          </w:p>
        </w:tc>
      </w:tr>
      <w:tr>
        <w:trPr/>
        <w:tc>
          <w:tcPr>
            <w:tcW w:w="2550" w:type="dxa"/>
            <w:tcBorders/>
            <w:tcMar>
              <w:top w:w="0" w:type="dxa"/>
              <w:bottom w:w="0" w:type="dxa"/>
            </w:tcMar>
            <w:vAlign w:val="center"/>
          </w:tcPr>
          <w:p>
            <w:pPr>
              <w:pStyle w:val="TableContents"/>
              <w:bidi w:val="0"/>
              <w:spacing w:before="0" w:after="283"/>
              <w:jc w:val="left"/>
              <w:rPr/>
            </w:pPr>
            <w:r>
              <w:rPr/>
              <w:t>Vesting period (years)</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830" w:type="dxa"/>
            <w:tcBorders/>
            <w:tcMar>
              <w:top w:w="0" w:type="dxa"/>
              <w:bottom w:w="0" w:type="dxa"/>
            </w:tcMar>
            <w:vAlign w:val="center"/>
          </w:tcPr>
          <w:p>
            <w:pPr>
              <w:pStyle w:val="TableContents"/>
              <w:bidi w:val="0"/>
              <w:spacing w:before="0" w:after="283"/>
              <w:jc w:val="right"/>
              <w:rPr/>
            </w:pPr>
            <w:r>
              <w:rPr/>
              <w:t>1.5</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03" w:type="dxa"/>
            <w:tcBorders/>
            <w:tcMar>
              <w:top w:w="0" w:type="dxa"/>
              <w:bottom w:w="0" w:type="dxa"/>
            </w:tcMar>
            <w:vAlign w:val="center"/>
          </w:tcPr>
          <w:p>
            <w:pPr>
              <w:pStyle w:val="TableContents"/>
              <w:bidi w:val="0"/>
              <w:spacing w:before="0" w:after="283"/>
              <w:jc w:val="left"/>
              <w:rPr/>
            </w:pPr>
            <w:r>
              <w:rPr/>
              <w:t> </w:t>
            </w:r>
          </w:p>
        </w:tc>
        <w:tc>
          <w:tcPr>
            <w:tcW w:w="953" w:type="dxa"/>
            <w:tcBorders/>
            <w:tcMar>
              <w:top w:w="0" w:type="dxa"/>
              <w:bottom w:w="0" w:type="dxa"/>
            </w:tcMar>
            <w:vAlign w:val="center"/>
          </w:tcPr>
          <w:p>
            <w:pPr>
              <w:pStyle w:val="TableContents"/>
              <w:bidi w:val="0"/>
              <w:spacing w:before="0" w:after="283"/>
              <w:jc w:val="right"/>
              <w:rPr/>
            </w:pPr>
            <w:r>
              <w:rPr/>
              <w:t>1.5</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26" w:type="dxa"/>
            <w:tcBorders/>
            <w:tcMar>
              <w:top w:w="0" w:type="dxa"/>
              <w:bottom w:w="0" w:type="dxa"/>
            </w:tcMar>
            <w:vAlign w:val="center"/>
          </w:tcPr>
          <w:p>
            <w:pPr>
              <w:pStyle w:val="TableContents"/>
              <w:bidi w:val="0"/>
              <w:spacing w:before="0" w:after="283"/>
              <w:jc w:val="left"/>
              <w:rPr/>
            </w:pPr>
            <w:r>
              <w:rPr/>
              <w:t> </w:t>
            </w:r>
          </w:p>
        </w:tc>
        <w:tc>
          <w:tcPr>
            <w:tcW w:w="1164" w:type="dxa"/>
            <w:tcBorders/>
            <w:tcMar>
              <w:top w:w="0" w:type="dxa"/>
              <w:bottom w:w="0" w:type="dxa"/>
            </w:tcMar>
            <w:vAlign w:val="center"/>
          </w:tcPr>
          <w:p>
            <w:pPr>
              <w:pStyle w:val="TableContents"/>
              <w:bidi w:val="0"/>
              <w:spacing w:before="0" w:after="283"/>
              <w:jc w:val="right"/>
              <w:rPr/>
            </w:pPr>
            <w:r>
              <w:rPr/>
              <w:t>1.5</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pPr>
            <w:r>
              <w:rPr/>
              <w:t> </w:t>
            </w:r>
          </w:p>
        </w:tc>
        <w:tc>
          <w:tcPr>
            <w:tcW w:w="1253" w:type="dxa"/>
            <w:tcBorders/>
            <w:tcMar>
              <w:top w:w="0" w:type="dxa"/>
              <w:bottom w:w="0" w:type="dxa"/>
            </w:tcMar>
            <w:vAlign w:val="center"/>
          </w:tcPr>
          <w:p>
            <w:pPr>
              <w:pStyle w:val="TableContents"/>
              <w:bidi w:val="0"/>
              <w:spacing w:before="0" w:after="283"/>
              <w:jc w:val="right"/>
              <w:rPr/>
            </w:pPr>
            <w:r>
              <w:rPr/>
              <w:t>1.5</w:t>
            </w:r>
          </w:p>
        </w:tc>
        <w:tc>
          <w:tcPr>
            <w:tcW w:w="245"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27" w:type="dxa"/>
            <w:tcBorders/>
            <w:tcMar>
              <w:top w:w="0" w:type="dxa"/>
              <w:bottom w:w="0" w:type="dxa"/>
            </w:tcMar>
            <w:vAlign w:val="center"/>
          </w:tcPr>
          <w:p>
            <w:pPr>
              <w:pStyle w:val="TableContents"/>
              <w:bidi w:val="0"/>
              <w:spacing w:before="0" w:after="283"/>
              <w:jc w:val="left"/>
              <w:rPr/>
            </w:pPr>
            <w:r>
              <w:rPr/>
              <w:t> </w:t>
            </w:r>
          </w:p>
        </w:tc>
        <w:tc>
          <w:tcPr>
            <w:tcW w:w="1176" w:type="dxa"/>
            <w:tcBorders/>
            <w:tcMar>
              <w:top w:w="0" w:type="dxa"/>
              <w:bottom w:w="0" w:type="dxa"/>
            </w:tcMar>
            <w:vAlign w:val="center"/>
          </w:tcPr>
          <w:p>
            <w:pPr>
              <w:pStyle w:val="TableContents"/>
              <w:bidi w:val="0"/>
              <w:spacing w:before="0" w:after="283"/>
              <w:jc w:val="right"/>
              <w:rPr/>
            </w:pPr>
            <w:r>
              <w:rPr/>
              <w:t>1.5</w:t>
            </w:r>
          </w:p>
        </w:tc>
        <w:tc>
          <w:tcPr>
            <w:tcW w:w="293" w:type="dxa"/>
            <w:tcBorders/>
            <w:tcMar>
              <w:top w:w="0" w:type="dxa"/>
              <w:bottom w:w="0" w:type="dxa"/>
            </w:tcMar>
            <w:vAlign w:val="center"/>
          </w:tcPr>
          <w:p>
            <w:pPr>
              <w:pStyle w:val="TableContents"/>
              <w:bidi w:val="0"/>
              <w:spacing w:before="0" w:after="283"/>
              <w:jc w:val="left"/>
              <w:rPr/>
            </w:pPr>
            <w:r>
              <w:rPr/>
              <w:t> </w:t>
            </w:r>
          </w:p>
        </w:tc>
      </w:tr>
      <w:tr>
        <w:trPr/>
        <w:tc>
          <w:tcPr>
            <w:tcW w:w="2550" w:type="dxa"/>
            <w:tcBorders>
              <w:bottom w:val="single" w:sz="12" w:space="0" w:color="000000"/>
            </w:tcBorders>
            <w:shd w:fill="CCEEFF" w:val="clear"/>
            <w:tcMar>
              <w:top w:w="0" w:type="dxa"/>
            </w:tcMar>
            <w:vAlign w:val="center"/>
          </w:tcPr>
          <w:p>
            <w:pPr>
              <w:pStyle w:val="TableContents"/>
              <w:bidi w:val="0"/>
              <w:spacing w:before="0" w:after="283"/>
              <w:jc w:val="left"/>
              <w:rPr/>
            </w:pPr>
            <w:r>
              <w:rPr/>
              <w:t>Number of options granted</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top w:w="0" w:type="dxa"/>
            </w:tcMar>
            <w:vAlign w:val="center"/>
          </w:tcPr>
          <w:p>
            <w:pPr>
              <w:pStyle w:val="TableContents"/>
              <w:bidi w:val="0"/>
              <w:spacing w:before="0" w:after="283"/>
              <w:jc w:val="right"/>
              <w:rPr/>
            </w:pPr>
            <w:r>
              <w:rPr/>
              <w:t>330,000</w:t>
            </w:r>
          </w:p>
        </w:tc>
        <w:tc>
          <w:tcPr>
            <w:tcW w:w="24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top w:w="0" w:type="dxa"/>
            </w:tcMar>
            <w:vAlign w:val="center"/>
          </w:tcPr>
          <w:p>
            <w:pPr>
              <w:pStyle w:val="TableContents"/>
              <w:bidi w:val="0"/>
              <w:spacing w:before="0" w:after="283"/>
              <w:jc w:val="right"/>
              <w:rPr/>
            </w:pPr>
            <w:r>
              <w:rPr/>
              <w:t>400,000</w:t>
            </w:r>
          </w:p>
        </w:tc>
        <w:tc>
          <w:tcPr>
            <w:tcW w:w="24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top w:w="0" w:type="dxa"/>
            </w:tcMar>
            <w:vAlign w:val="center"/>
          </w:tcPr>
          <w:p>
            <w:pPr>
              <w:pStyle w:val="TableContents"/>
              <w:bidi w:val="0"/>
              <w:spacing w:before="0" w:after="283"/>
              <w:jc w:val="right"/>
              <w:rPr/>
            </w:pPr>
            <w:r>
              <w:rPr/>
              <w:t>480,000</w:t>
            </w:r>
          </w:p>
        </w:tc>
        <w:tc>
          <w:tcPr>
            <w:tcW w:w="24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1253" w:type="dxa"/>
            <w:tcBorders>
              <w:bottom w:val="single" w:sz="12" w:space="0" w:color="000000"/>
            </w:tcBorders>
            <w:shd w:fill="CCEEFF" w:val="clear"/>
            <w:tcMar>
              <w:top w:w="0" w:type="dxa"/>
            </w:tcMar>
            <w:vAlign w:val="center"/>
          </w:tcPr>
          <w:p>
            <w:pPr>
              <w:pStyle w:val="TableContents"/>
              <w:bidi w:val="0"/>
              <w:spacing w:before="0" w:after="283"/>
              <w:jc w:val="right"/>
              <w:rPr/>
            </w:pPr>
            <w:r>
              <w:rPr/>
              <w:t>7,200,000</w:t>
            </w:r>
          </w:p>
        </w:tc>
        <w:tc>
          <w:tcPr>
            <w:tcW w:w="245"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1176" w:type="dxa"/>
            <w:tcBorders>
              <w:bottom w:val="single" w:sz="12" w:space="0" w:color="000000"/>
            </w:tcBorders>
            <w:shd w:fill="CCEEFF" w:val="clear"/>
            <w:tcMar>
              <w:top w:w="0" w:type="dxa"/>
            </w:tcMar>
            <w:vAlign w:val="center"/>
          </w:tcPr>
          <w:p>
            <w:pPr>
              <w:pStyle w:val="TableContents"/>
              <w:bidi w:val="0"/>
              <w:spacing w:before="0" w:after="283"/>
              <w:jc w:val="right"/>
              <w:rPr/>
            </w:pPr>
            <w:r>
              <w:rPr/>
              <w:t>600,000</w:t>
            </w:r>
          </w:p>
        </w:tc>
        <w:tc>
          <w:tcPr>
            <w:tcW w:w="293" w:type="dxa"/>
            <w:tcBorders>
              <w:bottom w:val="single" w:sz="12" w:space="0" w:color="000000"/>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RSUs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40"/>
        <w:gridCol w:w="90"/>
        <w:gridCol w:w="122"/>
        <w:gridCol w:w="1236"/>
        <w:gridCol w:w="125"/>
        <w:gridCol w:w="90"/>
        <w:gridCol w:w="383"/>
        <w:gridCol w:w="2012"/>
        <w:gridCol w:w="90"/>
        <w:gridCol w:w="90"/>
        <w:gridCol w:w="119"/>
        <w:gridCol w:w="1199"/>
        <w:gridCol w:w="125"/>
        <w:gridCol w:w="90"/>
        <w:gridCol w:w="362"/>
        <w:gridCol w:w="1892"/>
        <w:gridCol w:w="140"/>
      </w:tblGrid>
      <w:tr>
        <w:trPr/>
        <w:tc>
          <w:tcPr>
            <w:tcW w:w="204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935" w:type="dxa"/>
            <w:gridSpan w:val="14"/>
            <w:tcBorders>
              <w:bottom w:val="single" w:sz="8" w:space="0" w:color="000000"/>
            </w:tcBorders>
            <w:vAlign w:val="center"/>
          </w:tcPr>
          <w:p>
            <w:pPr>
              <w:pStyle w:val="TableContents"/>
              <w:bidi w:val="0"/>
              <w:spacing w:before="0" w:after="283"/>
              <w:jc w:val="center"/>
              <w:rPr>
                <w:b/>
              </w:rPr>
            </w:pPr>
            <w:r>
              <w:rPr>
                <w:b/>
              </w:rPr>
              <w:t>Year ended December 31,</w:t>
            </w:r>
          </w:p>
        </w:tc>
        <w:tc>
          <w:tcPr>
            <w:tcW w:w="140" w:type="dxa"/>
            <w:tcBorders>
              <w:bottom w:val="single" w:sz="8" w:space="0" w:color="000000"/>
            </w:tcBorders>
            <w:vAlign w:val="center"/>
          </w:tcPr>
          <w:p>
            <w:pPr>
              <w:pStyle w:val="TableContents"/>
              <w:bidi w:val="0"/>
              <w:spacing w:before="0" w:after="283"/>
              <w:jc w:val="left"/>
              <w:rPr/>
            </w:pPr>
            <w:r>
              <w:rPr/>
              <w:t> </w:t>
            </w:r>
          </w:p>
        </w:tc>
      </w:tr>
      <w:tr>
        <w:trPr/>
        <w:tc>
          <w:tcPr>
            <w:tcW w:w="204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968" w:type="dxa"/>
            <w:gridSpan w:val="6"/>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787" w:type="dxa"/>
            <w:gridSpan w:val="6"/>
            <w:tcBorders>
              <w:bottom w:val="single" w:sz="8" w:space="0" w:color="000000"/>
            </w:tcBorders>
            <w:vAlign w:val="center"/>
          </w:tcPr>
          <w:p>
            <w:pPr>
              <w:pStyle w:val="TableContents"/>
              <w:bidi w:val="0"/>
              <w:spacing w:before="0" w:after="283"/>
              <w:jc w:val="right"/>
              <w:rPr/>
            </w:pPr>
            <w:r>
              <w:rPr/>
              <w:t>2023</w:t>
            </w:r>
          </w:p>
        </w:tc>
        <w:tc>
          <w:tcPr>
            <w:tcW w:w="140" w:type="dxa"/>
            <w:tcBorders>
              <w:bottom w:val="single" w:sz="8" w:space="0" w:color="000000"/>
            </w:tcBorders>
            <w:vAlign w:val="center"/>
          </w:tcPr>
          <w:p>
            <w:pPr>
              <w:pStyle w:val="TableContents"/>
              <w:bidi w:val="0"/>
              <w:spacing w:before="0" w:after="283"/>
              <w:jc w:val="left"/>
              <w:rPr/>
            </w:pPr>
            <w:r>
              <w:rPr/>
              <w:t> </w:t>
            </w:r>
          </w:p>
        </w:tc>
      </w:tr>
      <w:tr>
        <w:trPr/>
        <w:tc>
          <w:tcPr>
            <w:tcW w:w="204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58" w:type="dxa"/>
            <w:gridSpan w:val="2"/>
            <w:tcBorders>
              <w:bottom w:val="single" w:sz="8" w:space="0" w:color="000000"/>
            </w:tcBorders>
            <w:vAlign w:val="center"/>
          </w:tcPr>
          <w:p>
            <w:pPr>
              <w:pStyle w:val="TableContents"/>
              <w:bidi w:val="0"/>
              <w:spacing w:before="0" w:after="283"/>
              <w:jc w:val="right"/>
              <w:rPr>
                <w:b/>
              </w:rPr>
            </w:pPr>
            <w:r>
              <w:rPr>
                <w:b/>
              </w:rPr>
              <w:t>Number of RSUs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395" w:type="dxa"/>
            <w:gridSpan w:val="2"/>
            <w:tcBorders>
              <w:bottom w:val="single" w:sz="8" w:space="0" w:color="000000"/>
            </w:tcBorders>
            <w:vAlign w:val="center"/>
          </w:tcPr>
          <w:p>
            <w:pPr>
              <w:pStyle w:val="TableContents"/>
              <w:bidi w:val="0"/>
              <w:spacing w:before="0" w:after="283"/>
              <w:jc w:val="right"/>
              <w:rPr>
                <w:b/>
              </w:rPr>
            </w:pPr>
            <w:r>
              <w:rPr>
                <w:b/>
              </w:rPr>
              <w:t>Weighted Average Grant Price ($CAD)</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318" w:type="dxa"/>
            <w:gridSpan w:val="2"/>
            <w:tcBorders>
              <w:bottom w:val="single" w:sz="8" w:space="0" w:color="000000"/>
            </w:tcBorders>
            <w:vAlign w:val="center"/>
          </w:tcPr>
          <w:p>
            <w:pPr>
              <w:pStyle w:val="TableContents"/>
              <w:bidi w:val="0"/>
              <w:spacing w:before="0" w:after="283"/>
              <w:jc w:val="right"/>
              <w:rPr/>
            </w:pPr>
            <w:r>
              <w:rPr/>
              <w:t>Number of RSUs</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254" w:type="dxa"/>
            <w:gridSpan w:val="2"/>
            <w:tcBorders>
              <w:bottom w:val="single" w:sz="8" w:space="0" w:color="000000"/>
            </w:tcBorders>
            <w:vAlign w:val="center"/>
          </w:tcPr>
          <w:p>
            <w:pPr>
              <w:pStyle w:val="TableContents"/>
              <w:bidi w:val="0"/>
              <w:spacing w:before="0" w:after="283"/>
              <w:jc w:val="right"/>
              <w:rPr/>
            </w:pPr>
            <w:r>
              <w:rPr/>
              <w:t>Weighted Average Grant Price ($CAD)</w:t>
            </w:r>
          </w:p>
        </w:tc>
        <w:tc>
          <w:tcPr>
            <w:tcW w:w="140" w:type="dxa"/>
            <w:tcBorders>
              <w:bottom w:val="single" w:sz="8" w:space="0" w:color="000000"/>
            </w:tcBorders>
            <w:vAlign w:val="center"/>
          </w:tcPr>
          <w:p>
            <w:pPr>
              <w:pStyle w:val="TableContents"/>
              <w:bidi w:val="0"/>
              <w:spacing w:before="0" w:after="283"/>
              <w:jc w:val="left"/>
              <w:rPr/>
            </w:pPr>
            <w:r>
              <w:rPr/>
              <w:t> </w:t>
            </w:r>
          </w:p>
        </w:tc>
      </w:tr>
      <w:tr>
        <w:trPr/>
        <w:tc>
          <w:tcPr>
            <w:tcW w:w="2040" w:type="dxa"/>
            <w:tcBorders>
              <w:bottom w:val="single" w:sz="8" w:space="0" w:color="000000"/>
            </w:tcBorders>
            <w:shd w:fill="CCEEFF" w:val="clear"/>
            <w:vAlign w:val="center"/>
          </w:tcPr>
          <w:p>
            <w:pPr>
              <w:pStyle w:val="TableContents"/>
              <w:bidi w:val="0"/>
              <w:spacing w:before="0" w:after="283"/>
              <w:jc w:val="left"/>
              <w:rPr>
                <w:b/>
              </w:rPr>
            </w:pPr>
            <w:r>
              <w:rPr>
                <w:b/>
              </w:rPr>
              <w:t>Outstanding, January 1,</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vAlign w:val="center"/>
          </w:tcPr>
          <w:p>
            <w:pPr>
              <w:pStyle w:val="TableContents"/>
              <w:bidi w:val="0"/>
              <w:spacing w:before="0" w:after="283"/>
              <w:jc w:val="left"/>
              <w:rPr/>
            </w:pPr>
            <w:r>
              <w:rPr/>
              <w:t> </w:t>
            </w:r>
          </w:p>
        </w:tc>
        <w:tc>
          <w:tcPr>
            <w:tcW w:w="1236" w:type="dxa"/>
            <w:tcBorders>
              <w:bottom w:val="single" w:sz="8" w:space="0" w:color="000000"/>
            </w:tcBorders>
            <w:shd w:fill="CCEEFF" w:val="clear"/>
            <w:vAlign w:val="center"/>
          </w:tcPr>
          <w:p>
            <w:pPr>
              <w:pStyle w:val="TableContents"/>
              <w:bidi w:val="0"/>
              <w:spacing w:before="0" w:after="283"/>
              <w:jc w:val="right"/>
              <w:rPr>
                <w:b/>
              </w:rPr>
            </w:pPr>
            <w:r>
              <w:rPr>
                <w:b/>
              </w:rPr>
              <w:t>624,998</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83" w:type="dxa"/>
            <w:tcBorders>
              <w:bottom w:val="single" w:sz="8" w:space="0" w:color="000000"/>
            </w:tcBorders>
            <w:shd w:fill="CCEEFF" w:val="clear"/>
            <w:vAlign w:val="center"/>
          </w:tcPr>
          <w:p>
            <w:pPr>
              <w:pStyle w:val="TableContents"/>
              <w:bidi w:val="0"/>
              <w:spacing w:before="0" w:after="283"/>
              <w:jc w:val="left"/>
              <w:rPr/>
            </w:pPr>
            <w:r>
              <w:rPr/>
              <w:t> </w:t>
            </w:r>
          </w:p>
        </w:tc>
        <w:tc>
          <w:tcPr>
            <w:tcW w:w="2012" w:type="dxa"/>
            <w:tcBorders>
              <w:bottom w:val="single" w:sz="8" w:space="0" w:color="000000"/>
            </w:tcBorders>
            <w:shd w:fill="CCEEFF" w:val="clear"/>
            <w:vAlign w:val="center"/>
          </w:tcPr>
          <w:p>
            <w:pPr>
              <w:pStyle w:val="TableContents"/>
              <w:bidi w:val="0"/>
              <w:spacing w:before="0" w:after="283"/>
              <w:jc w:val="right"/>
              <w:rPr>
                <w:b/>
              </w:rPr>
            </w:pPr>
            <w:r>
              <w:rPr>
                <w:b/>
              </w:rPr>
              <w:t>4.05</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1199" w:type="dxa"/>
            <w:tcBorders>
              <w:bottom w:val="single" w:sz="8" w:space="0" w:color="000000"/>
            </w:tcBorders>
            <w:shd w:fill="CCEEFF" w:val="clear"/>
            <w:vAlign w:val="center"/>
          </w:tcPr>
          <w:p>
            <w:pPr>
              <w:pStyle w:val="TableContents"/>
              <w:bidi w:val="0"/>
              <w:spacing w:before="0" w:after="283"/>
              <w:jc w:val="right"/>
              <w:rPr/>
            </w:pPr>
            <w:r>
              <w:rPr/>
              <w:t>400,000</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362" w:type="dxa"/>
            <w:tcBorders>
              <w:bottom w:val="single" w:sz="8" w:space="0" w:color="000000"/>
            </w:tcBorders>
            <w:shd w:fill="CCEEFF" w:val="clear"/>
            <w:vAlign w:val="center"/>
          </w:tcPr>
          <w:p>
            <w:pPr>
              <w:pStyle w:val="TableContents"/>
              <w:bidi w:val="0"/>
              <w:spacing w:before="0" w:after="283"/>
              <w:jc w:val="left"/>
              <w:rPr/>
            </w:pPr>
            <w:r>
              <w:rPr/>
              <w:t> </w:t>
            </w:r>
          </w:p>
        </w:tc>
        <w:tc>
          <w:tcPr>
            <w:tcW w:w="1892" w:type="dxa"/>
            <w:tcBorders>
              <w:bottom w:val="single" w:sz="8" w:space="0" w:color="000000"/>
            </w:tcBorders>
            <w:shd w:fill="CCEEFF" w:val="clear"/>
            <w:vAlign w:val="center"/>
          </w:tcPr>
          <w:p>
            <w:pPr>
              <w:pStyle w:val="TableContents"/>
              <w:bidi w:val="0"/>
              <w:spacing w:before="0" w:after="283"/>
              <w:jc w:val="right"/>
              <w:rPr/>
            </w:pPr>
            <w:r>
              <w:rPr/>
              <w:t>3.73</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2040" w:type="dxa"/>
            <w:tcBorders/>
            <w:tcMar>
              <w:bottom w:w="0" w:type="dxa"/>
            </w:tcMar>
            <w:vAlign w:val="center"/>
          </w:tcPr>
          <w:p>
            <w:pPr>
              <w:pStyle w:val="TableContents"/>
              <w:bidi w:val="0"/>
              <w:spacing w:before="0" w:after="283"/>
              <w:jc w:val="left"/>
              <w:rPr/>
            </w:pPr>
            <w:r>
              <w:rPr/>
              <w:t>Granted</w:t>
            </w:r>
          </w:p>
        </w:tc>
        <w:tc>
          <w:tcPr>
            <w:tcW w:w="9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236" w:type="dxa"/>
            <w:tcBorders/>
            <w:tcMar>
              <w:bottom w:w="0" w:type="dxa"/>
            </w:tcMar>
            <w:vAlign w:val="center"/>
          </w:tcPr>
          <w:p>
            <w:pPr>
              <w:pStyle w:val="TableContents"/>
              <w:bidi w:val="0"/>
              <w:spacing w:before="0" w:after="283"/>
              <w:jc w:val="right"/>
              <w:rPr>
                <w:b/>
              </w:rPr>
            </w:pPr>
            <w:r>
              <w:rPr>
                <w:b/>
              </w:rPr>
              <w:t>706,000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3" w:type="dxa"/>
            <w:tcBorders/>
            <w:tcMar>
              <w:bottom w:w="0" w:type="dxa"/>
            </w:tcMar>
            <w:vAlign w:val="center"/>
          </w:tcPr>
          <w:p>
            <w:pPr>
              <w:pStyle w:val="TableContents"/>
              <w:bidi w:val="0"/>
              <w:spacing w:before="0" w:after="283"/>
              <w:jc w:val="left"/>
              <w:rPr/>
            </w:pPr>
            <w:r>
              <w:rPr/>
              <w:t> </w:t>
            </w:r>
          </w:p>
        </w:tc>
        <w:tc>
          <w:tcPr>
            <w:tcW w:w="2012" w:type="dxa"/>
            <w:tcBorders/>
            <w:tcMar>
              <w:bottom w:w="0" w:type="dxa"/>
            </w:tcMar>
            <w:vAlign w:val="center"/>
          </w:tcPr>
          <w:p>
            <w:pPr>
              <w:pStyle w:val="TableContents"/>
              <w:bidi w:val="0"/>
              <w:spacing w:before="0" w:after="283"/>
              <w:jc w:val="right"/>
              <w:rPr>
                <w:b/>
              </w:rPr>
            </w:pPr>
            <w:r>
              <w:rPr>
                <w:b/>
              </w:rPr>
              <w:t>3.27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199" w:type="dxa"/>
            <w:tcBorders/>
            <w:tcMar>
              <w:bottom w:w="0" w:type="dxa"/>
            </w:tcMar>
            <w:vAlign w:val="center"/>
          </w:tcPr>
          <w:p>
            <w:pPr>
              <w:pStyle w:val="TableContents"/>
              <w:bidi w:val="0"/>
              <w:spacing w:before="0" w:after="283"/>
              <w:jc w:val="right"/>
              <w:rPr/>
            </w:pPr>
            <w:r>
              <w:rPr/>
              <w:t>475,000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2" w:type="dxa"/>
            <w:tcBorders/>
            <w:tcMar>
              <w:bottom w:w="0" w:type="dxa"/>
            </w:tcMar>
            <w:vAlign w:val="center"/>
          </w:tcPr>
          <w:p>
            <w:pPr>
              <w:pStyle w:val="TableContents"/>
              <w:bidi w:val="0"/>
              <w:spacing w:before="0" w:after="283"/>
              <w:jc w:val="left"/>
              <w:rPr/>
            </w:pPr>
            <w:r>
              <w:rPr/>
              <w:t> </w:t>
            </w:r>
          </w:p>
        </w:tc>
        <w:tc>
          <w:tcPr>
            <w:tcW w:w="1892" w:type="dxa"/>
            <w:tcBorders/>
            <w:tcMar>
              <w:bottom w:w="0" w:type="dxa"/>
            </w:tcMar>
            <w:vAlign w:val="center"/>
          </w:tcPr>
          <w:p>
            <w:pPr>
              <w:pStyle w:val="TableContents"/>
              <w:bidi w:val="0"/>
              <w:spacing w:before="0" w:after="283"/>
              <w:jc w:val="right"/>
              <w:rPr/>
            </w:pPr>
            <w:r>
              <w:rPr/>
              <w:t>3.83</w:t>
            </w:r>
          </w:p>
        </w:tc>
        <w:tc>
          <w:tcPr>
            <w:tcW w:w="140" w:type="dxa"/>
            <w:tcBorders/>
            <w:tcMar>
              <w:bottom w:w="0" w:type="dxa"/>
            </w:tcMar>
            <w:vAlign w:val="center"/>
          </w:tcPr>
          <w:p>
            <w:pPr>
              <w:pStyle w:val="TableContents"/>
              <w:bidi w:val="0"/>
              <w:spacing w:before="0" w:after="283"/>
              <w:jc w:val="left"/>
              <w:rPr/>
            </w:pPr>
            <w:r>
              <w:rPr/>
              <w:t> </w:t>
            </w:r>
          </w:p>
        </w:tc>
      </w:tr>
      <w:tr>
        <w:trPr/>
        <w:tc>
          <w:tcPr>
            <w:tcW w:w="2040" w:type="dxa"/>
            <w:tcBorders/>
            <w:shd w:fill="CCEEFF" w:val="clear"/>
            <w:tcMar>
              <w:bottom w:w="0" w:type="dxa"/>
            </w:tcMar>
            <w:vAlign w:val="center"/>
          </w:tcPr>
          <w:p>
            <w:pPr>
              <w:pStyle w:val="TableContents"/>
              <w:bidi w:val="0"/>
              <w:spacing w:before="0" w:after="283"/>
              <w:jc w:val="left"/>
              <w:rPr/>
            </w:pPr>
            <w:r>
              <w:rPr/>
              <w:t>Settled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b/>
              </w:rPr>
            </w:pPr>
            <w:r>
              <w:rPr>
                <w:b/>
              </w:rPr>
              <w:t>(416,666</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3" w:type="dxa"/>
            <w:tcBorders/>
            <w:shd w:fill="CCEEFF" w:val="clear"/>
            <w:tcMar>
              <w:bottom w:w="0" w:type="dxa"/>
            </w:tcMar>
            <w:vAlign w:val="center"/>
          </w:tcPr>
          <w:p>
            <w:pPr>
              <w:pStyle w:val="TableContents"/>
              <w:bidi w:val="0"/>
              <w:spacing w:before="0" w:after="283"/>
              <w:jc w:val="left"/>
              <w:rPr/>
            </w:pPr>
            <w:r>
              <w:rPr/>
              <w:t> </w:t>
            </w:r>
          </w:p>
        </w:tc>
        <w:tc>
          <w:tcPr>
            <w:tcW w:w="2012" w:type="dxa"/>
            <w:tcBorders/>
            <w:shd w:fill="CCEEFF" w:val="clear"/>
            <w:tcMar>
              <w:bottom w:w="0" w:type="dxa"/>
            </w:tcMar>
            <w:vAlign w:val="center"/>
          </w:tcPr>
          <w:p>
            <w:pPr>
              <w:pStyle w:val="TableContents"/>
              <w:bidi w:val="0"/>
              <w:spacing w:before="0" w:after="283"/>
              <w:jc w:val="right"/>
              <w:rPr>
                <w:b/>
              </w:rPr>
            </w:pPr>
            <w:r>
              <w:rPr>
                <w:b/>
              </w:rPr>
              <w:t>3.64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(250,002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2" w:type="dxa"/>
            <w:tcBorders/>
            <w:shd w:fill="CCEEFF" w:val="clear"/>
            <w:tcMar>
              <w:bottom w:w="0" w:type="dxa"/>
            </w:tcMar>
            <w:vAlign w:val="center"/>
          </w:tcPr>
          <w:p>
            <w:pPr>
              <w:pStyle w:val="TableContents"/>
              <w:bidi w:val="0"/>
              <w:spacing w:before="0" w:after="283"/>
              <w:jc w:val="left"/>
              <w:rPr/>
            </w:pPr>
            <w:r>
              <w:rPr/>
              <w:t> </w:t>
            </w:r>
          </w:p>
        </w:tc>
        <w:tc>
          <w:tcPr>
            <w:tcW w:w="1892" w:type="dxa"/>
            <w:tcBorders/>
            <w:shd w:fill="CCEEFF" w:val="clear"/>
            <w:tcMar>
              <w:bottom w:w="0" w:type="dxa"/>
            </w:tcMar>
            <w:vAlign w:val="center"/>
          </w:tcPr>
          <w:p>
            <w:pPr>
              <w:pStyle w:val="TableContents"/>
              <w:bidi w:val="0"/>
              <w:spacing w:before="0" w:after="283"/>
              <w:jc w:val="right"/>
              <w:rPr/>
            </w:pPr>
            <w:r>
              <w:rPr/>
              <w:t>3.13</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2040" w:type="dxa"/>
            <w:tcBorders>
              <w:bottom w:val="single" w:sz="8" w:space="0" w:color="000000"/>
            </w:tcBorders>
            <w:vAlign w:val="center"/>
          </w:tcPr>
          <w:p>
            <w:pPr>
              <w:pStyle w:val="TableContents"/>
              <w:bidi w:val="0"/>
              <w:spacing w:before="0" w:after="283"/>
              <w:jc w:val="left"/>
              <w:rPr/>
            </w:pPr>
            <w:r>
              <w:rPr/>
              <w:t>Forfeited</w:t>
            </w:r>
          </w:p>
        </w:tc>
        <w:tc>
          <w:tcPr>
            <w:tcW w:w="90" w:type="dxa"/>
            <w:tcBorders>
              <w:bottom w:val="single" w:sz="8" w:space="0" w:color="000000"/>
            </w:tcBorders>
            <w:vAlign w:val="center"/>
          </w:tcPr>
          <w:p>
            <w:pPr>
              <w:pStyle w:val="TableContents"/>
              <w:bidi w:val="0"/>
              <w:spacing w:before="0" w:after="283"/>
              <w:jc w:val="left"/>
              <w:rPr/>
            </w:pPr>
            <w:r>
              <w:rPr/>
              <w:t> </w:t>
            </w:r>
          </w:p>
        </w:tc>
        <w:tc>
          <w:tcPr>
            <w:tcW w:w="122" w:type="dxa"/>
            <w:tcBorders>
              <w:bottom w:val="single" w:sz="8" w:space="0" w:color="000000"/>
            </w:tcBorders>
            <w:vAlign w:val="center"/>
          </w:tcPr>
          <w:p>
            <w:pPr>
              <w:pStyle w:val="TableContents"/>
              <w:bidi w:val="0"/>
              <w:spacing w:before="0" w:after="283"/>
              <w:jc w:val="left"/>
              <w:rPr/>
            </w:pPr>
            <w:r>
              <w:rPr/>
              <w:t> </w:t>
            </w:r>
          </w:p>
        </w:tc>
        <w:tc>
          <w:tcPr>
            <w:tcW w:w="1236" w:type="dxa"/>
            <w:tcBorders>
              <w:bottom w:val="single" w:sz="8" w:space="0" w:color="000000"/>
            </w:tcBorders>
            <w:vAlign w:val="center"/>
          </w:tcPr>
          <w:p>
            <w:pPr>
              <w:pStyle w:val="TableContents"/>
              <w:bidi w:val="0"/>
              <w:spacing w:before="0" w:after="283"/>
              <w:jc w:val="right"/>
              <w:rPr>
                <w:b/>
              </w:rPr>
            </w:pPr>
            <w:r>
              <w:rPr>
                <w:b/>
              </w:rPr>
              <w:t>(16,666</w:t>
            </w:r>
          </w:p>
        </w:tc>
        <w:tc>
          <w:tcPr>
            <w:tcW w:w="125" w:type="dxa"/>
            <w:tcBorders>
              <w:bottom w:val="single" w:sz="8" w:space="0" w:color="000000"/>
            </w:tcBorders>
            <w:vAlign w:val="center"/>
          </w:tcPr>
          <w:p>
            <w:pPr>
              <w:pStyle w:val="TableContents"/>
              <w:bidi w:val="0"/>
              <w:spacing w:before="0" w:after="283"/>
              <w:jc w:val="left"/>
              <w:rPr>
                <w:b/>
              </w:rPr>
            </w:pPr>
            <w:r>
              <w:rPr>
                <w:b/>
              </w:rPr>
              <w:t>)</w:t>
            </w:r>
          </w:p>
        </w:tc>
        <w:tc>
          <w:tcPr>
            <w:tcW w:w="90" w:type="dxa"/>
            <w:tcBorders>
              <w:bottom w:val="single" w:sz="8" w:space="0" w:color="000000"/>
            </w:tcBorders>
            <w:vAlign w:val="center"/>
          </w:tcPr>
          <w:p>
            <w:pPr>
              <w:pStyle w:val="TableContents"/>
              <w:bidi w:val="0"/>
              <w:spacing w:before="0" w:after="283"/>
              <w:jc w:val="left"/>
              <w:rPr/>
            </w:pPr>
            <w:r>
              <w:rPr/>
              <w:t> </w:t>
            </w:r>
          </w:p>
        </w:tc>
        <w:tc>
          <w:tcPr>
            <w:tcW w:w="383" w:type="dxa"/>
            <w:tcBorders>
              <w:bottom w:val="single" w:sz="8" w:space="0" w:color="000000"/>
            </w:tcBorders>
            <w:vAlign w:val="center"/>
          </w:tcPr>
          <w:p>
            <w:pPr>
              <w:pStyle w:val="TableContents"/>
              <w:bidi w:val="0"/>
              <w:spacing w:before="0" w:after="283"/>
              <w:jc w:val="left"/>
              <w:rPr/>
            </w:pPr>
            <w:r>
              <w:rPr/>
              <w:t> </w:t>
            </w:r>
          </w:p>
        </w:tc>
        <w:tc>
          <w:tcPr>
            <w:tcW w:w="2012" w:type="dxa"/>
            <w:tcBorders>
              <w:bottom w:val="single" w:sz="8" w:space="0" w:color="000000"/>
            </w:tcBorders>
            <w:vAlign w:val="center"/>
          </w:tcPr>
          <w:p>
            <w:pPr>
              <w:pStyle w:val="TableContents"/>
              <w:bidi w:val="0"/>
              <w:spacing w:before="0" w:after="283"/>
              <w:jc w:val="right"/>
              <w:rPr>
                <w:b/>
              </w:rPr>
            </w:pPr>
            <w:r>
              <w:rPr>
                <w:b/>
              </w:rPr>
              <w:t>5.01</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19" w:type="dxa"/>
            <w:tcBorders>
              <w:bottom w:val="single" w:sz="8" w:space="0" w:color="000000"/>
            </w:tcBorders>
            <w:vAlign w:val="center"/>
          </w:tcPr>
          <w:p>
            <w:pPr>
              <w:pStyle w:val="TableContents"/>
              <w:bidi w:val="0"/>
              <w:spacing w:before="0" w:after="283"/>
              <w:jc w:val="left"/>
              <w:rPr/>
            </w:pPr>
            <w:r>
              <w:rPr/>
              <w:t> </w:t>
            </w:r>
          </w:p>
        </w:tc>
        <w:tc>
          <w:tcPr>
            <w:tcW w:w="1199" w:type="dxa"/>
            <w:tcBorders>
              <w:bottom w:val="single" w:sz="8" w:space="0" w:color="000000"/>
            </w:tcBorders>
            <w:vAlign w:val="center"/>
          </w:tcPr>
          <w:p>
            <w:pPr>
              <w:pStyle w:val="TableContents"/>
              <w:bidi w:val="0"/>
              <w:spacing w:before="0" w:after="283"/>
              <w:jc w:val="right"/>
              <w:rPr/>
            </w:pPr>
            <w:r>
              <w:rPr/>
              <w:t>—</w:t>
            </w:r>
          </w:p>
        </w:tc>
        <w:tc>
          <w:tcPr>
            <w:tcW w:w="12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362" w:type="dxa"/>
            <w:tcBorders>
              <w:bottom w:val="single" w:sz="8" w:space="0" w:color="000000"/>
            </w:tcBorders>
            <w:vAlign w:val="center"/>
          </w:tcPr>
          <w:p>
            <w:pPr>
              <w:pStyle w:val="TableContents"/>
              <w:bidi w:val="0"/>
              <w:spacing w:before="0" w:after="283"/>
              <w:jc w:val="left"/>
              <w:rPr/>
            </w:pPr>
            <w:r>
              <w:rPr/>
              <w:t> </w:t>
            </w:r>
          </w:p>
        </w:tc>
        <w:tc>
          <w:tcPr>
            <w:tcW w:w="1892" w:type="dxa"/>
            <w:tcBorders>
              <w:bottom w:val="single" w:sz="8" w:space="0" w:color="000000"/>
            </w:tcBorders>
            <w:vAlign w:val="center"/>
          </w:tcPr>
          <w:p>
            <w:pPr>
              <w:pStyle w:val="TableContents"/>
              <w:bidi w:val="0"/>
              <w:spacing w:before="0" w:after="283"/>
              <w:jc w:val="right"/>
              <w:rPr/>
            </w:pPr>
            <w:r>
              <w:rPr/>
              <w:t>—</w:t>
            </w:r>
          </w:p>
        </w:tc>
        <w:tc>
          <w:tcPr>
            <w:tcW w:w="140" w:type="dxa"/>
            <w:tcBorders>
              <w:bottom w:val="single" w:sz="8" w:space="0" w:color="000000"/>
            </w:tcBorders>
            <w:vAlign w:val="center"/>
          </w:tcPr>
          <w:p>
            <w:pPr>
              <w:pStyle w:val="TableContents"/>
              <w:bidi w:val="0"/>
              <w:spacing w:before="0" w:after="283"/>
              <w:jc w:val="left"/>
              <w:rPr/>
            </w:pPr>
            <w:r>
              <w:rPr/>
              <w:t> </w:t>
            </w:r>
          </w:p>
        </w:tc>
      </w:tr>
      <w:tr>
        <w:trPr/>
        <w:tc>
          <w:tcPr>
            <w:tcW w:w="2040" w:type="dxa"/>
            <w:tcBorders>
              <w:bottom w:val="single" w:sz="12" w:space="0" w:color="000000"/>
            </w:tcBorders>
            <w:shd w:fill="CCEEFF" w:val="clear"/>
            <w:vAlign w:val="center"/>
          </w:tcPr>
          <w:p>
            <w:pPr>
              <w:pStyle w:val="TableContents"/>
              <w:bidi w:val="0"/>
              <w:spacing w:before="0" w:after="283"/>
              <w:jc w:val="left"/>
              <w:rPr>
                <w:b/>
              </w:rPr>
            </w:pPr>
            <w:r>
              <w:rPr>
                <w:b/>
              </w:rPr>
              <w:t>Outstanding, December 31,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left"/>
              <w:rPr/>
            </w:pPr>
            <w:r>
              <w:rPr/>
              <w:t> </w:t>
            </w:r>
          </w:p>
        </w:tc>
        <w:tc>
          <w:tcPr>
            <w:tcW w:w="1236" w:type="dxa"/>
            <w:tcBorders>
              <w:bottom w:val="single" w:sz="12" w:space="0" w:color="000000"/>
            </w:tcBorders>
            <w:shd w:fill="CCEEFF" w:val="clear"/>
            <w:vAlign w:val="center"/>
          </w:tcPr>
          <w:p>
            <w:pPr>
              <w:pStyle w:val="TableContents"/>
              <w:bidi w:val="0"/>
              <w:spacing w:before="0" w:after="283"/>
              <w:jc w:val="right"/>
              <w:rPr>
                <w:b/>
              </w:rPr>
            </w:pPr>
            <w:r>
              <w:rPr>
                <w:b/>
              </w:rPr>
              <w:t>897,666</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383" w:type="dxa"/>
            <w:tcBorders>
              <w:bottom w:val="single" w:sz="12" w:space="0" w:color="000000"/>
            </w:tcBorders>
            <w:shd w:fill="CCEEFF" w:val="clear"/>
            <w:vAlign w:val="center"/>
          </w:tcPr>
          <w:p>
            <w:pPr>
              <w:pStyle w:val="TableContents"/>
              <w:bidi w:val="0"/>
              <w:spacing w:before="0" w:after="283"/>
              <w:jc w:val="left"/>
              <w:rPr/>
            </w:pPr>
            <w:r>
              <w:rPr/>
              <w:t> </w:t>
            </w:r>
          </w:p>
        </w:tc>
        <w:tc>
          <w:tcPr>
            <w:tcW w:w="2012" w:type="dxa"/>
            <w:tcBorders>
              <w:bottom w:val="single" w:sz="12" w:space="0" w:color="000000"/>
            </w:tcBorders>
            <w:shd w:fill="CCEEFF" w:val="clear"/>
            <w:vAlign w:val="center"/>
          </w:tcPr>
          <w:p>
            <w:pPr>
              <w:pStyle w:val="TableContents"/>
              <w:bidi w:val="0"/>
              <w:spacing w:before="0" w:after="283"/>
              <w:jc w:val="right"/>
              <w:rPr>
                <w:b/>
              </w:rPr>
            </w:pPr>
            <w:r>
              <w:rPr>
                <w:b/>
              </w:rPr>
              <w:t>3.61</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199" w:type="dxa"/>
            <w:tcBorders>
              <w:bottom w:val="single" w:sz="12" w:space="0" w:color="000000"/>
            </w:tcBorders>
            <w:shd w:fill="CCEEFF" w:val="clear"/>
            <w:vAlign w:val="center"/>
          </w:tcPr>
          <w:p>
            <w:pPr>
              <w:pStyle w:val="TableContents"/>
              <w:bidi w:val="0"/>
              <w:spacing w:before="0" w:after="283"/>
              <w:jc w:val="right"/>
              <w:rPr/>
            </w:pPr>
            <w:r>
              <w:rPr/>
              <w:t>624,998</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362" w:type="dxa"/>
            <w:tcBorders>
              <w:bottom w:val="single" w:sz="12" w:space="0" w:color="000000"/>
            </w:tcBorders>
            <w:shd w:fill="CCEEFF" w:val="clear"/>
            <w:vAlign w:val="center"/>
          </w:tcPr>
          <w:p>
            <w:pPr>
              <w:pStyle w:val="TableContents"/>
              <w:bidi w:val="0"/>
              <w:spacing w:before="0" w:after="283"/>
              <w:jc w:val="left"/>
              <w:rPr/>
            </w:pPr>
            <w:r>
              <w:rPr/>
              <w:t> </w:t>
            </w:r>
          </w:p>
        </w:tc>
        <w:tc>
          <w:tcPr>
            <w:tcW w:w="1892" w:type="dxa"/>
            <w:tcBorders>
              <w:bottom w:val="single" w:sz="12" w:space="0" w:color="000000"/>
            </w:tcBorders>
            <w:shd w:fill="CCEEFF" w:val="clear"/>
            <w:vAlign w:val="center"/>
          </w:tcPr>
          <w:p>
            <w:pPr>
              <w:pStyle w:val="TableContents"/>
              <w:bidi w:val="0"/>
              <w:spacing w:before="0" w:after="283"/>
              <w:jc w:val="right"/>
              <w:rPr/>
            </w:pPr>
            <w:r>
              <w:rPr/>
              <w:t>4.05</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Board approved the grant of 706,000 RSUs to certain members of executive management, which can be settled in common shares and vest between 33% and 50% after approximately one month from the grant date and an additional 25% to 33% approximately every 6 months. The fair value of the RSUs is based on the Company’s share price at the date of grant.</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Board approved the grant of 475,000 RSUs to certain members of senior Management and to the Directors which vest 25% at the time of grant and an additional 25% every 6 months.</w:t>
      </w:r>
    </w:p>
    <w:p>
      <w:pPr>
        <w:pStyle w:val="TextBody"/>
        <w:bidi w:val="0"/>
        <w:spacing w:before="0" w:after="0"/>
        <w:ind w:left="17" w:right="0" w:hanging="6"/>
        <w:jc w:val="both"/>
        <w:rPr>
          <w:caps w:val="false"/>
          <w:smallCaps w:val="false"/>
        </w:rPr>
      </w:pPr>
      <w:r>
        <w:rPr>
          <w:caps w:val="false"/>
          <w:smallCaps w:val="false"/>
        </w:rPr>
        <w:t> </w:t>
      </w:r>
    </w:p>
    <w:p>
      <w:pPr>
        <w:pStyle w:val="TextBody"/>
        <w:bidi w:val="0"/>
        <w:spacing w:before="0" w:after="0"/>
        <w:ind w:left="17"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value of the RSUs on the grant date was $2.41 per RSU (year ended December 31, 2023: $2.89 per unit).</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72 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9" w:name="a_037"/>
      <w:bookmarkStart w:id="80" w:name="a_037"/>
      <w:bookmarkEnd w:id="80"/>
    </w:p>
    <w:tbl>
      <w:tblPr>
        <w:tblW w:w="10205" w:type="dxa"/>
        <w:jc w:val="left"/>
        <w:tblInd w:w="0" w:type="dxa"/>
        <w:tblLayout w:type="fixed"/>
        <w:tblCellMar>
          <w:top w:w="0" w:type="dxa"/>
          <w:left w:w="0" w:type="dxa"/>
          <w:bottom w:w="0" w:type="dxa"/>
          <w:right w:w="0" w:type="dxa"/>
        </w:tblCellMar>
      </w:tblPr>
      <w:tblGrid>
        <w:gridCol w:w="68"/>
        <w:gridCol w:w="985"/>
        <w:gridCol w:w="9152"/>
      </w:tblGrid>
      <w:tr>
        <w:trPr/>
        <w:tc>
          <w:tcPr>
            <w:tcW w:w="6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b/>
              </w:rPr>
            </w:pPr>
            <w:r>
              <w:rPr>
                <w:b/>
              </w:rPr>
              <w:t>NOTE 29:</w:t>
            </w:r>
          </w:p>
        </w:tc>
        <w:tc>
          <w:tcPr>
            <w:tcW w:w="9152" w:type="dxa"/>
            <w:tcBorders/>
            <w:vAlign w:val="center"/>
          </w:tcPr>
          <w:p>
            <w:pPr>
              <w:pStyle w:val="TableContents"/>
              <w:bidi w:val="0"/>
              <w:spacing w:before="0" w:after="283"/>
              <w:jc w:val="both"/>
              <w:rPr>
                <w:b/>
              </w:rPr>
            </w:pPr>
            <w:r>
              <w:rPr>
                <w:b/>
              </w:rPr>
              <w:t>ADDITIONAL DETAILS TO THE STATEMENT OF PROFIT OR LOSS AND COMPREHENSIVE PROFIT OR LOSS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Cost of revenues </w:t>
      </w:r>
    </w:p>
    <w:tbl>
      <w:tblPr>
        <w:tblW w:w="8432" w:type="dxa"/>
        <w:jc w:val="left"/>
        <w:tblInd w:w="0" w:type="dxa"/>
        <w:tblLayout w:type="fixed"/>
        <w:tblCellMar>
          <w:top w:w="0" w:type="dxa"/>
          <w:left w:w="0" w:type="dxa"/>
          <w:bottom w:w="28" w:type="dxa"/>
          <w:right w:w="0" w:type="dxa"/>
        </w:tblCellMar>
      </w:tblPr>
      <w:tblGrid>
        <w:gridCol w:w="4775"/>
        <w:gridCol w:w="90"/>
        <w:gridCol w:w="620"/>
        <w:gridCol w:w="90"/>
        <w:gridCol w:w="109"/>
        <w:gridCol w:w="1104"/>
        <w:gridCol w:w="152"/>
        <w:gridCol w:w="109"/>
        <w:gridCol w:w="109"/>
        <w:gridCol w:w="1104"/>
        <w:gridCol w:w="170"/>
      </w:tblGrid>
      <w:tr>
        <w:trPr/>
        <w:tc>
          <w:tcPr>
            <w:tcW w:w="477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center"/>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87"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477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center"/>
              <w:rPr>
                <w:b/>
              </w:rPr>
            </w:pPr>
            <w:r>
              <w:rPr>
                <w:b/>
              </w:rPr>
              <w:t>Notes</w:t>
            </w:r>
          </w:p>
        </w:tc>
        <w:tc>
          <w:tcPr>
            <w:tcW w:w="90" w:type="dxa"/>
            <w:tcBorders>
              <w:bottom w:val="single" w:sz="8" w:space="0" w:color="000000"/>
            </w:tcBorders>
            <w:vAlign w:val="center"/>
          </w:tcPr>
          <w:p>
            <w:pPr>
              <w:pStyle w:val="TableContents"/>
              <w:bidi w:val="0"/>
              <w:spacing w:before="0" w:after="283"/>
              <w:jc w:val="left"/>
              <w:rPr/>
            </w:pPr>
            <w:r>
              <w:rPr/>
              <w:t> </w:t>
            </w:r>
          </w:p>
        </w:tc>
        <w:tc>
          <w:tcPr>
            <w:tcW w:w="1213" w:type="dxa"/>
            <w:gridSpan w:val="2"/>
            <w:tcBorders>
              <w:bottom w:val="single" w:sz="8" w:space="0" w:color="000000"/>
            </w:tcBorders>
            <w:vAlign w:val="center"/>
          </w:tcPr>
          <w:p>
            <w:pPr>
              <w:pStyle w:val="TableContents"/>
              <w:bidi w:val="0"/>
              <w:spacing w:before="0" w:after="283"/>
              <w:jc w:val="right"/>
              <w:rPr>
                <w:b/>
              </w:rPr>
            </w:pPr>
            <w:r>
              <w:rPr>
                <w:b/>
              </w:rPr>
              <w:t>2024</w:t>
            </w:r>
          </w:p>
        </w:tc>
        <w:tc>
          <w:tcPr>
            <w:tcW w:w="152" w:type="dxa"/>
            <w:tcBorders>
              <w:bottom w:val="single" w:sz="8" w:space="0" w:color="000000"/>
            </w:tcBorders>
            <w:vAlign w:val="center"/>
          </w:tcPr>
          <w:p>
            <w:pPr>
              <w:pStyle w:val="TableContents"/>
              <w:bidi w:val="0"/>
              <w:spacing w:before="0" w:after="283"/>
              <w:jc w:val="left"/>
              <w:rPr/>
            </w:pPr>
            <w:r>
              <w:rPr/>
              <w:t> </w:t>
            </w:r>
          </w:p>
        </w:tc>
        <w:tc>
          <w:tcPr>
            <w:tcW w:w="109" w:type="dxa"/>
            <w:tcBorders>
              <w:bottom w:val="single" w:sz="8" w:space="0" w:color="000000"/>
            </w:tcBorders>
            <w:vAlign w:val="center"/>
          </w:tcPr>
          <w:p>
            <w:pPr>
              <w:pStyle w:val="TableContents"/>
              <w:bidi w:val="0"/>
              <w:spacing w:before="0" w:after="283"/>
              <w:jc w:val="left"/>
              <w:rPr/>
            </w:pPr>
            <w:r>
              <w:rPr/>
              <w:t> </w:t>
            </w:r>
          </w:p>
        </w:tc>
        <w:tc>
          <w:tcPr>
            <w:tcW w:w="1213" w:type="dxa"/>
            <w:gridSpan w:val="2"/>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pPr>
            <w:r>
              <w:rPr/>
              <w:t>Energy and infrastructure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b/>
              </w:rPr>
            </w:pPr>
            <w:r>
              <w:rPr>
                <w:b/>
              </w:rPr>
              <w:t>(97,209</w:t>
            </w:r>
          </w:p>
        </w:tc>
        <w:tc>
          <w:tcPr>
            <w:tcW w:w="152" w:type="dxa"/>
            <w:tcBorders/>
            <w:shd w:fill="CCEEFF" w:val="clear"/>
            <w:tcMar>
              <w:bottom w:w="0" w:type="dxa"/>
            </w:tcMar>
            <w:vAlign w:val="center"/>
          </w:tcPr>
          <w:p>
            <w:pPr>
              <w:pStyle w:val="TableContents"/>
              <w:bidi w:val="0"/>
              <w:spacing w:before="0" w:after="283"/>
              <w:jc w:val="left"/>
              <w:rPr>
                <w:b/>
              </w:rPr>
            </w:pPr>
            <w:r>
              <w:rPr>
                <w:b/>
              </w:rPr>
              <w:t>)</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(78,942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775" w:type="dxa"/>
            <w:tcBorders/>
            <w:tcMar>
              <w:bottom w:w="0" w:type="dxa"/>
            </w:tcMar>
            <w:vAlign w:val="center"/>
          </w:tcPr>
          <w:p>
            <w:pPr>
              <w:pStyle w:val="TableContents"/>
              <w:bidi w:val="0"/>
              <w:spacing w:before="0" w:after="283"/>
              <w:jc w:val="left"/>
              <w:rPr/>
            </w:pPr>
            <w:r>
              <w:rPr/>
              <w:t>Sales tax recovery - energy and infrastructure</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b</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1104" w:type="dxa"/>
            <w:tcBorders/>
            <w:tcMar>
              <w:bottom w:w="0" w:type="dxa"/>
            </w:tcMar>
            <w:vAlign w:val="center"/>
          </w:tcPr>
          <w:p>
            <w:pPr>
              <w:pStyle w:val="TableContents"/>
              <w:bidi w:val="0"/>
              <w:spacing w:before="0" w:after="283"/>
              <w:jc w:val="right"/>
              <w:rPr>
                <w:b/>
              </w:rPr>
            </w:pPr>
            <w:r>
              <w:rPr>
                <w:b/>
              </w:rPr>
              <w:t>17,017</w:t>
            </w:r>
          </w:p>
        </w:tc>
        <w:tc>
          <w:tcPr>
            <w:tcW w:w="152"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1104" w:type="dxa"/>
            <w:tcBorders/>
            <w:tcMar>
              <w:bottom w:w="0" w:type="dxa"/>
            </w:tcMar>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pPr>
            <w:r>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b/>
              </w:rPr>
            </w:pPr>
            <w:r>
              <w:rPr>
                <w:b/>
              </w:rPr>
              <w:t>(149,727</w:t>
            </w:r>
          </w:p>
        </w:tc>
        <w:tc>
          <w:tcPr>
            <w:tcW w:w="152" w:type="dxa"/>
            <w:tcBorders/>
            <w:shd w:fill="CCEEFF" w:val="clear"/>
            <w:tcMar>
              <w:bottom w:w="0" w:type="dxa"/>
            </w:tcMar>
            <w:vAlign w:val="center"/>
          </w:tcPr>
          <w:p>
            <w:pPr>
              <w:pStyle w:val="TableContents"/>
              <w:bidi w:val="0"/>
              <w:spacing w:before="0" w:after="283"/>
              <w:jc w:val="left"/>
              <w:rPr>
                <w:b/>
              </w:rPr>
            </w:pPr>
            <w:r>
              <w:rPr>
                <w:b/>
              </w:rPr>
              <w:t>)</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(84,785</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775" w:type="dxa"/>
            <w:tcBorders/>
            <w:tcMar>
              <w:bottom w:w="0" w:type="dxa"/>
            </w:tcMar>
            <w:vAlign w:val="center"/>
          </w:tcPr>
          <w:p>
            <w:pPr>
              <w:pStyle w:val="TableContents"/>
              <w:bidi w:val="0"/>
              <w:spacing w:before="0" w:after="283"/>
              <w:jc w:val="left"/>
              <w:rPr/>
            </w:pPr>
            <w:r>
              <w:rPr/>
              <w:t>Sales tax recovery - depreciation and amortization</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b, 31</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1104" w:type="dxa"/>
            <w:tcBorders/>
            <w:tcMar>
              <w:bottom w:w="0" w:type="dxa"/>
            </w:tcMar>
            <w:vAlign w:val="center"/>
          </w:tcPr>
          <w:p>
            <w:pPr>
              <w:pStyle w:val="TableContents"/>
              <w:bidi w:val="0"/>
              <w:spacing w:before="0" w:after="283"/>
              <w:jc w:val="right"/>
              <w:rPr>
                <w:b/>
              </w:rPr>
            </w:pPr>
            <w:r>
              <w:rPr>
                <w:b/>
              </w:rPr>
              <w:t>8,760</w:t>
            </w:r>
          </w:p>
        </w:tc>
        <w:tc>
          <w:tcPr>
            <w:tcW w:w="152"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1104" w:type="dxa"/>
            <w:tcBorders/>
            <w:tcMar>
              <w:bottom w:w="0" w:type="dxa"/>
            </w:tcMar>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jc w:val="left"/>
              <w:rPr/>
            </w:pPr>
            <w:r>
              <w:rPr/>
              <w:t> </w:t>
            </w:r>
          </w:p>
        </w:tc>
      </w:tr>
      <w:tr>
        <w:trPr/>
        <w:tc>
          <w:tcPr>
            <w:tcW w:w="4775" w:type="dxa"/>
            <w:tcBorders>
              <w:bottom w:val="single" w:sz="8" w:space="0" w:color="000000"/>
            </w:tcBorders>
            <w:shd w:fill="CCEEFF" w:val="clear"/>
            <w:vAlign w:val="center"/>
          </w:tcPr>
          <w:p>
            <w:pPr>
              <w:pStyle w:val="TableContents"/>
              <w:bidi w:val="0"/>
              <w:spacing w:before="0" w:after="283"/>
              <w:jc w:val="left"/>
              <w:rPr/>
            </w:pPr>
            <w:r>
              <w:rPr/>
              <w:t>Electrical components and salaries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center"/>
              <w:rPr/>
            </w:pPr>
            <w:r>
              <w:rPr/>
              <w:t>a</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1104" w:type="dxa"/>
            <w:tcBorders>
              <w:bottom w:val="single" w:sz="8" w:space="0" w:color="000000"/>
            </w:tcBorders>
            <w:shd w:fill="CCEEFF" w:val="clear"/>
            <w:vAlign w:val="center"/>
          </w:tcPr>
          <w:p>
            <w:pPr>
              <w:pStyle w:val="TableContents"/>
              <w:bidi w:val="0"/>
              <w:spacing w:before="0" w:after="283"/>
              <w:jc w:val="right"/>
              <w:rPr>
                <w:b/>
              </w:rPr>
            </w:pPr>
            <w:r>
              <w:rPr>
                <w:b/>
              </w:rPr>
              <w:t>(4,081</w:t>
            </w:r>
          </w:p>
        </w:tc>
        <w:tc>
          <w:tcPr>
            <w:tcW w:w="152"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1104" w:type="dxa"/>
            <w:tcBorders>
              <w:bottom w:val="single" w:sz="8" w:space="0" w:color="000000"/>
            </w:tcBorders>
            <w:shd w:fill="CCEEFF" w:val="clear"/>
            <w:vAlign w:val="center"/>
          </w:tcPr>
          <w:p>
            <w:pPr>
              <w:pStyle w:val="TableContents"/>
              <w:bidi w:val="0"/>
              <w:spacing w:before="0" w:after="283"/>
              <w:jc w:val="right"/>
              <w:rPr/>
            </w:pPr>
            <w:r>
              <w:rPr/>
              <w:t>(4,141</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477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center"/>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9" w:type="dxa"/>
            <w:tcBorders>
              <w:bottom w:val="single" w:sz="12" w:space="0" w:color="000000"/>
            </w:tcBorders>
            <w:vAlign w:val="center"/>
          </w:tcPr>
          <w:p>
            <w:pPr>
              <w:pStyle w:val="TableContents"/>
              <w:bidi w:val="0"/>
              <w:spacing w:before="0" w:after="283"/>
              <w:jc w:val="left"/>
              <w:rPr/>
            </w:pPr>
            <w:r>
              <w:rPr/>
              <w:t> </w:t>
            </w:r>
          </w:p>
        </w:tc>
        <w:tc>
          <w:tcPr>
            <w:tcW w:w="1104" w:type="dxa"/>
            <w:tcBorders>
              <w:bottom w:val="single" w:sz="12" w:space="0" w:color="000000"/>
            </w:tcBorders>
            <w:vAlign w:val="center"/>
          </w:tcPr>
          <w:p>
            <w:pPr>
              <w:pStyle w:val="TableContents"/>
              <w:bidi w:val="0"/>
              <w:spacing w:before="0" w:after="283"/>
              <w:jc w:val="right"/>
              <w:rPr>
                <w:b/>
              </w:rPr>
            </w:pPr>
            <w:r>
              <w:rPr>
                <w:b/>
              </w:rPr>
              <w:t>(225,240</w:t>
            </w:r>
          </w:p>
        </w:tc>
        <w:tc>
          <w:tcPr>
            <w:tcW w:w="152" w:type="dxa"/>
            <w:tcBorders>
              <w:bottom w:val="single" w:sz="12" w:space="0" w:color="000000"/>
            </w:tcBorders>
            <w:vAlign w:val="center"/>
          </w:tcPr>
          <w:p>
            <w:pPr>
              <w:pStyle w:val="TableContents"/>
              <w:bidi w:val="0"/>
              <w:spacing w:before="0" w:after="283"/>
              <w:jc w:val="left"/>
              <w:rPr>
                <w:b/>
              </w:rPr>
            </w:pPr>
            <w:r>
              <w:rPr>
                <w:b/>
              </w:rPr>
              <w:t>)</w:t>
            </w:r>
          </w:p>
        </w:tc>
        <w:tc>
          <w:tcPr>
            <w:tcW w:w="109" w:type="dxa"/>
            <w:tcBorders>
              <w:bottom w:val="single" w:sz="12" w:space="0" w:color="000000"/>
            </w:tcBorders>
            <w:vAlign w:val="center"/>
          </w:tcPr>
          <w:p>
            <w:pPr>
              <w:pStyle w:val="TableContents"/>
              <w:bidi w:val="0"/>
              <w:spacing w:before="0" w:after="283"/>
              <w:jc w:val="left"/>
              <w:rPr/>
            </w:pPr>
            <w:r>
              <w:rPr/>
              <w:t> </w:t>
            </w:r>
          </w:p>
        </w:tc>
        <w:tc>
          <w:tcPr>
            <w:tcW w:w="109" w:type="dxa"/>
            <w:tcBorders>
              <w:bottom w:val="single" w:sz="12" w:space="0" w:color="000000"/>
            </w:tcBorders>
            <w:vAlign w:val="center"/>
          </w:tcPr>
          <w:p>
            <w:pPr>
              <w:pStyle w:val="TableContents"/>
              <w:bidi w:val="0"/>
              <w:spacing w:before="0" w:after="283"/>
              <w:jc w:val="left"/>
              <w:rPr/>
            </w:pPr>
            <w:r>
              <w:rPr/>
              <w:t> </w:t>
            </w:r>
          </w:p>
        </w:tc>
        <w:tc>
          <w:tcPr>
            <w:tcW w:w="1104" w:type="dxa"/>
            <w:tcBorders>
              <w:bottom w:val="single" w:sz="12" w:space="0" w:color="000000"/>
            </w:tcBorders>
            <w:vAlign w:val="center"/>
          </w:tcPr>
          <w:p>
            <w:pPr>
              <w:pStyle w:val="TableContents"/>
              <w:bidi w:val="0"/>
              <w:spacing w:before="0" w:after="283"/>
              <w:jc w:val="right"/>
              <w:rPr/>
            </w:pPr>
            <w:r>
              <w:rPr/>
              <w:t>(167,868</w:t>
            </w:r>
          </w:p>
        </w:tc>
        <w:tc>
          <w:tcPr>
            <w:tcW w:w="170" w:type="dxa"/>
            <w:tcBorders>
              <w:bottom w:val="single" w:sz="12" w:space="0" w:color="000000"/>
            </w:tcBorders>
            <w:vAlign w:val="center"/>
          </w:tcPr>
          <w:p>
            <w:pPr>
              <w:pStyle w:val="TableContents"/>
              <w:bidi w:val="0"/>
              <w:spacing w:before="0" w:after="283"/>
              <w:jc w:val="left"/>
              <w:rPr/>
            </w:pPr>
            <w:r>
              <w:rPr/>
              <w:t>)</w:t>
            </w:r>
          </w:p>
        </w:tc>
      </w:tr>
    </w:tbl>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and administrative expenses </w:t>
      </w:r>
    </w:p>
    <w:tbl>
      <w:tblPr>
        <w:tblW w:w="9573" w:type="dxa"/>
        <w:jc w:val="left"/>
        <w:tblInd w:w="0" w:type="dxa"/>
        <w:tblLayout w:type="fixed"/>
        <w:tblCellMar>
          <w:top w:w="0" w:type="dxa"/>
          <w:left w:w="0" w:type="dxa"/>
          <w:bottom w:w="28" w:type="dxa"/>
          <w:right w:w="0" w:type="dxa"/>
        </w:tblCellMar>
      </w:tblPr>
      <w:tblGrid>
        <w:gridCol w:w="5915"/>
        <w:gridCol w:w="90"/>
        <w:gridCol w:w="620"/>
        <w:gridCol w:w="90"/>
        <w:gridCol w:w="123"/>
        <w:gridCol w:w="1074"/>
        <w:gridCol w:w="171"/>
        <w:gridCol w:w="123"/>
        <w:gridCol w:w="123"/>
        <w:gridCol w:w="1074"/>
        <w:gridCol w:w="170"/>
      </w:tblGrid>
      <w:tr>
        <w:trPr/>
        <w:tc>
          <w:tcPr>
            <w:tcW w:w="591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center"/>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88"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5915" w:type="dxa"/>
            <w:tcBorders>
              <w:bottom w:val="single" w:sz="8" w:space="0" w:color="000000"/>
            </w:tcBorders>
            <w:vAlign w:val="center"/>
          </w:tcPr>
          <w:p>
            <w:pPr>
              <w:pStyle w:val="TableContents"/>
              <w:bidi w:val="0"/>
              <w:spacing w:before="0" w:after="283"/>
              <w:jc w:val="both"/>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center"/>
              <w:rPr>
                <w:b/>
              </w:rPr>
            </w:pPr>
            <w:r>
              <w:rPr>
                <w:b/>
              </w:rPr>
              <w:t>Notes</w:t>
            </w:r>
          </w:p>
        </w:tc>
        <w:tc>
          <w:tcPr>
            <w:tcW w:w="90" w:type="dxa"/>
            <w:tcBorders>
              <w:bottom w:val="single" w:sz="8" w:space="0" w:color="000000"/>
            </w:tcBorders>
            <w:vAlign w:val="center"/>
          </w:tcPr>
          <w:p>
            <w:pPr>
              <w:pStyle w:val="TableContents"/>
              <w:bidi w:val="0"/>
              <w:spacing w:before="0" w:after="283"/>
              <w:jc w:val="left"/>
              <w:rPr/>
            </w:pPr>
            <w:r>
              <w:rPr/>
              <w:t> </w:t>
            </w:r>
          </w:p>
        </w:tc>
        <w:tc>
          <w:tcPr>
            <w:tcW w:w="1197" w:type="dxa"/>
            <w:gridSpan w:val="2"/>
            <w:tcBorders>
              <w:bottom w:val="single" w:sz="8" w:space="0" w:color="000000"/>
            </w:tcBorders>
            <w:vAlign w:val="center"/>
          </w:tcPr>
          <w:p>
            <w:pPr>
              <w:pStyle w:val="TableContents"/>
              <w:bidi w:val="0"/>
              <w:spacing w:before="0" w:after="283"/>
              <w:jc w:val="right"/>
              <w:rPr>
                <w:b/>
              </w:rPr>
            </w:pPr>
            <w:r>
              <w:rPr>
                <w:b/>
              </w:rPr>
              <w:t>2024</w:t>
            </w:r>
          </w:p>
        </w:tc>
        <w:tc>
          <w:tcPr>
            <w:tcW w:w="171" w:type="dxa"/>
            <w:tcBorders>
              <w:bottom w:val="single" w:sz="8" w:space="0" w:color="000000"/>
            </w:tcBorders>
            <w:vAlign w:val="center"/>
          </w:tcPr>
          <w:p>
            <w:pPr>
              <w:pStyle w:val="TableContents"/>
              <w:bidi w:val="0"/>
              <w:spacing w:before="0" w:after="283"/>
              <w:jc w:val="left"/>
              <w:rPr/>
            </w:pPr>
            <w:r>
              <w:rPr/>
              <w:t> </w:t>
            </w:r>
          </w:p>
        </w:tc>
        <w:tc>
          <w:tcPr>
            <w:tcW w:w="123" w:type="dxa"/>
            <w:tcBorders>
              <w:bottom w:val="single" w:sz="8" w:space="0" w:color="000000"/>
            </w:tcBorders>
            <w:vAlign w:val="center"/>
          </w:tcPr>
          <w:p>
            <w:pPr>
              <w:pStyle w:val="TableContents"/>
              <w:bidi w:val="0"/>
              <w:spacing w:before="0" w:after="283"/>
              <w:jc w:val="left"/>
              <w:rPr/>
            </w:pPr>
            <w:r>
              <w:rPr/>
              <w:t> </w:t>
            </w:r>
          </w:p>
        </w:tc>
        <w:tc>
          <w:tcPr>
            <w:tcW w:w="1197" w:type="dxa"/>
            <w:gridSpan w:val="2"/>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Salaries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b/>
              </w:rPr>
            </w:pPr>
            <w:r>
              <w:rPr>
                <w:b/>
              </w:rPr>
              <w:t>(23,024</w:t>
            </w:r>
          </w:p>
        </w:tc>
        <w:tc>
          <w:tcPr>
            <w:tcW w:w="171" w:type="dxa"/>
            <w:tcBorders/>
            <w:shd w:fill="CCEEFF" w:val="clear"/>
            <w:tcMar>
              <w:bottom w:w="0" w:type="dxa"/>
            </w:tcMar>
            <w:vAlign w:val="center"/>
          </w:tcPr>
          <w:p>
            <w:pPr>
              <w:pStyle w:val="TableContents"/>
              <w:bidi w:val="0"/>
              <w:spacing w:before="0" w:after="283"/>
              <w:jc w:val="left"/>
              <w:rPr>
                <w:b/>
              </w:rPr>
            </w:pPr>
            <w:r>
              <w:rPr>
                <w:b/>
              </w:rPr>
              <w:t>)</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(13,190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915" w:type="dxa"/>
            <w:tcBorders/>
            <w:tcMar>
              <w:bottom w:w="0" w:type="dxa"/>
            </w:tcMar>
            <w:vAlign w:val="center"/>
          </w:tcPr>
          <w:p>
            <w:pPr>
              <w:pStyle w:val="TableContents"/>
              <w:bidi w:val="0"/>
              <w:spacing w:before="0" w:after="283"/>
              <w:jc w:val="left"/>
              <w:rPr/>
            </w:pPr>
            <w:r>
              <w:rPr/>
              <w:t>Share-based payments</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283"/>
              <w:jc w:val="right"/>
              <w:rPr>
                <w:b/>
              </w:rPr>
            </w:pPr>
            <w:r>
              <w:rPr>
                <w:b/>
              </w:rPr>
              <w:t>(13,949</w:t>
            </w:r>
          </w:p>
        </w:tc>
        <w:tc>
          <w:tcPr>
            <w:tcW w:w="171" w:type="dxa"/>
            <w:tcBorders/>
            <w:tcMar>
              <w:bottom w:w="0" w:type="dxa"/>
            </w:tcMar>
            <w:vAlign w:val="center"/>
          </w:tcPr>
          <w:p>
            <w:pPr>
              <w:pStyle w:val="TableContents"/>
              <w:bidi w:val="0"/>
              <w:spacing w:before="0" w:after="283"/>
              <w:jc w:val="left"/>
              <w:rPr>
                <w:b/>
              </w:rPr>
            </w:pPr>
            <w:r>
              <w:rPr>
                <w:b/>
              </w:rPr>
              <w:t>)</w:t>
            </w:r>
          </w:p>
        </w:tc>
        <w:tc>
          <w:tcPr>
            <w:tcW w:w="123"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283"/>
              <w:jc w:val="right"/>
              <w:rPr/>
            </w:pPr>
            <w:r>
              <w:rPr/>
              <w:t>(10,915</w:t>
            </w:r>
          </w:p>
        </w:tc>
        <w:tc>
          <w:tcPr>
            <w:tcW w:w="170" w:type="dxa"/>
            <w:tcBorders/>
            <w:tcMar>
              <w:bottom w:w="0" w:type="dxa"/>
            </w:tcMar>
            <w:vAlign w:val="center"/>
          </w:tcPr>
          <w:p>
            <w:pPr>
              <w:pStyle w:val="TableContents"/>
              <w:bidi w:val="0"/>
              <w:spacing w:before="0" w:after="283"/>
              <w:jc w:val="left"/>
              <w:rPr/>
            </w:pPr>
            <w:r>
              <w:rPr/>
              <w:t>)</w:t>
            </w:r>
          </w:p>
        </w:tc>
      </w:tr>
      <w:tr>
        <w:trPr/>
        <w:tc>
          <w:tcPr>
            <w:tcW w:w="5915" w:type="dxa"/>
            <w:tcBorders/>
            <w:shd w:fill="CCEEFF" w:val="clear"/>
            <w:tcMar>
              <w:bottom w:w="0" w:type="dxa"/>
            </w:tcMar>
            <w:vAlign w:val="center"/>
          </w:tcPr>
          <w:p>
            <w:pPr>
              <w:pStyle w:val="TableContents"/>
              <w:bidi w:val="0"/>
              <w:spacing w:before="0" w:after="283"/>
              <w:jc w:val="left"/>
              <w:rPr/>
            </w:pPr>
            <w:r>
              <w:rPr/>
              <w:t>Professional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b/>
              </w:rPr>
            </w:pPr>
            <w:r>
              <w:rPr>
                <w:b/>
              </w:rPr>
              <w:t>(24,299</w:t>
            </w:r>
          </w:p>
        </w:tc>
        <w:tc>
          <w:tcPr>
            <w:tcW w:w="171" w:type="dxa"/>
            <w:tcBorders/>
            <w:shd w:fill="CCEEFF" w:val="clear"/>
            <w:tcMar>
              <w:bottom w:w="0" w:type="dxa"/>
            </w:tcMar>
            <w:vAlign w:val="center"/>
          </w:tcPr>
          <w:p>
            <w:pPr>
              <w:pStyle w:val="TableContents"/>
              <w:bidi w:val="0"/>
              <w:spacing w:before="0" w:after="283"/>
              <w:jc w:val="left"/>
              <w:rPr>
                <w:b/>
              </w:rPr>
            </w:pPr>
            <w:r>
              <w:rPr>
                <w:b/>
              </w:rPr>
              <w:t>)</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(7,608</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915" w:type="dxa"/>
            <w:tcBorders/>
            <w:tcMar>
              <w:bottom w:w="0" w:type="dxa"/>
            </w:tcMar>
            <w:vAlign w:val="center"/>
          </w:tcPr>
          <w:p>
            <w:pPr>
              <w:pStyle w:val="TableContents"/>
              <w:bidi w:val="0"/>
              <w:spacing w:before="0" w:after="283"/>
              <w:jc w:val="left"/>
              <w:rPr/>
            </w:pPr>
            <w:r>
              <w:rPr/>
              <w:t>Sales tax recovery - professional services</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b</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283"/>
              <w:jc w:val="right"/>
              <w:rPr>
                <w:b/>
              </w:rPr>
            </w:pPr>
            <w:r>
              <w:rPr>
                <w:b/>
              </w:rPr>
              <w:t>1,389</w:t>
            </w:r>
          </w:p>
        </w:tc>
        <w:tc>
          <w:tcPr>
            <w:tcW w:w="171"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Insurance, duties and other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b/>
              </w:rPr>
            </w:pPr>
            <w:r>
              <w:rPr>
                <w:b/>
              </w:rPr>
              <w:t>(9,339</w:t>
            </w:r>
          </w:p>
        </w:tc>
        <w:tc>
          <w:tcPr>
            <w:tcW w:w="171" w:type="dxa"/>
            <w:tcBorders/>
            <w:shd w:fill="CCEEFF" w:val="clear"/>
            <w:tcMar>
              <w:bottom w:w="0" w:type="dxa"/>
            </w:tcMar>
            <w:vAlign w:val="center"/>
          </w:tcPr>
          <w:p>
            <w:pPr>
              <w:pStyle w:val="TableContents"/>
              <w:bidi w:val="0"/>
              <w:spacing w:before="0" w:after="283"/>
              <w:jc w:val="left"/>
              <w:rPr>
                <w:b/>
              </w:rPr>
            </w:pPr>
            <w:r>
              <w:rPr>
                <w:b/>
              </w:rPr>
              <w:t>)</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(5,668</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915" w:type="dxa"/>
            <w:tcBorders/>
            <w:tcMar>
              <w:bottom w:w="0" w:type="dxa"/>
            </w:tcMar>
            <w:vAlign w:val="center"/>
          </w:tcPr>
          <w:p>
            <w:pPr>
              <w:pStyle w:val="TableContents"/>
              <w:bidi w:val="0"/>
              <w:spacing w:before="0" w:after="283"/>
              <w:jc w:val="left"/>
              <w:rPr/>
            </w:pPr>
            <w:r>
              <w:rPr/>
              <w:t>Travel, motor vehicle and meals</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283"/>
              <w:jc w:val="right"/>
              <w:rPr>
                <w:b/>
              </w:rPr>
            </w:pPr>
            <w:r>
              <w:rPr>
                <w:b/>
              </w:rPr>
              <w:t>(1,711</w:t>
            </w:r>
          </w:p>
        </w:tc>
        <w:tc>
          <w:tcPr>
            <w:tcW w:w="171" w:type="dxa"/>
            <w:tcBorders/>
            <w:tcMar>
              <w:bottom w:w="0" w:type="dxa"/>
            </w:tcMar>
            <w:vAlign w:val="center"/>
          </w:tcPr>
          <w:p>
            <w:pPr>
              <w:pStyle w:val="TableContents"/>
              <w:bidi w:val="0"/>
              <w:spacing w:before="0" w:after="283"/>
              <w:jc w:val="left"/>
              <w:rPr>
                <w:b/>
              </w:rPr>
            </w:pPr>
            <w:r>
              <w:rPr>
                <w:b/>
              </w:rPr>
              <w:t>)</w:t>
            </w:r>
          </w:p>
        </w:tc>
        <w:tc>
          <w:tcPr>
            <w:tcW w:w="123"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283"/>
              <w:jc w:val="right"/>
              <w:rPr/>
            </w:pPr>
            <w:r>
              <w:rPr/>
              <w:t>(1,018</w:t>
            </w:r>
          </w:p>
        </w:tc>
        <w:tc>
          <w:tcPr>
            <w:tcW w:w="170" w:type="dxa"/>
            <w:tcBorders/>
            <w:tcMar>
              <w:bottom w:w="0" w:type="dxa"/>
            </w:tcMar>
            <w:vAlign w:val="center"/>
          </w:tcPr>
          <w:p>
            <w:pPr>
              <w:pStyle w:val="TableContents"/>
              <w:bidi w:val="0"/>
              <w:spacing w:before="0" w:after="283"/>
              <w:jc w:val="left"/>
              <w:rPr/>
            </w:pPr>
            <w:r>
              <w:rPr/>
              <w:t>)</w:t>
            </w:r>
          </w:p>
        </w:tc>
      </w:tr>
      <w:tr>
        <w:trPr/>
        <w:tc>
          <w:tcPr>
            <w:tcW w:w="5915" w:type="dxa"/>
            <w:tcBorders/>
            <w:shd w:fill="CCEEFF" w:val="clear"/>
            <w:tcMar>
              <w:bottom w:w="0" w:type="dxa"/>
            </w:tcMar>
            <w:vAlign w:val="center"/>
          </w:tcPr>
          <w:p>
            <w:pPr>
              <w:pStyle w:val="TableContents"/>
              <w:bidi w:val="0"/>
              <w:spacing w:before="0" w:after="283"/>
              <w:jc w:val="left"/>
              <w:rPr/>
            </w:pPr>
            <w:r>
              <w:rPr/>
              <w:t>Hosting and telecommunications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b/>
              </w:rPr>
            </w:pPr>
            <w:r>
              <w:rPr>
                <w:b/>
              </w:rPr>
              <w:t>(339</w:t>
            </w:r>
          </w:p>
        </w:tc>
        <w:tc>
          <w:tcPr>
            <w:tcW w:w="171" w:type="dxa"/>
            <w:tcBorders/>
            <w:shd w:fill="CCEEFF" w:val="clear"/>
            <w:tcMar>
              <w:bottom w:w="0" w:type="dxa"/>
            </w:tcMar>
            <w:vAlign w:val="center"/>
          </w:tcPr>
          <w:p>
            <w:pPr>
              <w:pStyle w:val="TableContents"/>
              <w:bidi w:val="0"/>
              <w:spacing w:before="0" w:after="283"/>
              <w:jc w:val="left"/>
              <w:rPr>
                <w:b/>
              </w:rPr>
            </w:pPr>
            <w:r>
              <w:rPr>
                <w:b/>
              </w:rPr>
              <w:t>)</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(402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915" w:type="dxa"/>
            <w:tcBorders/>
            <w:tcMar>
              <w:bottom w:w="0" w:type="dxa"/>
            </w:tcMar>
            <w:vAlign w:val="center"/>
          </w:tcPr>
          <w:p>
            <w:pPr>
              <w:pStyle w:val="TableContents"/>
              <w:bidi w:val="0"/>
              <w:spacing w:before="0" w:after="283"/>
              <w:jc w:val="left"/>
              <w:rPr/>
            </w:pPr>
            <w:r>
              <w:rPr/>
              <w:t>Advertising and promotion</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283"/>
              <w:jc w:val="right"/>
              <w:rPr>
                <w:b/>
              </w:rPr>
            </w:pPr>
            <w:r>
              <w:rPr>
                <w:b/>
              </w:rPr>
              <w:t>(721</w:t>
            </w:r>
          </w:p>
        </w:tc>
        <w:tc>
          <w:tcPr>
            <w:tcW w:w="171" w:type="dxa"/>
            <w:tcBorders/>
            <w:tcMar>
              <w:bottom w:w="0" w:type="dxa"/>
            </w:tcMar>
            <w:vAlign w:val="center"/>
          </w:tcPr>
          <w:p>
            <w:pPr>
              <w:pStyle w:val="TableContents"/>
              <w:bidi w:val="0"/>
              <w:spacing w:before="0" w:after="283"/>
              <w:jc w:val="left"/>
              <w:rPr>
                <w:b/>
              </w:rPr>
            </w:pPr>
            <w:r>
              <w:rPr>
                <w:b/>
              </w:rPr>
              <w:t>)</w:t>
            </w:r>
          </w:p>
        </w:tc>
        <w:tc>
          <w:tcPr>
            <w:tcW w:w="123"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1074" w:type="dxa"/>
            <w:tcBorders/>
            <w:tcMar>
              <w:bottom w:w="0" w:type="dxa"/>
            </w:tcMar>
            <w:vAlign w:val="center"/>
          </w:tcPr>
          <w:p>
            <w:pPr>
              <w:pStyle w:val="TableContents"/>
              <w:bidi w:val="0"/>
              <w:spacing w:before="0" w:after="283"/>
              <w:jc w:val="right"/>
              <w:rPr/>
            </w:pPr>
            <w:r>
              <w:rPr/>
              <w:t>(491</w:t>
            </w:r>
          </w:p>
        </w:tc>
        <w:tc>
          <w:tcPr>
            <w:tcW w:w="170" w:type="dxa"/>
            <w:tcBorders/>
            <w:tcMar>
              <w:bottom w:w="0" w:type="dxa"/>
            </w:tcMar>
            <w:vAlign w:val="center"/>
          </w:tcPr>
          <w:p>
            <w:pPr>
              <w:pStyle w:val="TableContents"/>
              <w:bidi w:val="0"/>
              <w:spacing w:before="0" w:after="283"/>
              <w:jc w:val="left"/>
              <w:rPr/>
            </w:pPr>
            <w:r>
              <w:rPr/>
              <w:t>)</w:t>
            </w:r>
          </w:p>
        </w:tc>
      </w:tr>
      <w:tr>
        <w:trPr/>
        <w:tc>
          <w:tcPr>
            <w:tcW w:w="5915" w:type="dxa"/>
            <w:tcBorders>
              <w:bottom w:val="single" w:sz="8" w:space="0" w:color="000000"/>
            </w:tcBorders>
            <w:shd w:fill="CCEEFF" w:val="clear"/>
            <w:vAlign w:val="center"/>
          </w:tcPr>
          <w:p>
            <w:pPr>
              <w:pStyle w:val="TableContents"/>
              <w:bidi w:val="0"/>
              <w:spacing w:before="0" w:after="283"/>
              <w:jc w:val="left"/>
              <w:rPr/>
            </w:pPr>
            <w:r>
              <w:rPr/>
              <w:t>Sales tax recovery - other general and administrative expenses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center"/>
              <w:rPr/>
            </w:pPr>
            <w:r>
              <w:rPr/>
              <w:t>b</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vAlign w:val="center"/>
          </w:tcPr>
          <w:p>
            <w:pPr>
              <w:pStyle w:val="TableContents"/>
              <w:bidi w:val="0"/>
              <w:spacing w:before="0" w:after="283"/>
              <w:jc w:val="left"/>
              <w:rPr/>
            </w:pPr>
            <w:r>
              <w:rPr/>
              <w:t> </w:t>
            </w:r>
          </w:p>
        </w:tc>
        <w:tc>
          <w:tcPr>
            <w:tcW w:w="1074" w:type="dxa"/>
            <w:tcBorders>
              <w:bottom w:val="single" w:sz="8" w:space="0" w:color="000000"/>
            </w:tcBorders>
            <w:shd w:fill="CCEEFF" w:val="clear"/>
            <w:vAlign w:val="center"/>
          </w:tcPr>
          <w:p>
            <w:pPr>
              <w:pStyle w:val="TableContents"/>
              <w:bidi w:val="0"/>
              <w:spacing w:before="0" w:after="283"/>
              <w:jc w:val="right"/>
              <w:rPr>
                <w:b/>
              </w:rPr>
            </w:pPr>
            <w:r>
              <w:rPr>
                <w:b/>
              </w:rPr>
              <w:t>753</w:t>
            </w:r>
          </w:p>
        </w:tc>
        <w:tc>
          <w:tcPr>
            <w:tcW w:w="171" w:type="dxa"/>
            <w:tcBorders>
              <w:bottom w:val="single" w:sz="8" w:space="0" w:color="000000"/>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vAlign w:val="center"/>
          </w:tcPr>
          <w:p>
            <w:pPr>
              <w:pStyle w:val="TableContents"/>
              <w:bidi w:val="0"/>
              <w:spacing w:before="0" w:after="283"/>
              <w:jc w:val="left"/>
              <w:rPr/>
            </w:pPr>
            <w:r>
              <w:rPr/>
              <w:t> </w:t>
            </w:r>
          </w:p>
        </w:tc>
        <w:tc>
          <w:tcPr>
            <w:tcW w:w="1074" w:type="dxa"/>
            <w:tcBorders>
              <w:bottom w:val="single" w:sz="8" w:space="0" w:color="000000"/>
            </w:tcBorders>
            <w:shd w:fill="CCEEFF" w:val="clear"/>
            <w:vAlign w:val="center"/>
          </w:tcPr>
          <w:p>
            <w:pPr>
              <w:pStyle w:val="TableContents"/>
              <w:bidi w:val="0"/>
              <w:spacing w:before="0" w:after="0"/>
              <w:jc w:val="right"/>
              <w:rPr/>
            </w:pPr>
            <w:r>
              <w:rPr/>
              <w:t>—</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591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center"/>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3" w:type="dxa"/>
            <w:tcBorders>
              <w:bottom w:val="single" w:sz="12" w:space="0" w:color="000000"/>
            </w:tcBorders>
            <w:vAlign w:val="center"/>
          </w:tcPr>
          <w:p>
            <w:pPr>
              <w:pStyle w:val="TableContents"/>
              <w:bidi w:val="0"/>
              <w:spacing w:before="0" w:after="283"/>
              <w:jc w:val="left"/>
              <w:rPr/>
            </w:pPr>
            <w:r>
              <w:rPr/>
              <w:t> </w:t>
            </w:r>
          </w:p>
        </w:tc>
        <w:tc>
          <w:tcPr>
            <w:tcW w:w="1074" w:type="dxa"/>
            <w:tcBorders>
              <w:bottom w:val="single" w:sz="12" w:space="0" w:color="000000"/>
            </w:tcBorders>
            <w:vAlign w:val="center"/>
          </w:tcPr>
          <w:p>
            <w:pPr>
              <w:pStyle w:val="TableContents"/>
              <w:bidi w:val="0"/>
              <w:spacing w:before="0" w:after="283"/>
              <w:jc w:val="right"/>
              <w:rPr>
                <w:b/>
              </w:rPr>
            </w:pPr>
            <w:r>
              <w:rPr>
                <w:b/>
              </w:rPr>
              <w:t>(71,240</w:t>
            </w:r>
          </w:p>
        </w:tc>
        <w:tc>
          <w:tcPr>
            <w:tcW w:w="171" w:type="dxa"/>
            <w:tcBorders>
              <w:bottom w:val="single" w:sz="12" w:space="0" w:color="000000"/>
            </w:tcBorders>
            <w:vAlign w:val="center"/>
          </w:tcPr>
          <w:p>
            <w:pPr>
              <w:pStyle w:val="TableContents"/>
              <w:bidi w:val="0"/>
              <w:spacing w:before="0" w:after="283"/>
              <w:jc w:val="left"/>
              <w:rPr>
                <w:b/>
              </w:rPr>
            </w:pPr>
            <w:r>
              <w:rPr>
                <w:b/>
              </w:rPr>
              <w:t>)</w:t>
            </w:r>
          </w:p>
        </w:tc>
        <w:tc>
          <w:tcPr>
            <w:tcW w:w="123" w:type="dxa"/>
            <w:tcBorders>
              <w:bottom w:val="single" w:sz="12" w:space="0" w:color="000000"/>
            </w:tcBorders>
            <w:vAlign w:val="center"/>
          </w:tcPr>
          <w:p>
            <w:pPr>
              <w:pStyle w:val="TableContents"/>
              <w:bidi w:val="0"/>
              <w:spacing w:before="0" w:after="283"/>
              <w:jc w:val="left"/>
              <w:rPr/>
            </w:pPr>
            <w:r>
              <w:rPr/>
              <w:t> </w:t>
            </w:r>
          </w:p>
        </w:tc>
        <w:tc>
          <w:tcPr>
            <w:tcW w:w="123" w:type="dxa"/>
            <w:tcBorders>
              <w:bottom w:val="single" w:sz="12" w:space="0" w:color="000000"/>
            </w:tcBorders>
            <w:vAlign w:val="center"/>
          </w:tcPr>
          <w:p>
            <w:pPr>
              <w:pStyle w:val="TableContents"/>
              <w:bidi w:val="0"/>
              <w:spacing w:before="0" w:after="283"/>
              <w:jc w:val="left"/>
              <w:rPr/>
            </w:pPr>
            <w:r>
              <w:rPr/>
              <w:t> </w:t>
            </w:r>
          </w:p>
        </w:tc>
        <w:tc>
          <w:tcPr>
            <w:tcW w:w="1074" w:type="dxa"/>
            <w:tcBorders>
              <w:bottom w:val="single" w:sz="12" w:space="0" w:color="000000"/>
            </w:tcBorders>
            <w:vAlign w:val="center"/>
          </w:tcPr>
          <w:p>
            <w:pPr>
              <w:pStyle w:val="TableContents"/>
              <w:bidi w:val="0"/>
              <w:spacing w:before="0" w:after="283"/>
              <w:jc w:val="right"/>
              <w:rPr>
                <w:b/>
              </w:rPr>
            </w:pPr>
            <w:r>
              <w:rPr>
                <w:b/>
              </w:rPr>
              <w:t>(39,292</w:t>
            </w:r>
          </w:p>
        </w:tc>
        <w:tc>
          <w:tcPr>
            <w:tcW w:w="170" w:type="dxa"/>
            <w:tcBorders>
              <w:bottom w:val="single" w:sz="12" w:space="0" w:color="000000"/>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73 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61"/>
        <w:gridCol w:w="9176"/>
      </w:tblGrid>
      <w:tr>
        <w:trPr/>
        <w:tc>
          <w:tcPr>
            <w:tcW w:w="6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b/>
              </w:rPr>
            </w:pPr>
            <w:r>
              <w:rPr>
                <w:b/>
              </w:rPr>
              <w:t>NOTE 29:</w:t>
            </w:r>
          </w:p>
        </w:tc>
        <w:tc>
          <w:tcPr>
            <w:tcW w:w="9176" w:type="dxa"/>
            <w:tcBorders/>
            <w:vAlign w:val="center"/>
          </w:tcPr>
          <w:p>
            <w:pPr>
              <w:pStyle w:val="TableContents"/>
              <w:bidi w:val="0"/>
              <w:spacing w:before="0" w:after="283"/>
              <w:jc w:val="both"/>
              <w:rPr/>
            </w:pPr>
            <w:r>
              <w:rPr>
                <w:b/>
              </w:rPr>
              <w:t>ADDITIONAL DETAILS TO THE STATEMENT OF PROFIT OR LOSS AND COMPREHENSIVE PROFIT OR LOSS</w:t>
            </w:r>
            <w:r>
              <w:rPr/>
              <w:t xml:space="preserve"> (Continued)</w:t>
            </w:r>
          </w:p>
        </w:tc>
      </w:tr>
    </w:tbl>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financial income (expenses)</w:t>
      </w:r>
    </w:p>
    <w:tbl>
      <w:tblPr>
        <w:tblW w:w="9513" w:type="dxa"/>
        <w:jc w:val="left"/>
        <w:tblInd w:w="0" w:type="dxa"/>
        <w:tblLayout w:type="fixed"/>
        <w:tblCellMar>
          <w:top w:w="0" w:type="dxa"/>
          <w:left w:w="0" w:type="dxa"/>
          <w:bottom w:w="28" w:type="dxa"/>
          <w:right w:w="0" w:type="dxa"/>
        </w:tblCellMar>
      </w:tblPr>
      <w:tblGrid>
        <w:gridCol w:w="5855"/>
        <w:gridCol w:w="90"/>
        <w:gridCol w:w="620"/>
        <w:gridCol w:w="90"/>
        <w:gridCol w:w="128"/>
        <w:gridCol w:w="1010"/>
        <w:gridCol w:w="177"/>
        <w:gridCol w:w="128"/>
        <w:gridCol w:w="128"/>
        <w:gridCol w:w="1117"/>
        <w:gridCol w:w="170"/>
      </w:tblGrid>
      <w:tr>
        <w:trPr/>
        <w:tc>
          <w:tcPr>
            <w:tcW w:w="585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center"/>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88"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5855"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0" w:type="dxa"/>
            <w:tcBorders>
              <w:bottom w:val="single" w:sz="8" w:space="0" w:color="000000"/>
            </w:tcBorders>
            <w:vAlign w:val="center"/>
          </w:tcPr>
          <w:p>
            <w:pPr>
              <w:pStyle w:val="TableContents"/>
              <w:bidi w:val="0"/>
              <w:spacing w:before="0" w:after="283"/>
              <w:jc w:val="center"/>
              <w:rPr>
                <w:b/>
              </w:rPr>
            </w:pPr>
            <w:r>
              <w:rPr>
                <w:b/>
              </w:rPr>
              <w:t>Notes</w:t>
            </w:r>
          </w:p>
        </w:tc>
        <w:tc>
          <w:tcPr>
            <w:tcW w:w="90" w:type="dxa"/>
            <w:tcBorders>
              <w:bottom w:val="single" w:sz="8" w:space="0" w:color="000000"/>
            </w:tcBorders>
            <w:vAlign w:val="center"/>
          </w:tcPr>
          <w:p>
            <w:pPr>
              <w:pStyle w:val="TableContents"/>
              <w:bidi w:val="0"/>
              <w:spacing w:before="0" w:after="283"/>
              <w:jc w:val="left"/>
              <w:rPr/>
            </w:pPr>
            <w:r>
              <w:rPr/>
              <w:t> </w:t>
            </w:r>
          </w:p>
        </w:tc>
        <w:tc>
          <w:tcPr>
            <w:tcW w:w="1138" w:type="dxa"/>
            <w:gridSpan w:val="2"/>
            <w:tcBorders>
              <w:bottom w:val="single" w:sz="8" w:space="0" w:color="000000"/>
            </w:tcBorders>
            <w:vAlign w:val="center"/>
          </w:tcPr>
          <w:p>
            <w:pPr>
              <w:pStyle w:val="TableContents"/>
              <w:bidi w:val="0"/>
              <w:spacing w:before="0" w:after="283"/>
              <w:jc w:val="right"/>
              <w:rPr>
                <w:b/>
              </w:rPr>
            </w:pPr>
            <w:r>
              <w:rPr>
                <w:b/>
              </w:rPr>
              <w:t>2024</w:t>
            </w:r>
          </w:p>
        </w:tc>
        <w:tc>
          <w:tcPr>
            <w:tcW w:w="177" w:type="dxa"/>
            <w:tcBorders>
              <w:bottom w:val="single" w:sz="8" w:space="0" w:color="000000"/>
            </w:tcBorders>
            <w:vAlign w:val="center"/>
          </w:tcPr>
          <w:p>
            <w:pPr>
              <w:pStyle w:val="TableContents"/>
              <w:bidi w:val="0"/>
              <w:spacing w:before="0" w:after="283"/>
              <w:jc w:val="left"/>
              <w:rPr/>
            </w:pPr>
            <w:r>
              <w:rPr/>
              <w:t> </w:t>
            </w:r>
          </w:p>
        </w:tc>
        <w:tc>
          <w:tcPr>
            <w:tcW w:w="128" w:type="dxa"/>
            <w:tcBorders>
              <w:bottom w:val="single" w:sz="8" w:space="0" w:color="000000"/>
            </w:tcBorders>
            <w:vAlign w:val="center"/>
          </w:tcPr>
          <w:p>
            <w:pPr>
              <w:pStyle w:val="TableContents"/>
              <w:bidi w:val="0"/>
              <w:spacing w:before="0" w:after="283"/>
              <w:jc w:val="left"/>
              <w:rPr/>
            </w:pPr>
            <w:r>
              <w:rPr/>
              <w:t> </w:t>
            </w:r>
          </w:p>
        </w:tc>
        <w:tc>
          <w:tcPr>
            <w:tcW w:w="1245" w:type="dxa"/>
            <w:gridSpan w:val="2"/>
            <w:tcBorders>
              <w:bottom w:val="single" w:sz="8" w:space="0" w:color="000000"/>
            </w:tcBorders>
            <w:vAlign w:val="center"/>
          </w:tcPr>
          <w:p>
            <w:pPr>
              <w:pStyle w:val="TableContents"/>
              <w:bidi w:val="0"/>
              <w:spacing w:before="0" w:after="283"/>
              <w:jc w:val="right"/>
              <w:rPr/>
            </w:pPr>
            <w:r>
              <w:rPr/>
              <w:t>2023</w:t>
            </w:r>
          </w:p>
        </w:tc>
        <w:tc>
          <w:tcPr>
            <w:tcW w:w="170" w:type="dxa"/>
            <w:tcBorders>
              <w:bottom w:val="single" w:sz="8" w:space="0" w:color="000000"/>
            </w:tcBorders>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283"/>
              <w:jc w:val="left"/>
              <w:rPr/>
            </w:pPr>
            <w:r>
              <w:rPr/>
              <w:t>Gain (loss) revaluation of 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b/>
              </w:rPr>
            </w:pPr>
            <w:r>
              <w:rPr>
                <w:b/>
              </w:rPr>
              <w:t>19,603</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pPr>
            <w:r>
              <w:rPr/>
              <w:t>(42,974</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855" w:type="dxa"/>
            <w:tcBorders/>
            <w:tcMar>
              <w:bottom w:w="0" w:type="dxa"/>
            </w:tcMar>
            <w:vAlign w:val="center"/>
          </w:tcPr>
          <w:p>
            <w:pPr>
              <w:pStyle w:val="TableContents"/>
              <w:bidi w:val="0"/>
              <w:spacing w:before="0" w:after="283"/>
              <w:jc w:val="left"/>
              <w:rPr/>
            </w:pPr>
            <w:r>
              <w:rPr/>
              <w:t>Gain on derivative assets and liabilities</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b/>
              </w:rPr>
            </w:pPr>
            <w:r>
              <w:rPr>
                <w:b/>
              </w:rPr>
              <w:t>17,819</w:t>
            </w:r>
          </w:p>
        </w:tc>
        <w:tc>
          <w:tcPr>
            <w:tcW w:w="177"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117" w:type="dxa"/>
            <w:tcBorders/>
            <w:tcMar>
              <w:bottom w:w="0" w:type="dxa"/>
            </w:tcMar>
            <w:vAlign w:val="center"/>
          </w:tcPr>
          <w:p>
            <w:pPr>
              <w:pStyle w:val="TableContents"/>
              <w:bidi w:val="0"/>
              <w:spacing w:before="0" w:after="283"/>
              <w:jc w:val="right"/>
              <w:rPr/>
            </w:pPr>
            <w:r>
              <w:rPr/>
              <w:t>48</w:t>
            </w:r>
          </w:p>
        </w:tc>
        <w:tc>
          <w:tcPr>
            <w:tcW w:w="170" w:type="dxa"/>
            <w:tcBorders/>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283"/>
              <w:jc w:val="left"/>
              <w:rPr/>
            </w:pPr>
            <w:r>
              <w:rPr/>
              <w:t>Gain on disposition of marketable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b/>
              </w:rPr>
            </w:pPr>
            <w:r>
              <w:rPr>
                <w:b/>
              </w:rPr>
              <w:t>2,313</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pPr>
            <w:r>
              <w:rPr/>
              <w:t>12,245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tcMar>
              <w:bottom w:w="0" w:type="dxa"/>
            </w:tcMar>
            <w:vAlign w:val="center"/>
          </w:tcPr>
          <w:p>
            <w:pPr>
              <w:pStyle w:val="TableContents"/>
              <w:bidi w:val="0"/>
              <w:spacing w:before="0" w:after="283"/>
              <w:jc w:val="left"/>
              <w:rPr/>
            </w:pPr>
            <w:r>
              <w:rPr/>
              <w:t>Gain on extinguishment of long-term debt and lease liabilities</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18</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pPr>
            <w:r>
              <w:rPr/>
              <w:t>—</w:t>
            </w:r>
          </w:p>
        </w:tc>
        <w:tc>
          <w:tcPr>
            <w:tcW w:w="177"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117" w:type="dxa"/>
            <w:tcBorders/>
            <w:tcMar>
              <w:bottom w:w="0" w:type="dxa"/>
            </w:tcMar>
            <w:vAlign w:val="center"/>
          </w:tcPr>
          <w:p>
            <w:pPr>
              <w:pStyle w:val="TableContents"/>
              <w:bidi w:val="0"/>
              <w:spacing w:before="0" w:after="283"/>
              <w:jc w:val="right"/>
              <w:rPr/>
            </w:pPr>
            <w:r>
              <w:rPr/>
              <w:t>12,835</w:t>
            </w:r>
          </w:p>
        </w:tc>
        <w:tc>
          <w:tcPr>
            <w:tcW w:w="170" w:type="dxa"/>
            <w:tcBorders/>
            <w:tcMar>
              <w:bottom w:w="0" w:type="dxa"/>
            </w:tcMar>
            <w:vAlign w:val="center"/>
          </w:tcPr>
          <w:p>
            <w:pPr>
              <w:pStyle w:val="TableContents"/>
              <w:bidi w:val="0"/>
              <w:spacing w:before="0" w:after="283"/>
              <w:jc w:val="left"/>
              <w:rPr/>
            </w:pPr>
            <w:r>
              <w:rPr/>
              <w:t> </w:t>
            </w:r>
          </w:p>
        </w:tc>
      </w:tr>
      <w:tr>
        <w:trPr/>
        <w:tc>
          <w:tcPr>
            <w:tcW w:w="5855" w:type="dxa"/>
            <w:tcBorders/>
            <w:shd w:fill="CCEEFF" w:val="clear"/>
            <w:tcMar>
              <w:bottom w:w="0" w:type="dxa"/>
            </w:tcMar>
            <w:vAlign w:val="center"/>
          </w:tcPr>
          <w:p>
            <w:pPr>
              <w:pStyle w:val="TableContents"/>
              <w:bidi w:val="0"/>
              <w:spacing w:before="0" w:after="283"/>
              <w:jc w:val="left"/>
              <w:rPr/>
            </w:pPr>
            <w:r>
              <w:rPr/>
              <w:t>Interest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b/>
              </w:rPr>
            </w:pPr>
            <w:r>
              <w:rPr>
                <w:b/>
              </w:rPr>
              <w:t>6,037</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pPr>
            <w:r>
              <w:rPr/>
              <w:t>1,420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855" w:type="dxa"/>
            <w:tcBorders/>
            <w:tcMar>
              <w:bottom w:w="0" w:type="dxa"/>
            </w:tcMar>
            <w:vAlign w:val="center"/>
          </w:tcPr>
          <w:p>
            <w:pPr>
              <w:pStyle w:val="TableContents"/>
              <w:bidi w:val="0"/>
              <w:spacing w:before="0" w:after="283"/>
              <w:jc w:val="left"/>
              <w:rPr/>
            </w:pPr>
            <w:r>
              <w:rPr/>
              <w:t>Interest on long-term debt and lease liabilities</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b/>
              </w:rPr>
            </w:pPr>
            <w:r>
              <w:rPr>
                <w:b/>
              </w:rPr>
              <w:t>(1,738</w:t>
            </w:r>
          </w:p>
        </w:tc>
        <w:tc>
          <w:tcPr>
            <w:tcW w:w="177" w:type="dxa"/>
            <w:tcBorders/>
            <w:tcMar>
              <w:bottom w:w="0" w:type="dxa"/>
            </w:tcMar>
            <w:vAlign w:val="center"/>
          </w:tcPr>
          <w:p>
            <w:pPr>
              <w:pStyle w:val="TableContents"/>
              <w:bidi w:val="0"/>
              <w:spacing w:before="0" w:after="283"/>
              <w:jc w:val="left"/>
              <w:rPr>
                <w:b/>
              </w:rPr>
            </w:pPr>
            <w:r>
              <w:rPr>
                <w:b/>
              </w:rPr>
              <w:t>)</w:t>
            </w:r>
          </w:p>
        </w:tc>
        <w:tc>
          <w:tcPr>
            <w:tcW w:w="128"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117" w:type="dxa"/>
            <w:tcBorders/>
            <w:tcMar>
              <w:bottom w:w="0" w:type="dxa"/>
            </w:tcMar>
            <w:vAlign w:val="center"/>
          </w:tcPr>
          <w:p>
            <w:pPr>
              <w:pStyle w:val="TableContents"/>
              <w:bidi w:val="0"/>
              <w:spacing w:before="0" w:after="283"/>
              <w:jc w:val="right"/>
              <w:rPr/>
            </w:pPr>
            <w:r>
              <w:rPr/>
              <w:t>(4,079</w:t>
            </w:r>
          </w:p>
        </w:tc>
        <w:tc>
          <w:tcPr>
            <w:tcW w:w="170" w:type="dxa"/>
            <w:tcBorders/>
            <w:tcMar>
              <w:bottom w:w="0" w:type="dxa"/>
            </w:tcMar>
            <w:vAlign w:val="center"/>
          </w:tcPr>
          <w:p>
            <w:pPr>
              <w:pStyle w:val="TableContents"/>
              <w:bidi w:val="0"/>
              <w:spacing w:before="0" w:after="283"/>
              <w:jc w:val="left"/>
              <w:rPr/>
            </w:pPr>
            <w:r>
              <w:rPr/>
              <w:t>)</w:t>
            </w:r>
          </w:p>
        </w:tc>
      </w:tr>
      <w:tr>
        <w:trPr/>
        <w:tc>
          <w:tcPr>
            <w:tcW w:w="5855" w:type="dxa"/>
            <w:tcBorders/>
            <w:shd w:fill="CCEEFF" w:val="clear"/>
            <w:tcMar>
              <w:bottom w:w="0" w:type="dxa"/>
            </w:tcMar>
            <w:vAlign w:val="center"/>
          </w:tcPr>
          <w:p>
            <w:pPr>
              <w:pStyle w:val="TableContents"/>
              <w:bidi w:val="0"/>
              <w:spacing w:before="0" w:after="283"/>
              <w:jc w:val="left"/>
              <w:rPr/>
            </w:pPr>
            <w:r>
              <w:rPr/>
              <w:t>Loss on foreign exchange</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b/>
              </w:rPr>
            </w:pPr>
            <w:r>
              <w:rPr>
                <w:b/>
              </w:rPr>
              <w:t>(1,481</w:t>
            </w:r>
          </w:p>
        </w:tc>
        <w:tc>
          <w:tcPr>
            <w:tcW w:w="177" w:type="dxa"/>
            <w:tcBorders/>
            <w:shd w:fill="CCEEFF" w:val="clear"/>
            <w:tcMar>
              <w:bottom w:w="0" w:type="dxa"/>
            </w:tcMar>
            <w:vAlign w:val="center"/>
          </w:tcPr>
          <w:p>
            <w:pPr>
              <w:pStyle w:val="TableContents"/>
              <w:bidi w:val="0"/>
              <w:spacing w:before="0" w:after="283"/>
              <w:jc w:val="left"/>
              <w:rPr>
                <w:b/>
              </w:rPr>
            </w:pPr>
            <w:r>
              <w:rPr>
                <w:b/>
              </w:rPr>
              <w:t>)</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pPr>
            <w:r>
              <w:rPr/>
              <w:t>(7,842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855" w:type="dxa"/>
            <w:tcBorders/>
            <w:tcMar>
              <w:bottom w:w="0" w:type="dxa"/>
            </w:tcMar>
            <w:vAlign w:val="center"/>
          </w:tcPr>
          <w:p>
            <w:pPr>
              <w:pStyle w:val="TableContents"/>
              <w:bidi w:val="0"/>
              <w:spacing w:before="0" w:after="283"/>
              <w:jc w:val="left"/>
              <w:rPr/>
            </w:pPr>
            <w:r>
              <w:rPr/>
              <w:t>Warrant issuance costs</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pPr>
            <w:r>
              <w:rPr/>
              <w:t>—</w:t>
            </w:r>
          </w:p>
        </w:tc>
        <w:tc>
          <w:tcPr>
            <w:tcW w:w="177"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117" w:type="dxa"/>
            <w:tcBorders/>
            <w:tcMar>
              <w:bottom w:w="0" w:type="dxa"/>
            </w:tcMar>
            <w:vAlign w:val="center"/>
          </w:tcPr>
          <w:p>
            <w:pPr>
              <w:pStyle w:val="TableContents"/>
              <w:bidi w:val="0"/>
              <w:spacing w:before="0" w:after="283"/>
              <w:jc w:val="right"/>
              <w:rPr/>
            </w:pPr>
            <w:r>
              <w:rPr/>
              <w:t>(2,000</w:t>
            </w:r>
          </w:p>
        </w:tc>
        <w:tc>
          <w:tcPr>
            <w:tcW w:w="170" w:type="dxa"/>
            <w:tcBorders/>
            <w:tcMar>
              <w:bottom w:w="0" w:type="dxa"/>
            </w:tcMar>
            <w:vAlign w:val="center"/>
          </w:tcPr>
          <w:p>
            <w:pPr>
              <w:pStyle w:val="TableContents"/>
              <w:bidi w:val="0"/>
              <w:spacing w:before="0" w:after="283"/>
              <w:jc w:val="left"/>
              <w:rPr/>
            </w:pPr>
            <w:r>
              <w:rPr/>
              <w:t>)</w:t>
            </w:r>
          </w:p>
        </w:tc>
      </w:tr>
      <w:tr>
        <w:trPr/>
        <w:tc>
          <w:tcPr>
            <w:tcW w:w="5855" w:type="dxa"/>
            <w:tcBorders/>
            <w:shd w:fill="CCEEFF" w:val="clear"/>
            <w:tcMar>
              <w:bottom w:w="0" w:type="dxa"/>
            </w:tcMar>
            <w:vAlign w:val="center"/>
          </w:tcPr>
          <w:p>
            <w:pPr>
              <w:pStyle w:val="TableContents"/>
              <w:bidi w:val="0"/>
              <w:spacing w:before="0" w:after="283"/>
              <w:jc w:val="left"/>
              <w:rPr/>
            </w:pPr>
            <w:r>
              <w:rPr/>
              <w:t>Provision expense on VAT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pPr>
            <w:r>
              <w:rPr/>
              <w: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pPr>
            <w:r>
              <w:rPr/>
              <w:t>—</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pPr>
            <w:r>
              <w:rPr/>
              <w:t>(5,903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855" w:type="dxa"/>
            <w:tcBorders/>
            <w:tcMar>
              <w:bottom w:w="0" w:type="dxa"/>
            </w:tcMar>
            <w:vAlign w:val="center"/>
          </w:tcPr>
          <w:p>
            <w:pPr>
              <w:pStyle w:val="TableContents"/>
              <w:bidi w:val="0"/>
              <w:spacing w:before="0" w:after="283"/>
              <w:jc w:val="left"/>
              <w:rPr/>
            </w:pPr>
            <w:r>
              <w:rPr/>
              <w:t>Loss on initial recognition of refundable deposits</w:t>
            </w:r>
          </w:p>
        </w:tc>
        <w:tc>
          <w:tcPr>
            <w:tcW w:w="90"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center"/>
              <w:rPr/>
            </w:pPr>
            <w:r>
              <w:rPr/>
              <w:t>23</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b/>
              </w:rPr>
            </w:pPr>
            <w:r>
              <w:rPr>
                <w:b/>
              </w:rPr>
              <w:t>(2,504</w:t>
            </w:r>
          </w:p>
        </w:tc>
        <w:tc>
          <w:tcPr>
            <w:tcW w:w="177" w:type="dxa"/>
            <w:tcBorders/>
            <w:tcMar>
              <w:bottom w:w="0" w:type="dxa"/>
            </w:tcMar>
            <w:vAlign w:val="center"/>
          </w:tcPr>
          <w:p>
            <w:pPr>
              <w:pStyle w:val="TableContents"/>
              <w:bidi w:val="0"/>
              <w:spacing w:before="0" w:after="283"/>
              <w:jc w:val="left"/>
              <w:rPr>
                <w:b/>
              </w:rPr>
            </w:pPr>
            <w:r>
              <w:rPr>
                <w:b/>
              </w:rPr>
              <w:t>)</w:t>
            </w:r>
          </w:p>
        </w:tc>
        <w:tc>
          <w:tcPr>
            <w:tcW w:w="128"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117" w:type="dxa"/>
            <w:tcBorders/>
            <w:tcMar>
              <w:bottom w:w="0" w:type="dxa"/>
            </w:tcMar>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jc w:val="left"/>
              <w:rPr/>
            </w:pPr>
            <w:r>
              <w:rPr/>
              <w:t> </w:t>
            </w:r>
          </w:p>
        </w:tc>
      </w:tr>
      <w:tr>
        <w:trPr/>
        <w:tc>
          <w:tcPr>
            <w:tcW w:w="5855" w:type="dxa"/>
            <w:tcBorders>
              <w:bottom w:val="single" w:sz="8" w:space="0" w:color="000000"/>
            </w:tcBorders>
            <w:shd w:fill="CCEEFF" w:val="clear"/>
            <w:vAlign w:val="center"/>
          </w:tcPr>
          <w:p>
            <w:pPr>
              <w:pStyle w:val="TableContents"/>
              <w:bidi w:val="0"/>
              <w:spacing w:before="0" w:after="283"/>
              <w:jc w:val="left"/>
              <w:rPr/>
            </w:pPr>
            <w:r>
              <w:rPr/>
              <w:t>Other financial expenses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center"/>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vAlign w:val="center"/>
          </w:tcPr>
          <w:p>
            <w:pPr>
              <w:pStyle w:val="TableContents"/>
              <w:bidi w:val="0"/>
              <w:spacing w:before="0" w:after="283"/>
              <w:jc w:val="left"/>
              <w:rPr/>
            </w:pPr>
            <w:r>
              <w:rPr/>
              <w:t> </w:t>
            </w:r>
          </w:p>
        </w:tc>
        <w:tc>
          <w:tcPr>
            <w:tcW w:w="1010" w:type="dxa"/>
            <w:tcBorders>
              <w:bottom w:val="single" w:sz="8" w:space="0" w:color="000000"/>
            </w:tcBorders>
            <w:shd w:fill="CCEEFF" w:val="clear"/>
            <w:vAlign w:val="center"/>
          </w:tcPr>
          <w:p>
            <w:pPr>
              <w:pStyle w:val="TableContents"/>
              <w:bidi w:val="0"/>
              <w:spacing w:before="0" w:after="283"/>
              <w:jc w:val="right"/>
              <w:rPr>
                <w:b/>
              </w:rPr>
            </w:pPr>
            <w:r>
              <w:rPr>
                <w:b/>
              </w:rPr>
              <w:t>(839</w:t>
            </w:r>
          </w:p>
        </w:tc>
        <w:tc>
          <w:tcPr>
            <w:tcW w:w="177"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8" w:type="dxa"/>
            <w:tcBorders>
              <w:bottom w:val="single" w:sz="8" w:space="0" w:color="000000"/>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vAlign w:val="center"/>
          </w:tcPr>
          <w:p>
            <w:pPr>
              <w:pStyle w:val="TableContents"/>
              <w:bidi w:val="0"/>
              <w:spacing w:before="0" w:after="283"/>
              <w:jc w:val="left"/>
              <w:rPr/>
            </w:pPr>
            <w:r>
              <w:rPr/>
              <w:t> </w:t>
            </w:r>
          </w:p>
        </w:tc>
        <w:tc>
          <w:tcPr>
            <w:tcW w:w="1117" w:type="dxa"/>
            <w:tcBorders>
              <w:bottom w:val="single" w:sz="8" w:space="0" w:color="000000"/>
            </w:tcBorders>
            <w:shd w:fill="CCEEFF" w:val="clear"/>
            <w:vAlign w:val="center"/>
          </w:tcPr>
          <w:p>
            <w:pPr>
              <w:pStyle w:val="TableContents"/>
              <w:bidi w:val="0"/>
              <w:spacing w:before="0" w:after="283"/>
              <w:jc w:val="right"/>
              <w:rPr/>
            </w:pPr>
            <w:r>
              <w:rPr/>
              <w:t>(944</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5855"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center"/>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8"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b/>
              </w:rPr>
            </w:pPr>
            <w:r>
              <w:rPr>
                <w:b/>
              </w:rPr>
              <w:t>39,210</w:t>
            </w:r>
          </w:p>
        </w:tc>
        <w:tc>
          <w:tcPr>
            <w:tcW w:w="177" w:type="dxa"/>
            <w:tcBorders>
              <w:bottom w:val="single" w:sz="12" w:space="0" w:color="000000"/>
            </w:tcBorders>
            <w:vAlign w:val="center"/>
          </w:tcPr>
          <w:p>
            <w:pPr>
              <w:pStyle w:val="TableContents"/>
              <w:bidi w:val="0"/>
              <w:spacing w:before="0" w:after="283"/>
              <w:jc w:val="left"/>
              <w:rPr/>
            </w:pPr>
            <w:r>
              <w:rPr/>
              <w:t> </w:t>
            </w:r>
          </w:p>
        </w:tc>
        <w:tc>
          <w:tcPr>
            <w:tcW w:w="128" w:type="dxa"/>
            <w:tcBorders>
              <w:bottom w:val="single" w:sz="12" w:space="0" w:color="000000"/>
            </w:tcBorders>
            <w:vAlign w:val="center"/>
          </w:tcPr>
          <w:p>
            <w:pPr>
              <w:pStyle w:val="TableContents"/>
              <w:bidi w:val="0"/>
              <w:spacing w:before="0" w:after="283"/>
              <w:jc w:val="left"/>
              <w:rPr/>
            </w:pPr>
            <w:r>
              <w:rPr/>
              <w:t> </w:t>
            </w:r>
          </w:p>
        </w:tc>
        <w:tc>
          <w:tcPr>
            <w:tcW w:w="128" w:type="dxa"/>
            <w:tcBorders>
              <w:bottom w:val="single" w:sz="12" w:space="0" w:color="000000"/>
            </w:tcBorders>
            <w:vAlign w:val="center"/>
          </w:tcPr>
          <w:p>
            <w:pPr>
              <w:pStyle w:val="TableContents"/>
              <w:bidi w:val="0"/>
              <w:spacing w:before="0" w:after="283"/>
              <w:jc w:val="left"/>
              <w:rPr/>
            </w:pPr>
            <w:r>
              <w:rPr/>
              <w:t> </w:t>
            </w:r>
          </w:p>
        </w:tc>
        <w:tc>
          <w:tcPr>
            <w:tcW w:w="1117" w:type="dxa"/>
            <w:tcBorders>
              <w:bottom w:val="single" w:sz="12" w:space="0" w:color="000000"/>
            </w:tcBorders>
            <w:vAlign w:val="center"/>
          </w:tcPr>
          <w:p>
            <w:pPr>
              <w:pStyle w:val="TableContents"/>
              <w:bidi w:val="0"/>
              <w:spacing w:before="0" w:after="283"/>
              <w:jc w:val="right"/>
              <w:rPr/>
            </w:pPr>
            <w:r>
              <w:rPr/>
              <w:t>(37,194</w:t>
            </w:r>
          </w:p>
        </w:tc>
        <w:tc>
          <w:tcPr>
            <w:tcW w:w="170" w:type="dxa"/>
            <w:tcBorders>
              <w:bottom w:val="single" w:sz="12" w:space="0" w:color="000000"/>
            </w:tcBorders>
            <w:vAlign w:val="center"/>
          </w:tcPr>
          <w:p>
            <w:pPr>
              <w:pStyle w:val="TableContents"/>
              <w:bidi w:val="0"/>
              <w:spacing w:before="0" w:after="283"/>
              <w:jc w:val="left"/>
              <w:rPr/>
            </w:pPr>
            <w:r>
              <w:rPr/>
              <w:t>)</w:t>
            </w:r>
          </w:p>
        </w:tc>
      </w:tr>
    </w:tbl>
    <w:p>
      <w:pPr>
        <w:pStyle w:val="TextBody"/>
        <w:bidi w:val="0"/>
        <w:spacing w:before="0" w:after="0"/>
        <w:ind w:left="11" w:right="0" w:hanging="1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657"/>
        <w:gridCol w:w="9354"/>
      </w:tblGrid>
      <w:tr>
        <w:trPr/>
        <w:tc>
          <w:tcPr>
            <w:tcW w:w="19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b/>
              </w:rPr>
            </w:pPr>
            <w:r>
              <w:rPr>
                <w:b/>
              </w:rPr>
              <w:t>a.</w:t>
            </w:r>
          </w:p>
        </w:tc>
        <w:tc>
          <w:tcPr>
            <w:tcW w:w="9354" w:type="dxa"/>
            <w:tcBorders/>
            <w:vAlign w:val="center"/>
          </w:tcPr>
          <w:p>
            <w:pPr>
              <w:pStyle w:val="TableContents"/>
              <w:bidi w:val="0"/>
              <w:spacing w:before="0" w:after="283"/>
              <w:jc w:val="both"/>
              <w:rPr>
                <w:b/>
              </w:rPr>
            </w:pPr>
            <w:r>
              <w:rPr>
                <w:b/>
              </w:rPr>
              <w:t>Electrical component inventory</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cost of electrical component inventory recognized as an expense and included in cost of revenues was $3,392 (year ended December 31, 2023: $3,320).</w:t>
      </w:r>
    </w:p>
    <w:p>
      <w:pPr>
        <w:pStyle w:val="TextBody"/>
        <w:bidi w:val="0"/>
        <w:spacing w:before="0" w:after="0"/>
        <w:ind w:left="11" w:right="0" w:hanging="11"/>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2"/>
        <w:gridCol w:w="768"/>
        <w:gridCol w:w="9225"/>
      </w:tblGrid>
      <w:tr>
        <w:trPr/>
        <w:tc>
          <w:tcPr>
            <w:tcW w:w="21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b/>
              </w:rPr>
            </w:pPr>
            <w:r>
              <w:rPr>
                <w:b/>
              </w:rPr>
              <w:t>b.</w:t>
            </w:r>
          </w:p>
        </w:tc>
        <w:tc>
          <w:tcPr>
            <w:tcW w:w="9225" w:type="dxa"/>
            <w:tcBorders/>
            <w:vAlign w:val="center"/>
          </w:tcPr>
          <w:p>
            <w:pPr>
              <w:pStyle w:val="TableContents"/>
              <w:bidi w:val="0"/>
              <w:spacing w:before="0" w:after="283"/>
              <w:jc w:val="both"/>
              <w:rPr>
                <w:b/>
              </w:rPr>
            </w:pPr>
            <w:r>
              <w:rPr>
                <w:b/>
              </w:rPr>
              <w:t>Canadian sales tax recovery</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received confirmation from the provincial tax authorities that Canadian sales taxes paid by the Company from February 5, 2022 onwards are refundable. Between February 5, 2022, the date on which the new crypto currency sales tax legislation came into effect, and April 2024, the Company filed monthly sales tax refund claims totaling approximately $24,400 (CAD$33,000) that were not paid to the Company, pending the finalization of the aforementioned legislation. The refund of sales taxes relates to sales taxes charged on various expenditures including, but not limited to, electricity costs, cost of property, plant and equipment, professional services,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sales tax recoveries of $22,200 for previous years (i.e., 2022 and 2023) and $2,200 for the period of January to April 2024 were recognized and presented as direct adjustments in their respective expense and asset categories. During the year ended December 31, 2024, the full $24,400 sales tax claims were refunded by the Canadian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previously not receiving its Canadian sales tax refund claims, the Company was self-assessing sales taxes payable when appropriate. During the year ended December 31, 2024, the Company reversed $9,560 of government remittances previously included in PPE and accrued in trade accounts payable and accrued liabilities, as disclosed in Note 16. Of this amount, $5,360 was recorded as a decrease to cost of revenues, $520 was recorded as a decrease to general and administrative expense and $3,680 was recorded as a decrease to PPE.</w:t>
      </w:r>
    </w:p>
    <w:p>
      <w:pPr>
        <w:pStyle w:val="TextBody"/>
        <w:bidi w:val="0"/>
        <w:spacing w:before="0" w:after="0"/>
        <w:ind w:left="11" w:right="0" w:hanging="11"/>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74 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 w:right="0" w:hanging="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11" w:right="0" w:hanging="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961"/>
        <w:gridCol w:w="9176"/>
      </w:tblGrid>
      <w:tr>
        <w:trPr/>
        <w:tc>
          <w:tcPr>
            <w:tcW w:w="6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b/>
              </w:rPr>
            </w:pPr>
            <w:r>
              <w:rPr>
                <w:b/>
              </w:rPr>
              <w:t>NOTE 29:</w:t>
            </w:r>
          </w:p>
        </w:tc>
        <w:tc>
          <w:tcPr>
            <w:tcW w:w="9176" w:type="dxa"/>
            <w:tcBorders/>
            <w:vAlign w:val="center"/>
          </w:tcPr>
          <w:p>
            <w:pPr>
              <w:pStyle w:val="TableContents"/>
              <w:bidi w:val="0"/>
              <w:spacing w:before="0" w:after="283"/>
              <w:jc w:val="both"/>
              <w:rPr/>
            </w:pPr>
            <w:r>
              <w:rPr>
                <w:b/>
              </w:rPr>
              <w:t>ADDITIONAL DETAILS TO THE STATEMENT OF PROFIT OR LOSS AND COMPREHENSIVE PROFIT OR LOSS</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financial income (expenses)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68"/>
        <w:gridCol w:w="215"/>
        <w:gridCol w:w="450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c.</w:t>
            </w:r>
          </w:p>
        </w:tc>
        <w:tc>
          <w:tcPr>
            <w:tcW w:w="4505" w:type="dxa"/>
            <w:tcBorders/>
            <w:vAlign w:val="center"/>
          </w:tcPr>
          <w:p>
            <w:pPr>
              <w:pStyle w:val="TableContents"/>
              <w:bidi w:val="0"/>
              <w:spacing w:before="0" w:after="283"/>
              <w:jc w:val="both"/>
              <w:rPr>
                <w:b/>
              </w:rPr>
            </w:pPr>
            <w:r>
              <w:rPr>
                <w:b/>
              </w:rPr>
              <w:t>Gain on disposition of marketable securities</w:t>
            </w:r>
          </w:p>
        </w:tc>
      </w:tr>
    </w:tbl>
    <w:p>
      <w:pPr>
        <w:pStyle w:val="TextBody"/>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and 2023, the Company funded its expansion in Argentina through the acquisition of marketable securities and the in-kind contribution of those securities to the Company’s subsidiary in Argentina. The subsequent disposition of those marketable securities in exchange for ARS gave rise to a gain as the amount received in ARS exceeded the amount of ARS the Company would have received from a direct foreign currency exchange.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594"/>
        <w:gridCol w:w="9446"/>
      </w:tblGrid>
      <w:tr>
        <w:trPr/>
        <w:tc>
          <w:tcPr>
            <w:tcW w:w="16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b/>
              </w:rPr>
            </w:pPr>
            <w:r>
              <w:rPr>
                <w:b/>
              </w:rPr>
              <w:t>d.</w:t>
            </w:r>
          </w:p>
        </w:tc>
        <w:tc>
          <w:tcPr>
            <w:tcW w:w="9446" w:type="dxa"/>
            <w:tcBorders/>
            <w:vAlign w:val="center"/>
          </w:tcPr>
          <w:p>
            <w:pPr>
              <w:pStyle w:val="TableContents"/>
              <w:bidi w:val="0"/>
              <w:spacing w:before="0" w:after="283"/>
              <w:jc w:val="both"/>
              <w:rPr>
                <w:b/>
              </w:rPr>
            </w:pPr>
            <w:r>
              <w:rPr>
                <w:b/>
              </w:rPr>
              <w:t>Provision expense on VAT receivable</w:t>
            </w:r>
          </w:p>
        </w:tc>
      </w:tr>
    </w:tbl>
    <w:p>
      <w:pPr>
        <w:pStyle w:val="TextBody"/>
        <w:bidi w:val="0"/>
        <w:spacing w:before="0" w:after="0"/>
        <w:ind w:left="23"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political and economic uncertainties in Argentina, the Company is uncertain when, or if at all, the Argentine VAT receivable will be settled. As a result, the Company recorded a provision to reduce the Argentine VAT receivable to nil starting in the fourth quarter of 2023. During the year ended December 31, 2024, the provision expense is classified within the respective expense and asset categories. </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75 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1" w:name="a_038"/>
      <w:bookmarkStart w:id="82" w:name="a_038"/>
      <w:bookmarkEnd w:id="82"/>
    </w:p>
    <w:tbl>
      <w:tblPr>
        <w:tblW w:w="5148" w:type="dxa"/>
        <w:jc w:val="left"/>
        <w:tblInd w:w="0" w:type="dxa"/>
        <w:tblLayout w:type="fixed"/>
        <w:tblCellMar>
          <w:top w:w="0" w:type="dxa"/>
          <w:left w:w="0" w:type="dxa"/>
          <w:bottom w:w="0" w:type="dxa"/>
          <w:right w:w="0" w:type="dxa"/>
        </w:tblCellMar>
      </w:tblPr>
      <w:tblGrid>
        <w:gridCol w:w="68"/>
        <w:gridCol w:w="1115"/>
        <w:gridCol w:w="396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30:</w:t>
            </w:r>
          </w:p>
        </w:tc>
        <w:tc>
          <w:tcPr>
            <w:tcW w:w="3965" w:type="dxa"/>
            <w:tcBorders/>
            <w:vAlign w:val="center"/>
          </w:tcPr>
          <w:p>
            <w:pPr>
              <w:pStyle w:val="TableContents"/>
              <w:bidi w:val="0"/>
              <w:spacing w:before="0" w:after="283"/>
              <w:jc w:val="both"/>
              <w:rPr>
                <w:b/>
              </w:rPr>
            </w:pPr>
            <w:r>
              <w:rPr>
                <w:b/>
              </w:rPr>
              <w:t>GEOGRAPHICAL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Reportable segment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segments are identified on the basis of information that is reviewed by the chief operating decision maker (“CODM”) to make decisions about resources to be allocated and to assess performance. Accordingly, for Management purposes, the Company is organized into one operating segment which meets the definition of a reportable segment, cryptocurrency Mining, which is the operation of data centers that support the validation and verification of transactions on the BTC blockchain, earning cryptocurrency for providing these services, as described in Note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by country are as follows:</w:t>
      </w:r>
    </w:p>
    <w:p>
      <w:pPr>
        <w:pStyle w:val="TextBody"/>
        <w:bidi w:val="0"/>
        <w:spacing w:before="0" w:after="0"/>
        <w:ind w:left="0" w:right="0" w:hanging="0"/>
        <w:jc w:val="both"/>
        <w:rPr>
          <w:caps w:val="false"/>
          <w:smallCaps w:val="false"/>
        </w:rPr>
      </w:pPr>
      <w:r>
        <w:rPr>
          <w:caps w:val="false"/>
          <w:smallCaps w:val="false"/>
        </w:rPr>
        <w:t> </w:t>
      </w:r>
    </w:p>
    <w:tbl>
      <w:tblPr>
        <w:tblW w:w="4521" w:type="dxa"/>
        <w:jc w:val="left"/>
        <w:tblInd w:w="0" w:type="dxa"/>
        <w:tblLayout w:type="fixed"/>
        <w:tblCellMar>
          <w:top w:w="0" w:type="dxa"/>
          <w:left w:w="0" w:type="dxa"/>
          <w:bottom w:w="28" w:type="dxa"/>
          <w:right w:w="0" w:type="dxa"/>
        </w:tblCellMar>
      </w:tblPr>
      <w:tblGrid>
        <w:gridCol w:w="1610"/>
        <w:gridCol w:w="90"/>
        <w:gridCol w:w="119"/>
        <w:gridCol w:w="1105"/>
        <w:gridCol w:w="119"/>
        <w:gridCol w:w="119"/>
        <w:gridCol w:w="119"/>
        <w:gridCol w:w="1105"/>
        <w:gridCol w:w="135"/>
      </w:tblGrid>
      <w:tr>
        <w:trPr/>
        <w:tc>
          <w:tcPr>
            <w:tcW w:w="161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86"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161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24" w:type="dxa"/>
            <w:gridSpan w:val="2"/>
            <w:tcBorders>
              <w:bottom w:val="single" w:sz="8" w:space="0" w:color="000000"/>
            </w:tcBorders>
            <w:vAlign w:val="center"/>
          </w:tcPr>
          <w:p>
            <w:pPr>
              <w:pStyle w:val="TableContents"/>
              <w:bidi w:val="0"/>
              <w:spacing w:before="0" w:after="283"/>
              <w:jc w:val="right"/>
              <w:rPr>
                <w:b/>
              </w:rPr>
            </w:pPr>
            <w:r>
              <w:rPr>
                <w:b/>
              </w:rPr>
              <w:t>2024</w:t>
            </w:r>
          </w:p>
        </w:tc>
        <w:tc>
          <w:tcPr>
            <w:tcW w:w="119" w:type="dxa"/>
            <w:tcBorders>
              <w:bottom w:val="single" w:sz="8" w:space="0" w:color="000000"/>
            </w:tcBorders>
            <w:vAlign w:val="center"/>
          </w:tcPr>
          <w:p>
            <w:pPr>
              <w:pStyle w:val="TableContents"/>
              <w:bidi w:val="0"/>
              <w:spacing w:before="0" w:after="283"/>
              <w:jc w:val="left"/>
              <w:rPr/>
            </w:pPr>
            <w:r>
              <w:rPr/>
              <w:t> </w:t>
            </w:r>
          </w:p>
        </w:tc>
        <w:tc>
          <w:tcPr>
            <w:tcW w:w="119" w:type="dxa"/>
            <w:tcBorders>
              <w:bottom w:val="single" w:sz="8" w:space="0" w:color="000000"/>
            </w:tcBorders>
            <w:vAlign w:val="center"/>
          </w:tcPr>
          <w:p>
            <w:pPr>
              <w:pStyle w:val="TableContents"/>
              <w:bidi w:val="0"/>
              <w:spacing w:before="0" w:after="283"/>
              <w:jc w:val="left"/>
              <w:rPr/>
            </w:pPr>
            <w:r>
              <w:rPr/>
              <w:t> </w:t>
            </w:r>
          </w:p>
        </w:tc>
        <w:tc>
          <w:tcPr>
            <w:tcW w:w="1224" w:type="dxa"/>
            <w:gridSpan w:val="2"/>
            <w:tcBorders>
              <w:bottom w:val="single" w:sz="8" w:space="0" w:color="000000"/>
            </w:tcBorders>
            <w:vAlign w:val="center"/>
          </w:tcPr>
          <w:p>
            <w:pPr>
              <w:pStyle w:val="TableContents"/>
              <w:bidi w:val="0"/>
              <w:spacing w:before="0" w:after="283"/>
              <w:jc w:val="right"/>
              <w:rPr/>
            </w:pPr>
            <w:r>
              <w:rPr/>
              <w:t>2023</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1610" w:type="dxa"/>
            <w:tcBorders/>
            <w:tcMar>
              <w:bottom w:w="0" w:type="dxa"/>
            </w:tcMar>
            <w:vAlign w:val="center"/>
          </w:tcPr>
          <w:p>
            <w:pPr>
              <w:pStyle w:val="TableContents"/>
              <w:bidi w:val="0"/>
              <w:spacing w:before="0" w:after="283"/>
              <w:jc w:val="left"/>
              <w:rPr>
                <w:b/>
              </w:rPr>
            </w:pPr>
            <w:r>
              <w:rPr>
                <w:b/>
              </w:rPr>
              <w:t>North America</w:t>
            </w:r>
          </w:p>
        </w:tc>
        <w:tc>
          <w:tcPr>
            <w:tcW w:w="90" w:type="dxa"/>
            <w:tcBorders/>
            <w:tcMar>
              <w:bottom w:w="0" w:type="dxa"/>
            </w:tcMar>
            <w:vAlign w:val="center"/>
          </w:tcPr>
          <w:p>
            <w:pPr>
              <w:pStyle w:val="TableContents"/>
              <w:bidi w:val="0"/>
              <w:spacing w:before="0" w:after="283"/>
              <w:jc w:val="left"/>
              <w:rPr/>
            </w:pPr>
            <w:r>
              <w:rPr/>
              <w:t> </w:t>
            </w:r>
          </w:p>
        </w:tc>
        <w:tc>
          <w:tcPr>
            <w:tcW w:w="1224" w:type="dxa"/>
            <w:gridSpan w:val="2"/>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224"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b/>
              </w:rPr>
            </w:pPr>
            <w:r>
              <w:rPr>
                <w:b/>
              </w:rPr>
              <w:t>116,846</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pPr>
            <w:r>
              <w:rPr/>
              <w:t>104,434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vAlign w:val="center"/>
          </w:tcPr>
          <w:p>
            <w:pPr>
              <w:pStyle w:val="TableContents"/>
              <w:bidi w:val="0"/>
              <w:spacing w:before="0" w:after="283"/>
              <w:jc w:val="left"/>
              <w:rPr/>
            </w:pPr>
            <w:r>
              <w:rPr/>
              <w:t>United States</w:t>
            </w:r>
          </w:p>
        </w:tc>
        <w:tc>
          <w:tcPr>
            <w:tcW w:w="90" w:type="dxa"/>
            <w:tcBorders>
              <w:bottom w:val="single" w:sz="8" w:space="0" w:color="000000"/>
            </w:tcBorders>
            <w:vAlign w:val="center"/>
          </w:tcPr>
          <w:p>
            <w:pPr>
              <w:pStyle w:val="TableContents"/>
              <w:bidi w:val="0"/>
              <w:spacing w:before="0" w:after="283"/>
              <w:jc w:val="left"/>
              <w:rPr/>
            </w:pPr>
            <w:r>
              <w:rPr/>
              <w:t> </w:t>
            </w:r>
          </w:p>
        </w:tc>
        <w:tc>
          <w:tcPr>
            <w:tcW w:w="119" w:type="dxa"/>
            <w:tcBorders>
              <w:bottom w:val="single" w:sz="8" w:space="0" w:color="000000"/>
            </w:tcBorders>
            <w:vAlign w:val="center"/>
          </w:tcPr>
          <w:p>
            <w:pPr>
              <w:pStyle w:val="TableContents"/>
              <w:bidi w:val="0"/>
              <w:spacing w:before="0" w:after="283"/>
              <w:jc w:val="left"/>
              <w:rPr/>
            </w:pPr>
            <w:r>
              <w:rPr/>
              <w:t> </w:t>
            </w:r>
          </w:p>
        </w:tc>
        <w:tc>
          <w:tcPr>
            <w:tcW w:w="1105" w:type="dxa"/>
            <w:tcBorders>
              <w:bottom w:val="single" w:sz="8" w:space="0" w:color="000000"/>
            </w:tcBorders>
            <w:vAlign w:val="center"/>
          </w:tcPr>
          <w:p>
            <w:pPr>
              <w:pStyle w:val="TableContents"/>
              <w:bidi w:val="0"/>
              <w:spacing w:before="0" w:after="283"/>
              <w:jc w:val="right"/>
              <w:rPr>
                <w:b/>
              </w:rPr>
            </w:pPr>
            <w:r>
              <w:rPr>
                <w:b/>
              </w:rPr>
              <w:t>16,428</w:t>
            </w:r>
          </w:p>
        </w:tc>
        <w:tc>
          <w:tcPr>
            <w:tcW w:w="119" w:type="dxa"/>
            <w:tcBorders>
              <w:bottom w:val="single" w:sz="8" w:space="0" w:color="000000"/>
            </w:tcBorders>
            <w:vAlign w:val="center"/>
          </w:tcPr>
          <w:p>
            <w:pPr>
              <w:pStyle w:val="TableContents"/>
              <w:bidi w:val="0"/>
              <w:spacing w:before="0" w:after="283"/>
              <w:jc w:val="left"/>
              <w:rPr/>
            </w:pPr>
            <w:r>
              <w:rPr/>
              <w:t> </w:t>
            </w:r>
          </w:p>
        </w:tc>
        <w:tc>
          <w:tcPr>
            <w:tcW w:w="119" w:type="dxa"/>
            <w:tcBorders>
              <w:bottom w:val="single" w:sz="8" w:space="0" w:color="000000"/>
            </w:tcBorders>
            <w:vAlign w:val="center"/>
          </w:tcPr>
          <w:p>
            <w:pPr>
              <w:pStyle w:val="TableContents"/>
              <w:bidi w:val="0"/>
              <w:spacing w:before="0" w:after="283"/>
              <w:jc w:val="left"/>
              <w:rPr/>
            </w:pPr>
            <w:r>
              <w:rPr/>
              <w:t> </w:t>
            </w:r>
          </w:p>
        </w:tc>
        <w:tc>
          <w:tcPr>
            <w:tcW w:w="119" w:type="dxa"/>
            <w:tcBorders>
              <w:bottom w:val="single" w:sz="8" w:space="0" w:color="000000"/>
            </w:tcBorders>
            <w:vAlign w:val="center"/>
          </w:tcPr>
          <w:p>
            <w:pPr>
              <w:pStyle w:val="TableContents"/>
              <w:bidi w:val="0"/>
              <w:spacing w:before="0" w:after="283"/>
              <w:jc w:val="left"/>
              <w:rPr/>
            </w:pPr>
            <w:r>
              <w:rPr/>
              <w:t> </w:t>
            </w:r>
          </w:p>
        </w:tc>
        <w:tc>
          <w:tcPr>
            <w:tcW w:w="1105" w:type="dxa"/>
            <w:tcBorders>
              <w:bottom w:val="single" w:sz="8" w:space="0" w:color="000000"/>
            </w:tcBorders>
            <w:vAlign w:val="center"/>
          </w:tcPr>
          <w:p>
            <w:pPr>
              <w:pStyle w:val="TableContents"/>
              <w:bidi w:val="0"/>
              <w:spacing w:before="0" w:after="283"/>
              <w:jc w:val="right"/>
              <w:rPr/>
            </w:pPr>
            <w:r>
              <w:rPr/>
              <w:t>15,966</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b/>
              </w:rPr>
            </w:pPr>
            <w:r>
              <w:rPr>
                <w:b/>
              </w:rPr>
              <w:t>133,274</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pPr>
            <w:r>
              <w:rPr/>
              <w:t>120,400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tcMar>
              <w:bottom w:w="0" w:type="dxa"/>
            </w:tcMar>
            <w:vAlign w:val="center"/>
          </w:tcPr>
          <w:p>
            <w:pPr>
              <w:pStyle w:val="TableContents"/>
              <w:bidi w:val="0"/>
              <w:spacing w:before="0" w:after="283"/>
              <w:jc w:val="left"/>
              <w:rPr>
                <w:b/>
              </w:rPr>
            </w:pPr>
            <w:r>
              <w:rPr>
                <w:b/>
              </w:rPr>
              <w:t>South America</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105" w:type="dxa"/>
            <w:tcBorders/>
            <w:tcMar>
              <w:bottom w:w="0" w:type="dxa"/>
            </w:tcMar>
            <w:vAlign w:val="center"/>
          </w:tcPr>
          <w:p>
            <w:pPr>
              <w:pStyle w:val="TableContents"/>
              <w:bidi w:val="0"/>
              <w:spacing w:before="0" w:after="283"/>
              <w:jc w:val="right"/>
              <w:rPr/>
            </w:pPr>
            <w:r>
              <w:rPr/>
              <w:t> </w:t>
            </w:r>
          </w:p>
        </w:tc>
        <w:tc>
          <w:tcPr>
            <w:tcW w:w="119"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10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Paraguay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b/>
              </w:rPr>
            </w:pPr>
            <w:r>
              <w:rPr>
                <w:b/>
              </w:rPr>
              <w:t>25,960</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pPr>
            <w:r>
              <w:rPr/>
              <w:t>6,916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bottom w:val="single" w:sz="8" w:space="0" w:color="000000"/>
            </w:tcBorders>
            <w:vAlign w:val="center"/>
          </w:tcPr>
          <w:p>
            <w:pPr>
              <w:pStyle w:val="TableContents"/>
              <w:bidi w:val="0"/>
              <w:spacing w:before="0" w:after="283"/>
              <w:jc w:val="left"/>
              <w:rPr/>
            </w:pPr>
            <w:r>
              <w:rPr/>
              <w:t>Argentina</w:t>
            </w:r>
          </w:p>
        </w:tc>
        <w:tc>
          <w:tcPr>
            <w:tcW w:w="90" w:type="dxa"/>
            <w:tcBorders>
              <w:bottom w:val="single" w:sz="8" w:space="0" w:color="000000"/>
            </w:tcBorders>
            <w:vAlign w:val="center"/>
          </w:tcPr>
          <w:p>
            <w:pPr>
              <w:pStyle w:val="TableContents"/>
              <w:bidi w:val="0"/>
              <w:spacing w:before="0" w:after="283"/>
              <w:jc w:val="left"/>
              <w:rPr/>
            </w:pPr>
            <w:r>
              <w:rPr/>
              <w:t> </w:t>
            </w:r>
          </w:p>
        </w:tc>
        <w:tc>
          <w:tcPr>
            <w:tcW w:w="119" w:type="dxa"/>
            <w:tcBorders>
              <w:bottom w:val="single" w:sz="8" w:space="0" w:color="000000"/>
            </w:tcBorders>
            <w:vAlign w:val="center"/>
          </w:tcPr>
          <w:p>
            <w:pPr>
              <w:pStyle w:val="TableContents"/>
              <w:bidi w:val="0"/>
              <w:spacing w:before="0" w:after="283"/>
              <w:jc w:val="left"/>
              <w:rPr/>
            </w:pPr>
            <w:r>
              <w:rPr/>
              <w:t> </w:t>
            </w:r>
          </w:p>
        </w:tc>
        <w:tc>
          <w:tcPr>
            <w:tcW w:w="1105" w:type="dxa"/>
            <w:tcBorders>
              <w:bottom w:val="single" w:sz="8" w:space="0" w:color="000000"/>
            </w:tcBorders>
            <w:vAlign w:val="center"/>
          </w:tcPr>
          <w:p>
            <w:pPr>
              <w:pStyle w:val="TableContents"/>
              <w:bidi w:val="0"/>
              <w:spacing w:before="0" w:after="283"/>
              <w:jc w:val="right"/>
              <w:rPr>
                <w:b/>
              </w:rPr>
            </w:pPr>
            <w:r>
              <w:rPr>
                <w:b/>
              </w:rPr>
              <w:t>33,647</w:t>
            </w:r>
          </w:p>
        </w:tc>
        <w:tc>
          <w:tcPr>
            <w:tcW w:w="119" w:type="dxa"/>
            <w:tcBorders>
              <w:bottom w:val="single" w:sz="8" w:space="0" w:color="000000"/>
            </w:tcBorders>
            <w:vAlign w:val="center"/>
          </w:tcPr>
          <w:p>
            <w:pPr>
              <w:pStyle w:val="TableContents"/>
              <w:bidi w:val="0"/>
              <w:spacing w:before="0" w:after="283"/>
              <w:jc w:val="left"/>
              <w:rPr/>
            </w:pPr>
            <w:r>
              <w:rPr/>
              <w:t> </w:t>
            </w:r>
          </w:p>
        </w:tc>
        <w:tc>
          <w:tcPr>
            <w:tcW w:w="119" w:type="dxa"/>
            <w:tcBorders>
              <w:bottom w:val="single" w:sz="8" w:space="0" w:color="000000"/>
            </w:tcBorders>
            <w:vAlign w:val="center"/>
          </w:tcPr>
          <w:p>
            <w:pPr>
              <w:pStyle w:val="TableContents"/>
              <w:bidi w:val="0"/>
              <w:spacing w:before="0" w:after="283"/>
              <w:jc w:val="left"/>
              <w:rPr/>
            </w:pPr>
            <w:r>
              <w:rPr/>
              <w:t> </w:t>
            </w:r>
          </w:p>
        </w:tc>
        <w:tc>
          <w:tcPr>
            <w:tcW w:w="119" w:type="dxa"/>
            <w:tcBorders>
              <w:bottom w:val="single" w:sz="8" w:space="0" w:color="000000"/>
            </w:tcBorders>
            <w:vAlign w:val="center"/>
          </w:tcPr>
          <w:p>
            <w:pPr>
              <w:pStyle w:val="TableContents"/>
              <w:bidi w:val="0"/>
              <w:spacing w:before="0" w:after="283"/>
              <w:jc w:val="left"/>
              <w:rPr/>
            </w:pPr>
            <w:r>
              <w:rPr/>
              <w:t> </w:t>
            </w:r>
          </w:p>
        </w:tc>
        <w:tc>
          <w:tcPr>
            <w:tcW w:w="1105" w:type="dxa"/>
            <w:tcBorders>
              <w:bottom w:val="single" w:sz="8" w:space="0" w:color="000000"/>
            </w:tcBorders>
            <w:vAlign w:val="center"/>
          </w:tcPr>
          <w:p>
            <w:pPr>
              <w:pStyle w:val="TableContents"/>
              <w:bidi w:val="0"/>
              <w:spacing w:before="0" w:after="283"/>
              <w:jc w:val="right"/>
              <w:rPr/>
            </w:pPr>
            <w:r>
              <w:rPr/>
              <w:t>19,050</w:t>
            </w:r>
          </w:p>
        </w:tc>
        <w:tc>
          <w:tcPr>
            <w:tcW w:w="135" w:type="dxa"/>
            <w:tcBorders>
              <w:bottom w:val="single" w:sz="8" w:space="0" w:color="000000"/>
            </w:tcBorders>
            <w:vAlign w:val="center"/>
          </w:tcPr>
          <w:p>
            <w:pPr>
              <w:pStyle w:val="TableContents"/>
              <w:bidi w:val="0"/>
              <w:spacing w:before="0" w:after="283"/>
              <w:jc w:val="left"/>
              <w:rPr/>
            </w:pPr>
            <w:r>
              <w:rPr/>
              <w:t> </w:t>
            </w:r>
          </w:p>
        </w:tc>
      </w:tr>
      <w:tr>
        <w:trPr/>
        <w:tc>
          <w:tcPr>
            <w:tcW w:w="161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1105" w:type="dxa"/>
            <w:tcBorders>
              <w:bottom w:val="single" w:sz="8" w:space="0" w:color="000000"/>
            </w:tcBorders>
            <w:shd w:fill="CCEEFF" w:val="clear"/>
            <w:vAlign w:val="center"/>
          </w:tcPr>
          <w:p>
            <w:pPr>
              <w:pStyle w:val="TableContents"/>
              <w:bidi w:val="0"/>
              <w:spacing w:before="0" w:after="283"/>
              <w:jc w:val="right"/>
              <w:rPr>
                <w:b/>
              </w:rPr>
            </w:pPr>
            <w:r>
              <w:rPr>
                <w:b/>
              </w:rPr>
              <w:t>59,607</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1105" w:type="dxa"/>
            <w:tcBorders>
              <w:bottom w:val="single" w:sz="8" w:space="0" w:color="000000"/>
            </w:tcBorders>
            <w:shd w:fill="CCEEFF" w:val="clear"/>
            <w:vAlign w:val="center"/>
          </w:tcPr>
          <w:p>
            <w:pPr>
              <w:pStyle w:val="TableContents"/>
              <w:bidi w:val="0"/>
              <w:spacing w:before="0" w:after="283"/>
              <w:jc w:val="right"/>
              <w:rPr/>
            </w:pPr>
            <w:r>
              <w:rPr/>
              <w:t>25,966</w:t>
            </w:r>
          </w:p>
        </w:tc>
        <w:tc>
          <w:tcPr>
            <w:tcW w:w="135"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161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19" w:type="dxa"/>
            <w:tcBorders>
              <w:bottom w:val="single" w:sz="12" w:space="0" w:color="000000"/>
            </w:tcBorders>
            <w:vAlign w:val="center"/>
          </w:tcPr>
          <w:p>
            <w:pPr>
              <w:pStyle w:val="TableContents"/>
              <w:bidi w:val="0"/>
              <w:spacing w:before="0" w:after="283"/>
              <w:jc w:val="left"/>
              <w:rPr/>
            </w:pPr>
            <w:r>
              <w:rPr/>
              <w:t> </w:t>
            </w:r>
          </w:p>
        </w:tc>
        <w:tc>
          <w:tcPr>
            <w:tcW w:w="1105" w:type="dxa"/>
            <w:tcBorders>
              <w:bottom w:val="single" w:sz="12" w:space="0" w:color="000000"/>
            </w:tcBorders>
            <w:vAlign w:val="center"/>
          </w:tcPr>
          <w:p>
            <w:pPr>
              <w:pStyle w:val="TableContents"/>
              <w:bidi w:val="0"/>
              <w:spacing w:before="0" w:after="283"/>
              <w:jc w:val="right"/>
              <w:rPr>
                <w:b/>
              </w:rPr>
            </w:pPr>
            <w:r>
              <w:rPr>
                <w:b/>
              </w:rPr>
              <w:t>192,881</w:t>
            </w:r>
          </w:p>
        </w:tc>
        <w:tc>
          <w:tcPr>
            <w:tcW w:w="119" w:type="dxa"/>
            <w:tcBorders>
              <w:bottom w:val="single" w:sz="12" w:space="0" w:color="000000"/>
            </w:tcBorders>
            <w:vAlign w:val="center"/>
          </w:tcPr>
          <w:p>
            <w:pPr>
              <w:pStyle w:val="TableContents"/>
              <w:bidi w:val="0"/>
              <w:spacing w:before="0" w:after="283"/>
              <w:jc w:val="left"/>
              <w:rPr/>
            </w:pPr>
            <w:r>
              <w:rPr/>
              <w:t> </w:t>
            </w:r>
          </w:p>
        </w:tc>
        <w:tc>
          <w:tcPr>
            <w:tcW w:w="119" w:type="dxa"/>
            <w:tcBorders>
              <w:bottom w:val="single" w:sz="12" w:space="0" w:color="000000"/>
            </w:tcBorders>
            <w:vAlign w:val="center"/>
          </w:tcPr>
          <w:p>
            <w:pPr>
              <w:pStyle w:val="TableContents"/>
              <w:bidi w:val="0"/>
              <w:spacing w:before="0" w:after="283"/>
              <w:jc w:val="left"/>
              <w:rPr/>
            </w:pPr>
            <w:r>
              <w:rPr/>
              <w:t> </w:t>
            </w:r>
          </w:p>
        </w:tc>
        <w:tc>
          <w:tcPr>
            <w:tcW w:w="119" w:type="dxa"/>
            <w:tcBorders>
              <w:bottom w:val="single" w:sz="12" w:space="0" w:color="000000"/>
            </w:tcBorders>
            <w:vAlign w:val="center"/>
          </w:tcPr>
          <w:p>
            <w:pPr>
              <w:pStyle w:val="TableContents"/>
              <w:bidi w:val="0"/>
              <w:spacing w:before="0" w:after="283"/>
              <w:jc w:val="left"/>
              <w:rPr/>
            </w:pPr>
            <w:r>
              <w:rPr/>
              <w:t> </w:t>
            </w:r>
          </w:p>
        </w:tc>
        <w:tc>
          <w:tcPr>
            <w:tcW w:w="1105" w:type="dxa"/>
            <w:tcBorders>
              <w:bottom w:val="single" w:sz="12" w:space="0" w:color="000000"/>
            </w:tcBorders>
            <w:vAlign w:val="center"/>
          </w:tcPr>
          <w:p>
            <w:pPr>
              <w:pStyle w:val="TableContents"/>
              <w:bidi w:val="0"/>
              <w:spacing w:before="0" w:after="283"/>
              <w:jc w:val="right"/>
              <w:rPr/>
            </w:pPr>
            <w:r>
              <w:rPr/>
              <w:t>146,366</w:t>
            </w:r>
          </w:p>
        </w:tc>
        <w:tc>
          <w:tcPr>
            <w:tcW w:w="135"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presented based on the geographical contribution of computational power used for hashing calculations (measured by hashrate) or sales to external customers. During the years ended December 31, 2024 and 2023, the Company earned 97% and 97% of its revenues, respectively, from one Mining pool operator. The Company has the ability to switch Mining Pools or to mine independently at any time.</w:t>
      </w:r>
    </w:p>
    <w:p>
      <w:pPr>
        <w:pStyle w:val="TextBody"/>
        <w:bidi w:val="0"/>
        <w:spacing w:before="0" w:after="0"/>
        <w:ind w:left="11"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 and other non-current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book value of property, plant and equipment and other non-current assets (excluding financial assets and deferred tax assets) by country is as follows:</w:t>
      </w:r>
    </w:p>
    <w:tbl>
      <w:tblPr>
        <w:tblW w:w="10205" w:type="dxa"/>
        <w:jc w:val="left"/>
        <w:tblInd w:w="0" w:type="dxa"/>
        <w:tblLayout w:type="fixed"/>
        <w:tblCellMar>
          <w:top w:w="0" w:type="dxa"/>
          <w:left w:w="0" w:type="dxa"/>
          <w:bottom w:w="28" w:type="dxa"/>
          <w:right w:w="0" w:type="dxa"/>
        </w:tblCellMar>
      </w:tblPr>
      <w:tblGrid>
        <w:gridCol w:w="1453"/>
        <w:gridCol w:w="90"/>
        <w:gridCol w:w="90"/>
        <w:gridCol w:w="830"/>
        <w:gridCol w:w="90"/>
        <w:gridCol w:w="90"/>
        <w:gridCol w:w="90"/>
        <w:gridCol w:w="710"/>
        <w:gridCol w:w="90"/>
        <w:gridCol w:w="90"/>
        <w:gridCol w:w="213"/>
        <w:gridCol w:w="1974"/>
        <w:gridCol w:w="90"/>
        <w:gridCol w:w="90"/>
        <w:gridCol w:w="90"/>
        <w:gridCol w:w="830"/>
        <w:gridCol w:w="90"/>
        <w:gridCol w:w="90"/>
        <w:gridCol w:w="90"/>
        <w:gridCol w:w="710"/>
        <w:gridCol w:w="90"/>
        <w:gridCol w:w="90"/>
        <w:gridCol w:w="194"/>
        <w:gridCol w:w="1803"/>
        <w:gridCol w:w="138"/>
      </w:tblGrid>
      <w:tr>
        <w:trPr/>
        <w:tc>
          <w:tcPr>
            <w:tcW w:w="1453"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4267" w:type="dxa"/>
            <w:gridSpan w:val="10"/>
            <w:tcBorders>
              <w:bottom w:val="single" w:sz="8" w:space="0" w:color="000000"/>
            </w:tcBorders>
            <w:vAlign w:val="center"/>
          </w:tcPr>
          <w:p>
            <w:pPr>
              <w:pStyle w:val="TableContents"/>
              <w:bidi w:val="0"/>
              <w:spacing w:before="0" w:after="283"/>
              <w:jc w:val="right"/>
              <w:rPr>
                <w:b/>
              </w:rPr>
            </w:pPr>
            <w:r>
              <w:rPr>
                <w:b/>
              </w:rPr>
              <w:t>As of December 31,</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4077" w:type="dxa"/>
            <w:gridSpan w:val="10"/>
            <w:tcBorders>
              <w:bottom w:val="single" w:sz="8" w:space="0" w:color="000000"/>
            </w:tcBorders>
            <w:vAlign w:val="center"/>
          </w:tcPr>
          <w:p>
            <w:pPr>
              <w:pStyle w:val="TableContents"/>
              <w:bidi w:val="0"/>
              <w:spacing w:before="0" w:after="283"/>
              <w:jc w:val="right"/>
              <w:rPr>
                <w:b/>
              </w:rPr>
            </w:pPr>
            <w:r>
              <w:rPr>
                <w:b/>
              </w:rPr>
              <w:t>As of December 31,</w:t>
            </w:r>
          </w:p>
        </w:tc>
        <w:tc>
          <w:tcPr>
            <w:tcW w:w="138" w:type="dxa"/>
            <w:tcBorders>
              <w:bottom w:val="single" w:sz="8" w:space="0" w:color="000000"/>
            </w:tcBorders>
            <w:vAlign w:val="center"/>
          </w:tcPr>
          <w:p>
            <w:pPr>
              <w:pStyle w:val="TableContents"/>
              <w:bidi w:val="0"/>
              <w:spacing w:before="0" w:after="283"/>
              <w:jc w:val="left"/>
              <w:rPr/>
            </w:pPr>
            <w:r>
              <w:rPr/>
              <w:t> </w:t>
            </w:r>
          </w:p>
        </w:tc>
      </w:tr>
      <w:tr>
        <w:trPr/>
        <w:tc>
          <w:tcPr>
            <w:tcW w:w="1453"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4267" w:type="dxa"/>
            <w:gridSpan w:val="10"/>
            <w:tcBorders>
              <w:bottom w:val="single" w:sz="8" w:space="0" w:color="000000"/>
            </w:tcBorders>
            <w:vAlign w:val="center"/>
          </w:tcPr>
          <w:p>
            <w:pPr>
              <w:pStyle w:val="TableContents"/>
              <w:bidi w:val="0"/>
              <w:spacing w:before="0" w:after="283"/>
              <w:jc w:val="right"/>
              <w:rPr>
                <w:b/>
              </w:rPr>
            </w:pPr>
            <w:r>
              <w:rPr>
                <w:b/>
              </w:rPr>
              <w:t>2024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4077" w:type="dxa"/>
            <w:gridSpan w:val="10"/>
            <w:tcBorders>
              <w:bottom w:val="single" w:sz="8" w:space="0" w:color="000000"/>
            </w:tcBorders>
            <w:vAlign w:val="center"/>
          </w:tcPr>
          <w:p>
            <w:pPr>
              <w:pStyle w:val="TableContents"/>
              <w:bidi w:val="0"/>
              <w:spacing w:before="0" w:after="283"/>
              <w:jc w:val="right"/>
              <w:rPr/>
            </w:pPr>
            <w:r>
              <w:rPr/>
              <w:t>2023</w:t>
            </w:r>
          </w:p>
        </w:tc>
        <w:tc>
          <w:tcPr>
            <w:tcW w:w="138" w:type="dxa"/>
            <w:tcBorders>
              <w:bottom w:val="single" w:sz="8" w:space="0" w:color="000000"/>
            </w:tcBorders>
            <w:vAlign w:val="center"/>
          </w:tcPr>
          <w:p>
            <w:pPr>
              <w:pStyle w:val="TableContents"/>
              <w:bidi w:val="0"/>
              <w:spacing w:before="0" w:after="283"/>
              <w:jc w:val="left"/>
              <w:rPr/>
            </w:pPr>
            <w:r>
              <w:rPr/>
              <w:t> </w:t>
            </w:r>
          </w:p>
        </w:tc>
      </w:tr>
      <w:tr>
        <w:trPr/>
        <w:tc>
          <w:tcPr>
            <w:tcW w:w="1453"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right"/>
              <w:rPr>
                <w:b/>
              </w:rPr>
            </w:pPr>
            <w:r>
              <w:rPr>
                <w:b/>
              </w:rPr>
              <w:t>PPE</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right"/>
              <w:rPr>
                <w:b/>
              </w:rPr>
            </w:pPr>
            <w:r>
              <w:rPr>
                <w:b/>
              </w:rPr>
              <w:t>Other</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187" w:type="dxa"/>
            <w:gridSpan w:val="2"/>
            <w:tcBorders>
              <w:bottom w:val="single" w:sz="8" w:space="0" w:color="000000"/>
            </w:tcBorders>
            <w:vAlign w:val="center"/>
          </w:tcPr>
          <w:p>
            <w:pPr>
              <w:pStyle w:val="TableContents"/>
              <w:bidi w:val="0"/>
              <w:spacing w:before="0" w:after="283"/>
              <w:jc w:val="right"/>
              <w:rPr>
                <w:b/>
              </w:rPr>
            </w:pPr>
            <w:r>
              <w:rPr>
                <w:b/>
              </w:rPr>
              <w:t>Total non-current assets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right"/>
              <w:rPr/>
            </w:pPr>
            <w:r>
              <w:rPr/>
              <w:t>PPE</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right"/>
              <w:rPr/>
            </w:pPr>
            <w:r>
              <w:rPr/>
              <w:t>Other</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97" w:type="dxa"/>
            <w:gridSpan w:val="2"/>
            <w:tcBorders>
              <w:bottom w:val="single" w:sz="8" w:space="0" w:color="000000"/>
            </w:tcBorders>
            <w:vAlign w:val="center"/>
          </w:tcPr>
          <w:p>
            <w:pPr>
              <w:pStyle w:val="TableContents"/>
              <w:bidi w:val="0"/>
              <w:spacing w:before="0" w:after="283"/>
              <w:jc w:val="right"/>
              <w:rPr/>
            </w:pPr>
            <w:r>
              <w:rPr/>
              <w:t>Total non-current assets</w:t>
            </w:r>
          </w:p>
        </w:tc>
        <w:tc>
          <w:tcPr>
            <w:tcW w:w="138" w:type="dxa"/>
            <w:tcBorders>
              <w:bottom w:val="single" w:sz="8" w:space="0" w:color="000000"/>
            </w:tcBorders>
            <w:vAlign w:val="center"/>
          </w:tcPr>
          <w:p>
            <w:pPr>
              <w:pStyle w:val="TableContents"/>
              <w:bidi w:val="0"/>
              <w:spacing w:before="0" w:after="283"/>
              <w:jc w:val="left"/>
              <w:rPr/>
            </w:pPr>
            <w:r>
              <w:rPr/>
              <w:t> </w:t>
            </w:r>
          </w:p>
        </w:tc>
      </w:tr>
      <w:tr>
        <w:trPr/>
        <w:tc>
          <w:tcPr>
            <w:tcW w:w="1453" w:type="dxa"/>
            <w:tcBorders/>
            <w:tcMar>
              <w:bottom w:w="0" w:type="dxa"/>
            </w:tcMar>
            <w:vAlign w:val="center"/>
          </w:tcPr>
          <w:p>
            <w:pPr>
              <w:pStyle w:val="TableContents"/>
              <w:bidi w:val="0"/>
              <w:spacing w:before="0" w:after="283"/>
              <w:jc w:val="left"/>
              <w:rPr>
                <w:b/>
              </w:rPr>
            </w:pPr>
            <w:r>
              <w:rPr>
                <w:b/>
              </w:rPr>
              <w:t>North America</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87"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97" w:type="dxa"/>
            <w:gridSpan w:val="2"/>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r>
      <w:tr>
        <w:trPr/>
        <w:tc>
          <w:tcPr>
            <w:tcW w:w="1453" w:type="dxa"/>
            <w:tcBorders/>
            <w:shd w:fill="CCEEFF" w:val="clear"/>
            <w:tcMar>
              <w:bottom w:w="0" w:type="dxa"/>
            </w:tcMar>
            <w:vAlign w:val="center"/>
          </w:tcPr>
          <w:p>
            <w:pPr>
              <w:pStyle w:val="TableContents"/>
              <w:bidi w:val="0"/>
              <w:spacing w:before="0" w:after="283"/>
              <w:jc w:val="left"/>
              <w:rPr/>
            </w:pPr>
            <w:r>
              <w:rPr/>
              <w:t>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117,615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54,291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974" w:type="dxa"/>
            <w:tcBorders/>
            <w:shd w:fill="CCEEFF" w:val="clear"/>
            <w:tcMar>
              <w:bottom w:w="0" w:type="dxa"/>
            </w:tcMar>
            <w:vAlign w:val="center"/>
          </w:tcPr>
          <w:p>
            <w:pPr>
              <w:pStyle w:val="TableContents"/>
              <w:bidi w:val="0"/>
              <w:spacing w:before="0" w:after="283"/>
              <w:jc w:val="right"/>
              <w:rPr>
                <w:b/>
              </w:rPr>
            </w:pPr>
            <w:r>
              <w:rPr>
                <w:b/>
              </w:rPr>
              <w:t>171,906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101,454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48,974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803" w:type="dxa"/>
            <w:tcBorders/>
            <w:shd w:fill="CCEEFF" w:val="clear"/>
            <w:tcMar>
              <w:bottom w:w="0" w:type="dxa"/>
            </w:tcMar>
            <w:vAlign w:val="center"/>
          </w:tcPr>
          <w:p>
            <w:pPr>
              <w:pStyle w:val="TableContents"/>
              <w:bidi w:val="0"/>
              <w:spacing w:before="0" w:after="283"/>
              <w:jc w:val="right"/>
              <w:rPr/>
            </w:pPr>
            <w:r>
              <w:rPr/>
              <w:t>150,428</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53" w:type="dxa"/>
            <w:tcBorders>
              <w:bottom w:val="single" w:sz="8" w:space="0" w:color="000000"/>
            </w:tcBorders>
            <w:vAlign w:val="center"/>
          </w:tcPr>
          <w:p>
            <w:pPr>
              <w:pStyle w:val="TableContents"/>
              <w:bidi w:val="0"/>
              <w:spacing w:before="0" w:after="283"/>
              <w:jc w:val="left"/>
              <w:rPr/>
            </w:pPr>
            <w:r>
              <w:rPr/>
              <w:t>United States</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b/>
              </w:rPr>
            </w:pPr>
            <w:r>
              <w:rPr>
                <w:b/>
              </w:rPr>
              <w:t>62,854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b/>
              </w:rPr>
            </w:pPr>
            <w:r>
              <w:rPr>
                <w:b/>
              </w:rPr>
              <w:t>15,491</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13" w:type="dxa"/>
            <w:tcBorders>
              <w:bottom w:val="single" w:sz="8" w:space="0" w:color="000000"/>
            </w:tcBorders>
            <w:vAlign w:val="center"/>
          </w:tcPr>
          <w:p>
            <w:pPr>
              <w:pStyle w:val="TableContents"/>
              <w:bidi w:val="0"/>
              <w:spacing w:before="0" w:after="283"/>
              <w:jc w:val="left"/>
              <w:rPr/>
            </w:pPr>
            <w:r>
              <w:rPr/>
              <w:t> </w:t>
            </w:r>
          </w:p>
        </w:tc>
        <w:tc>
          <w:tcPr>
            <w:tcW w:w="1974" w:type="dxa"/>
            <w:tcBorders>
              <w:bottom w:val="single" w:sz="8" w:space="0" w:color="000000"/>
            </w:tcBorders>
            <w:vAlign w:val="center"/>
          </w:tcPr>
          <w:p>
            <w:pPr>
              <w:pStyle w:val="TableContents"/>
              <w:bidi w:val="0"/>
              <w:spacing w:before="0" w:after="283"/>
              <w:jc w:val="right"/>
              <w:rPr>
                <w:b/>
              </w:rPr>
            </w:pPr>
            <w:r>
              <w:rPr>
                <w:b/>
              </w:rPr>
              <w:t>78,345</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18,154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pPr>
            <w:r>
              <w:rPr/>
              <w:t>2,038</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4" w:type="dxa"/>
            <w:tcBorders>
              <w:bottom w:val="single" w:sz="8" w:space="0" w:color="000000"/>
            </w:tcBorders>
            <w:vAlign w:val="center"/>
          </w:tcPr>
          <w:p>
            <w:pPr>
              <w:pStyle w:val="TableContents"/>
              <w:bidi w:val="0"/>
              <w:spacing w:before="0" w:after="283"/>
              <w:jc w:val="left"/>
              <w:rPr/>
            </w:pPr>
            <w:r>
              <w:rPr/>
              <w:t> </w:t>
            </w:r>
          </w:p>
        </w:tc>
        <w:tc>
          <w:tcPr>
            <w:tcW w:w="1803" w:type="dxa"/>
            <w:tcBorders>
              <w:bottom w:val="single" w:sz="8" w:space="0" w:color="000000"/>
            </w:tcBorders>
            <w:vAlign w:val="center"/>
          </w:tcPr>
          <w:p>
            <w:pPr>
              <w:pStyle w:val="TableContents"/>
              <w:bidi w:val="0"/>
              <w:spacing w:before="0" w:after="283"/>
              <w:jc w:val="right"/>
              <w:rPr/>
            </w:pPr>
            <w:r>
              <w:rPr/>
              <w:t>20,192</w:t>
            </w:r>
          </w:p>
        </w:tc>
        <w:tc>
          <w:tcPr>
            <w:tcW w:w="138" w:type="dxa"/>
            <w:tcBorders>
              <w:bottom w:val="single" w:sz="8" w:space="0" w:color="000000"/>
            </w:tcBorders>
            <w:vAlign w:val="center"/>
          </w:tcPr>
          <w:p>
            <w:pPr>
              <w:pStyle w:val="TableContents"/>
              <w:bidi w:val="0"/>
              <w:spacing w:before="0" w:after="283"/>
              <w:jc w:val="left"/>
              <w:rPr/>
            </w:pPr>
            <w:r>
              <w:rPr/>
              <w:t> </w:t>
            </w:r>
          </w:p>
        </w:tc>
      </w:tr>
      <w:tr>
        <w:trPr/>
        <w:tc>
          <w:tcPr>
            <w:tcW w:w="145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180,469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69,782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974" w:type="dxa"/>
            <w:tcBorders/>
            <w:shd w:fill="CCEEFF" w:val="clear"/>
            <w:tcMar>
              <w:bottom w:w="0" w:type="dxa"/>
            </w:tcMar>
            <w:vAlign w:val="center"/>
          </w:tcPr>
          <w:p>
            <w:pPr>
              <w:pStyle w:val="TableContents"/>
              <w:bidi w:val="0"/>
              <w:spacing w:before="0" w:after="283"/>
              <w:jc w:val="right"/>
              <w:rPr>
                <w:b/>
              </w:rPr>
            </w:pPr>
            <w:r>
              <w:rPr>
                <w:b/>
              </w:rPr>
              <w:t>250,251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119,608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51,012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803" w:type="dxa"/>
            <w:tcBorders/>
            <w:shd w:fill="CCEEFF" w:val="clear"/>
            <w:tcMar>
              <w:bottom w:w="0" w:type="dxa"/>
            </w:tcMar>
            <w:vAlign w:val="center"/>
          </w:tcPr>
          <w:p>
            <w:pPr>
              <w:pStyle w:val="TableContents"/>
              <w:bidi w:val="0"/>
              <w:spacing w:before="0" w:after="283"/>
              <w:jc w:val="right"/>
              <w:rPr/>
            </w:pPr>
            <w:r>
              <w:rPr/>
              <w:t>170,620</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53" w:type="dxa"/>
            <w:tcBorders/>
            <w:tcMar>
              <w:bottom w:w="0" w:type="dxa"/>
            </w:tcMar>
            <w:vAlign w:val="center"/>
          </w:tcPr>
          <w:p>
            <w:pPr>
              <w:pStyle w:val="TableContents"/>
              <w:bidi w:val="0"/>
              <w:spacing w:before="0" w:after="283"/>
              <w:jc w:val="left"/>
              <w:rPr>
                <w:b/>
              </w:rPr>
            </w:pPr>
            <w:r>
              <w:rPr>
                <w:b/>
              </w:rPr>
              <w:t>South America</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3" w:type="dxa"/>
            <w:tcBorders/>
            <w:tcMar>
              <w:bottom w:w="0" w:type="dxa"/>
            </w:tcMar>
            <w:vAlign w:val="center"/>
          </w:tcPr>
          <w:p>
            <w:pPr>
              <w:pStyle w:val="TableContents"/>
              <w:bidi w:val="0"/>
              <w:spacing w:before="0" w:after="283"/>
              <w:jc w:val="left"/>
              <w:rPr/>
            </w:pPr>
            <w:r>
              <w:rPr/>
              <w:t> </w:t>
            </w:r>
          </w:p>
        </w:tc>
        <w:tc>
          <w:tcPr>
            <w:tcW w:w="197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4" w:type="dxa"/>
            <w:tcBorders/>
            <w:tcMar>
              <w:bottom w:w="0" w:type="dxa"/>
            </w:tcMar>
            <w:vAlign w:val="center"/>
          </w:tcPr>
          <w:p>
            <w:pPr>
              <w:pStyle w:val="TableContents"/>
              <w:bidi w:val="0"/>
              <w:spacing w:before="0" w:after="283"/>
              <w:jc w:val="left"/>
              <w:rPr/>
            </w:pPr>
            <w:r>
              <w:rPr/>
              <w:t> </w:t>
            </w:r>
          </w:p>
        </w:tc>
        <w:tc>
          <w:tcPr>
            <w:tcW w:w="1803" w:type="dxa"/>
            <w:tcBorders/>
            <w:tcMar>
              <w:bottom w:w="0" w:type="dxa"/>
            </w:tcMar>
            <w:vAlign w:val="center"/>
          </w:tcPr>
          <w:p>
            <w:pPr>
              <w:pStyle w:val="TableContents"/>
              <w:bidi w:val="0"/>
              <w:spacing w:before="0" w:after="283"/>
              <w:jc w:val="right"/>
              <w:rPr/>
            </w:pPr>
            <w:r>
              <w:rPr/>
              <w:t> </w:t>
            </w:r>
          </w:p>
        </w:tc>
        <w:tc>
          <w:tcPr>
            <w:tcW w:w="138" w:type="dxa"/>
            <w:tcBorders/>
            <w:tcMar>
              <w:bottom w:w="0" w:type="dxa"/>
            </w:tcMar>
            <w:vAlign w:val="center"/>
          </w:tcPr>
          <w:p>
            <w:pPr>
              <w:pStyle w:val="TableContents"/>
              <w:bidi w:val="0"/>
              <w:spacing w:before="0" w:after="283"/>
              <w:jc w:val="left"/>
              <w:rPr/>
            </w:pPr>
            <w:r>
              <w:rPr/>
              <w:t> </w:t>
            </w:r>
          </w:p>
        </w:tc>
      </w:tr>
      <w:tr>
        <w:trPr/>
        <w:tc>
          <w:tcPr>
            <w:tcW w:w="1453" w:type="dxa"/>
            <w:tcBorders/>
            <w:shd w:fill="CCEEFF" w:val="clear"/>
            <w:tcMar>
              <w:bottom w:w="0" w:type="dxa"/>
            </w:tcMar>
            <w:vAlign w:val="center"/>
          </w:tcPr>
          <w:p>
            <w:pPr>
              <w:pStyle w:val="TableContents"/>
              <w:bidi w:val="0"/>
              <w:spacing w:before="0" w:after="283"/>
              <w:jc w:val="left"/>
              <w:rPr/>
            </w:pPr>
            <w:r>
              <w:rPr/>
              <w:t>Paraguay</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b/>
              </w:rPr>
            </w:pPr>
            <w:r>
              <w:rPr>
                <w:b/>
              </w:rPr>
              <w:t>112,452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b/>
              </w:rPr>
            </w:pPr>
            <w:r>
              <w:rPr>
                <w:b/>
              </w:rPr>
              <w:t>12,594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974" w:type="dxa"/>
            <w:tcBorders/>
            <w:shd w:fill="CCEEFF" w:val="clear"/>
            <w:tcMar>
              <w:bottom w:w="0" w:type="dxa"/>
            </w:tcMar>
            <w:vAlign w:val="center"/>
          </w:tcPr>
          <w:p>
            <w:pPr>
              <w:pStyle w:val="TableContents"/>
              <w:bidi w:val="0"/>
              <w:spacing w:before="0" w:after="283"/>
              <w:jc w:val="right"/>
              <w:rPr>
                <w:b/>
              </w:rPr>
            </w:pPr>
            <w:r>
              <w:rPr>
                <w:b/>
              </w:rPr>
              <w:t>125,046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11,747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6,041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803" w:type="dxa"/>
            <w:tcBorders/>
            <w:shd w:fill="CCEEFF" w:val="clear"/>
            <w:tcMar>
              <w:bottom w:w="0" w:type="dxa"/>
            </w:tcMar>
            <w:vAlign w:val="center"/>
          </w:tcPr>
          <w:p>
            <w:pPr>
              <w:pStyle w:val="TableContents"/>
              <w:bidi w:val="0"/>
              <w:spacing w:before="0" w:after="283"/>
              <w:jc w:val="right"/>
              <w:rPr/>
            </w:pPr>
            <w:r>
              <w:rPr/>
              <w:t>17,788</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53" w:type="dxa"/>
            <w:tcBorders>
              <w:bottom w:val="single" w:sz="8" w:space="0" w:color="000000"/>
            </w:tcBorders>
            <w:vAlign w:val="center"/>
          </w:tcPr>
          <w:p>
            <w:pPr>
              <w:pStyle w:val="TableContents"/>
              <w:bidi w:val="0"/>
              <w:spacing w:before="0" w:after="283"/>
              <w:jc w:val="left"/>
              <w:rPr/>
            </w:pPr>
            <w:r>
              <w:rPr/>
              <w:t>Argentina</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b/>
              </w:rPr>
            </w:pPr>
            <w:r>
              <w:rPr>
                <w:b/>
              </w:rPr>
              <w:t>55,604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b/>
              </w:rPr>
            </w:pPr>
            <w:r>
              <w:rPr>
                <w:b/>
              </w:rPr>
              <w:t>1,050</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13" w:type="dxa"/>
            <w:tcBorders>
              <w:bottom w:val="single" w:sz="8" w:space="0" w:color="000000"/>
            </w:tcBorders>
            <w:vAlign w:val="center"/>
          </w:tcPr>
          <w:p>
            <w:pPr>
              <w:pStyle w:val="TableContents"/>
              <w:bidi w:val="0"/>
              <w:spacing w:before="0" w:after="283"/>
              <w:jc w:val="left"/>
              <w:rPr/>
            </w:pPr>
            <w:r>
              <w:rPr/>
              <w:t> </w:t>
            </w:r>
          </w:p>
        </w:tc>
        <w:tc>
          <w:tcPr>
            <w:tcW w:w="1974" w:type="dxa"/>
            <w:tcBorders>
              <w:bottom w:val="single" w:sz="8" w:space="0" w:color="000000"/>
            </w:tcBorders>
            <w:vAlign w:val="center"/>
          </w:tcPr>
          <w:p>
            <w:pPr>
              <w:pStyle w:val="TableContents"/>
              <w:bidi w:val="0"/>
              <w:spacing w:before="0" w:after="283"/>
              <w:jc w:val="right"/>
              <w:rPr>
                <w:b/>
              </w:rPr>
            </w:pPr>
            <w:r>
              <w:rPr>
                <w:b/>
              </w:rPr>
              <w:t>56,654</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830" w:type="dxa"/>
            <w:tcBorders>
              <w:bottom w:val="single" w:sz="8" w:space="0" w:color="000000"/>
            </w:tcBorders>
            <w:vAlign w:val="center"/>
          </w:tcPr>
          <w:p>
            <w:pPr>
              <w:pStyle w:val="TableContents"/>
              <w:bidi w:val="0"/>
              <w:spacing w:before="0" w:after="283"/>
              <w:jc w:val="right"/>
              <w:rPr/>
            </w:pPr>
            <w:r>
              <w:rPr/>
              <w:t>54,657</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pPr>
            <w:r>
              <w:rPr/>
              <w:t>5,399</w:t>
            </w:r>
          </w:p>
        </w:tc>
        <w:tc>
          <w:tcPr>
            <w:tcW w:w="90"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94" w:type="dxa"/>
            <w:tcBorders>
              <w:bottom w:val="single" w:sz="8" w:space="0" w:color="000000"/>
            </w:tcBorders>
            <w:vAlign w:val="center"/>
          </w:tcPr>
          <w:p>
            <w:pPr>
              <w:pStyle w:val="TableContents"/>
              <w:bidi w:val="0"/>
              <w:spacing w:before="0" w:after="283"/>
              <w:jc w:val="left"/>
              <w:rPr/>
            </w:pPr>
            <w:r>
              <w:rPr/>
              <w:t> </w:t>
            </w:r>
          </w:p>
        </w:tc>
        <w:tc>
          <w:tcPr>
            <w:tcW w:w="1803" w:type="dxa"/>
            <w:tcBorders>
              <w:bottom w:val="single" w:sz="8" w:space="0" w:color="000000"/>
            </w:tcBorders>
            <w:vAlign w:val="center"/>
          </w:tcPr>
          <w:p>
            <w:pPr>
              <w:pStyle w:val="TableContents"/>
              <w:bidi w:val="0"/>
              <w:spacing w:before="0" w:after="283"/>
              <w:jc w:val="right"/>
              <w:rPr/>
            </w:pPr>
            <w:r>
              <w:rPr/>
              <w:t>60,056</w:t>
            </w:r>
          </w:p>
        </w:tc>
        <w:tc>
          <w:tcPr>
            <w:tcW w:w="138" w:type="dxa"/>
            <w:tcBorders>
              <w:bottom w:val="single" w:sz="8" w:space="0" w:color="000000"/>
            </w:tcBorders>
            <w:vAlign w:val="center"/>
          </w:tcPr>
          <w:p>
            <w:pPr>
              <w:pStyle w:val="TableContents"/>
              <w:bidi w:val="0"/>
              <w:spacing w:before="0" w:after="283"/>
              <w:jc w:val="left"/>
              <w:rPr/>
            </w:pPr>
            <w:r>
              <w:rPr/>
              <w:t> </w:t>
            </w:r>
          </w:p>
        </w:tc>
      </w:tr>
      <w:tr>
        <w:trPr/>
        <w:tc>
          <w:tcPr>
            <w:tcW w:w="1453"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b/>
              </w:rPr>
            </w:pPr>
            <w:r>
              <w:rPr>
                <w:b/>
              </w:rPr>
              <w:t>168,056</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b/>
              </w:rPr>
            </w:pPr>
            <w:r>
              <w:rPr>
                <w:b/>
              </w:rPr>
              <w:t>13,644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vAlign w:val="center"/>
          </w:tcPr>
          <w:p>
            <w:pPr>
              <w:pStyle w:val="TableContents"/>
              <w:bidi w:val="0"/>
              <w:spacing w:before="0" w:after="283"/>
              <w:jc w:val="left"/>
              <w:rPr/>
            </w:pPr>
            <w:r>
              <w:rPr/>
              <w:t> </w:t>
            </w:r>
          </w:p>
        </w:tc>
        <w:tc>
          <w:tcPr>
            <w:tcW w:w="1974" w:type="dxa"/>
            <w:tcBorders>
              <w:bottom w:val="single" w:sz="8" w:space="0" w:color="000000"/>
            </w:tcBorders>
            <w:shd w:fill="CCEEFF" w:val="clear"/>
            <w:vAlign w:val="center"/>
          </w:tcPr>
          <w:p>
            <w:pPr>
              <w:pStyle w:val="TableContents"/>
              <w:bidi w:val="0"/>
              <w:spacing w:before="0" w:after="283"/>
              <w:jc w:val="right"/>
              <w:rPr>
                <w:b/>
              </w:rPr>
            </w:pPr>
            <w:r>
              <w:rPr>
                <w:b/>
              </w:rPr>
              <w:t>181,700</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66,404</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710" w:type="dxa"/>
            <w:tcBorders>
              <w:bottom w:val="single" w:sz="8" w:space="0" w:color="000000"/>
            </w:tcBorders>
            <w:shd w:fill="CCEEFF" w:val="clear"/>
            <w:vAlign w:val="center"/>
          </w:tcPr>
          <w:p>
            <w:pPr>
              <w:pStyle w:val="TableContents"/>
              <w:bidi w:val="0"/>
              <w:spacing w:before="0" w:after="283"/>
              <w:jc w:val="right"/>
              <w:rPr/>
            </w:pPr>
            <w:r>
              <w:rPr/>
              <w:t>11,440</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vAlign w:val="center"/>
          </w:tcPr>
          <w:p>
            <w:pPr>
              <w:pStyle w:val="TableContents"/>
              <w:bidi w:val="0"/>
              <w:spacing w:before="0" w:after="283"/>
              <w:jc w:val="left"/>
              <w:rPr/>
            </w:pPr>
            <w:r>
              <w:rPr/>
              <w:t> </w:t>
            </w:r>
          </w:p>
        </w:tc>
        <w:tc>
          <w:tcPr>
            <w:tcW w:w="1803" w:type="dxa"/>
            <w:tcBorders>
              <w:bottom w:val="single" w:sz="8" w:space="0" w:color="000000"/>
            </w:tcBorders>
            <w:shd w:fill="CCEEFF" w:val="clear"/>
            <w:vAlign w:val="center"/>
          </w:tcPr>
          <w:p>
            <w:pPr>
              <w:pStyle w:val="TableContents"/>
              <w:bidi w:val="0"/>
              <w:spacing w:before="0" w:after="283"/>
              <w:jc w:val="right"/>
              <w:rPr/>
            </w:pPr>
            <w:r>
              <w:rPr/>
              <w:t>77,844</w:t>
            </w:r>
          </w:p>
        </w:tc>
        <w:tc>
          <w:tcPr>
            <w:tcW w:w="138"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1453"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b/>
              </w:rPr>
            </w:pPr>
            <w:r>
              <w:rPr>
                <w:b/>
              </w:rPr>
              <w:t>348,525</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b/>
              </w:rPr>
            </w:pPr>
            <w:r>
              <w:rPr>
                <w:b/>
              </w:rPr>
              <w:t>83,426</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213" w:type="dxa"/>
            <w:tcBorders>
              <w:bottom w:val="single" w:sz="12" w:space="0" w:color="000000"/>
            </w:tcBorders>
            <w:vAlign w:val="center"/>
          </w:tcPr>
          <w:p>
            <w:pPr>
              <w:pStyle w:val="TableContents"/>
              <w:bidi w:val="0"/>
              <w:spacing w:before="0" w:after="283"/>
              <w:jc w:val="left"/>
              <w:rPr/>
            </w:pPr>
            <w:r>
              <w:rPr/>
              <w:t> </w:t>
            </w:r>
          </w:p>
        </w:tc>
        <w:tc>
          <w:tcPr>
            <w:tcW w:w="1974" w:type="dxa"/>
            <w:tcBorders>
              <w:bottom w:val="single" w:sz="12" w:space="0" w:color="000000"/>
            </w:tcBorders>
            <w:vAlign w:val="center"/>
          </w:tcPr>
          <w:p>
            <w:pPr>
              <w:pStyle w:val="TableContents"/>
              <w:bidi w:val="0"/>
              <w:spacing w:before="0" w:after="283"/>
              <w:jc w:val="right"/>
              <w:rPr>
                <w:b/>
              </w:rPr>
            </w:pPr>
            <w:r>
              <w:rPr>
                <w:b/>
              </w:rPr>
              <w:t>431,951</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186,012</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right"/>
              <w:rPr/>
            </w:pPr>
            <w:r>
              <w:rPr/>
              <w:t>62,452</w:t>
            </w:r>
          </w:p>
        </w:tc>
        <w:tc>
          <w:tcPr>
            <w:tcW w:w="9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94" w:type="dxa"/>
            <w:tcBorders>
              <w:bottom w:val="single" w:sz="12" w:space="0" w:color="000000"/>
            </w:tcBorders>
            <w:vAlign w:val="center"/>
          </w:tcPr>
          <w:p>
            <w:pPr>
              <w:pStyle w:val="TableContents"/>
              <w:bidi w:val="0"/>
              <w:spacing w:before="0" w:after="283"/>
              <w:jc w:val="left"/>
              <w:rPr/>
            </w:pPr>
            <w:r>
              <w:rPr/>
              <w:t> </w:t>
            </w:r>
          </w:p>
        </w:tc>
        <w:tc>
          <w:tcPr>
            <w:tcW w:w="1803" w:type="dxa"/>
            <w:tcBorders>
              <w:bottom w:val="single" w:sz="12" w:space="0" w:color="000000"/>
            </w:tcBorders>
            <w:vAlign w:val="center"/>
          </w:tcPr>
          <w:p>
            <w:pPr>
              <w:pStyle w:val="TableContents"/>
              <w:bidi w:val="0"/>
              <w:spacing w:before="0" w:after="283"/>
              <w:jc w:val="right"/>
              <w:rPr/>
            </w:pPr>
            <w:r>
              <w:rPr/>
              <w:t>248,464</w:t>
            </w:r>
          </w:p>
        </w:tc>
        <w:tc>
          <w:tcPr>
            <w:tcW w:w="138"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76 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3" w:name="a_039"/>
      <w:bookmarkStart w:id="84" w:name="a_039"/>
      <w:bookmarkEnd w:id="84"/>
    </w:p>
    <w:tbl>
      <w:tblPr>
        <w:tblW w:w="8778" w:type="dxa"/>
        <w:jc w:val="left"/>
        <w:tblInd w:w="0" w:type="dxa"/>
        <w:tblLayout w:type="fixed"/>
        <w:tblCellMar>
          <w:top w:w="0" w:type="dxa"/>
          <w:left w:w="0" w:type="dxa"/>
          <w:bottom w:w="0" w:type="dxa"/>
          <w:right w:w="0" w:type="dxa"/>
        </w:tblCellMar>
      </w:tblPr>
      <w:tblGrid>
        <w:gridCol w:w="68"/>
        <w:gridCol w:w="1115"/>
        <w:gridCol w:w="759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31:</w:t>
            </w:r>
          </w:p>
        </w:tc>
        <w:tc>
          <w:tcPr>
            <w:tcW w:w="7595" w:type="dxa"/>
            <w:tcBorders/>
            <w:vAlign w:val="center"/>
          </w:tcPr>
          <w:p>
            <w:pPr>
              <w:pStyle w:val="TableContents"/>
              <w:bidi w:val="0"/>
              <w:spacing w:before="0" w:after="283"/>
              <w:jc w:val="both"/>
              <w:rPr>
                <w:b/>
              </w:rPr>
            </w:pPr>
            <w:r>
              <w:rPr>
                <w:b/>
              </w:rPr>
              <w:t>ADDITIONAL DETAILS TO THE STATEMENTS OF CASH FLOWS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41"/>
        <w:gridCol w:w="90"/>
        <w:gridCol w:w="121"/>
        <w:gridCol w:w="1116"/>
        <w:gridCol w:w="167"/>
        <w:gridCol w:w="121"/>
        <w:gridCol w:w="121"/>
        <w:gridCol w:w="955"/>
        <w:gridCol w:w="173"/>
      </w:tblGrid>
      <w:tr>
        <w:trPr/>
        <w:tc>
          <w:tcPr>
            <w:tcW w:w="7341"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2601"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73" w:type="dxa"/>
            <w:tcBorders>
              <w:bottom w:val="single" w:sz="8" w:space="0" w:color="000000"/>
            </w:tcBorders>
            <w:vAlign w:val="center"/>
          </w:tcPr>
          <w:p>
            <w:pPr>
              <w:pStyle w:val="TableContents"/>
              <w:bidi w:val="0"/>
              <w:spacing w:before="0" w:after="283"/>
              <w:jc w:val="left"/>
              <w:rPr/>
            </w:pPr>
            <w:r>
              <w:rPr/>
              <w:t> </w:t>
            </w:r>
          </w:p>
        </w:tc>
      </w:tr>
      <w:tr>
        <w:trPr/>
        <w:tc>
          <w:tcPr>
            <w:tcW w:w="7341" w:type="dxa"/>
            <w:tcBorders>
              <w:bottom w:val="single" w:sz="8" w:space="0" w:color="000000"/>
            </w:tcBorders>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1237" w:type="dxa"/>
            <w:gridSpan w:val="2"/>
            <w:tcBorders>
              <w:bottom w:val="single" w:sz="8" w:space="0" w:color="000000"/>
            </w:tcBorders>
            <w:vAlign w:val="center"/>
          </w:tcPr>
          <w:p>
            <w:pPr>
              <w:pStyle w:val="TableContents"/>
              <w:bidi w:val="0"/>
              <w:spacing w:before="0" w:after="283"/>
              <w:jc w:val="right"/>
              <w:rPr>
                <w:b/>
              </w:rPr>
            </w:pPr>
            <w:r>
              <w:rPr>
                <w:b/>
              </w:rPr>
              <w:t>2024</w:t>
            </w:r>
          </w:p>
        </w:tc>
        <w:tc>
          <w:tcPr>
            <w:tcW w:w="167" w:type="dxa"/>
            <w:tcBorders>
              <w:bottom w:val="single" w:sz="8" w:space="0" w:color="000000"/>
            </w:tcBorders>
            <w:vAlign w:val="center"/>
          </w:tcPr>
          <w:p>
            <w:pPr>
              <w:pStyle w:val="TableContents"/>
              <w:bidi w:val="0"/>
              <w:spacing w:before="0" w:after="283"/>
              <w:jc w:val="left"/>
              <w:rPr/>
            </w:pPr>
            <w:r>
              <w:rPr/>
              <w:t> </w:t>
            </w:r>
          </w:p>
        </w:tc>
        <w:tc>
          <w:tcPr>
            <w:tcW w:w="121" w:type="dxa"/>
            <w:tcBorders>
              <w:bottom w:val="single" w:sz="8" w:space="0" w:color="000000"/>
            </w:tcBorders>
            <w:vAlign w:val="center"/>
          </w:tcPr>
          <w:p>
            <w:pPr>
              <w:pStyle w:val="TableContents"/>
              <w:bidi w:val="0"/>
              <w:spacing w:before="0" w:after="283"/>
              <w:jc w:val="left"/>
              <w:rPr/>
            </w:pPr>
            <w:r>
              <w:rPr/>
              <w:t> </w:t>
            </w:r>
          </w:p>
        </w:tc>
        <w:tc>
          <w:tcPr>
            <w:tcW w:w="1076" w:type="dxa"/>
            <w:gridSpan w:val="2"/>
            <w:tcBorders>
              <w:bottom w:val="single" w:sz="8" w:space="0" w:color="000000"/>
            </w:tcBorders>
            <w:vAlign w:val="center"/>
          </w:tcPr>
          <w:p>
            <w:pPr>
              <w:pStyle w:val="TableContents"/>
              <w:bidi w:val="0"/>
              <w:spacing w:before="0" w:after="283"/>
              <w:jc w:val="right"/>
              <w:rPr>
                <w:b/>
              </w:rPr>
            </w:pPr>
            <w:r>
              <w:rPr>
                <w:b/>
              </w:rPr>
              <w:t>2023</w:t>
            </w:r>
          </w:p>
        </w:tc>
        <w:tc>
          <w:tcPr>
            <w:tcW w:w="173" w:type="dxa"/>
            <w:tcBorders>
              <w:bottom w:val="single" w:sz="8" w:space="0" w:color="000000"/>
            </w:tcBorders>
            <w:vAlign w:val="center"/>
          </w:tcPr>
          <w:p>
            <w:pPr>
              <w:pStyle w:val="TableContents"/>
              <w:bidi w:val="0"/>
              <w:spacing w:before="0" w:after="283"/>
              <w:jc w:val="left"/>
              <w:rPr/>
            </w:pPr>
            <w:r>
              <w:rPr/>
              <w:t> </w:t>
            </w:r>
          </w:p>
        </w:tc>
      </w:tr>
      <w:tr>
        <w:trPr/>
        <w:tc>
          <w:tcPr>
            <w:tcW w:w="7341" w:type="dxa"/>
            <w:tcBorders/>
            <w:tcMar>
              <w:bottom w:w="0" w:type="dxa"/>
            </w:tcMar>
            <w:vAlign w:val="center"/>
          </w:tcPr>
          <w:p>
            <w:pPr>
              <w:pStyle w:val="TableContents"/>
              <w:bidi w:val="0"/>
              <w:spacing w:before="0" w:after="283"/>
              <w:jc w:val="left"/>
              <w:rPr>
                <w:b/>
              </w:rPr>
            </w:pPr>
            <w:r>
              <w:rPr>
                <w:b/>
              </w:rPr>
              <w:t>Changes in working capital components:</w:t>
            </w:r>
          </w:p>
        </w:tc>
        <w:tc>
          <w:tcPr>
            <w:tcW w:w="90" w:type="dxa"/>
            <w:tcBorders/>
            <w:tcMar>
              <w:bottom w:w="0" w:type="dxa"/>
            </w:tcMar>
            <w:vAlign w:val="center"/>
          </w:tcPr>
          <w:p>
            <w:pPr>
              <w:pStyle w:val="TableContents"/>
              <w:bidi w:val="0"/>
              <w:spacing w:before="0" w:after="283"/>
              <w:jc w:val="left"/>
              <w:rPr/>
            </w:pPr>
            <w:r>
              <w:rPr/>
              <w:t> </w:t>
            </w:r>
          </w:p>
        </w:tc>
        <w:tc>
          <w:tcPr>
            <w:tcW w:w="1237" w:type="dxa"/>
            <w:gridSpan w:val="2"/>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076" w:type="dxa"/>
            <w:gridSpan w:val="2"/>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r>
      <w:tr>
        <w:trPr/>
        <w:tc>
          <w:tcPr>
            <w:tcW w:w="7341" w:type="dxa"/>
            <w:tcBorders/>
            <w:shd w:fill="CCEEFF" w:val="clear"/>
            <w:tcMar>
              <w:bottom w:w="0" w:type="dxa"/>
            </w:tcMar>
            <w:vAlign w:val="center"/>
          </w:tcPr>
          <w:p>
            <w:pPr>
              <w:pStyle w:val="TableContents"/>
              <w:bidi w:val="0"/>
              <w:spacing w:before="0" w:after="283"/>
              <w:jc w:val="left"/>
              <w:rPr/>
            </w:pPr>
            <w:r>
              <w:rPr/>
              <w:t>Increase in trade receivables, net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b/>
              </w:rPr>
            </w:pPr>
            <w:r>
              <w:rPr>
                <w:b/>
              </w:rPr>
              <w:t>(545</w:t>
            </w:r>
          </w:p>
        </w:tc>
        <w:tc>
          <w:tcPr>
            <w:tcW w:w="167" w:type="dxa"/>
            <w:tcBorders/>
            <w:shd w:fill="CCEEFF" w:val="clear"/>
            <w:tcMar>
              <w:bottom w:w="0" w:type="dxa"/>
            </w:tcMar>
            <w:vAlign w:val="center"/>
          </w:tcPr>
          <w:p>
            <w:pPr>
              <w:pStyle w:val="TableContents"/>
              <w:bidi w:val="0"/>
              <w:spacing w:before="0" w:after="283"/>
              <w:jc w:val="left"/>
              <w:rPr>
                <w:b/>
              </w:rPr>
            </w:pPr>
            <w:r>
              <w:rPr>
                <w:b/>
              </w:rPr>
              <w:t>)</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(13</w:t>
            </w:r>
          </w:p>
        </w:tc>
        <w:tc>
          <w:tcPr>
            <w:tcW w:w="173" w:type="dxa"/>
            <w:tcBorders/>
            <w:shd w:fill="CCEEFF" w:val="clear"/>
            <w:tcMar>
              <w:bottom w:w="0" w:type="dxa"/>
            </w:tcMar>
            <w:vAlign w:val="center"/>
          </w:tcPr>
          <w:p>
            <w:pPr>
              <w:pStyle w:val="TableContents"/>
              <w:bidi w:val="0"/>
              <w:spacing w:before="0" w:after="283"/>
              <w:jc w:val="left"/>
              <w:rPr/>
            </w:pPr>
            <w:r>
              <w:rPr/>
              <w:t>)</w:t>
            </w:r>
          </w:p>
        </w:tc>
      </w:tr>
      <w:tr>
        <w:trPr/>
        <w:tc>
          <w:tcPr>
            <w:tcW w:w="7341" w:type="dxa"/>
            <w:tcBorders/>
            <w:tcMar>
              <w:bottom w:w="0" w:type="dxa"/>
            </w:tcMar>
            <w:vAlign w:val="center"/>
          </w:tcPr>
          <w:p>
            <w:pPr>
              <w:pStyle w:val="TableContents"/>
              <w:bidi w:val="0"/>
              <w:spacing w:before="0" w:after="283"/>
              <w:jc w:val="left"/>
              <w:rPr/>
            </w:pPr>
            <w:r>
              <w:rPr/>
              <w:t>Decrease in other current assets</w:t>
            </w:r>
          </w:p>
        </w:tc>
        <w:tc>
          <w:tcPr>
            <w:tcW w:w="90"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116" w:type="dxa"/>
            <w:tcBorders/>
            <w:tcMar>
              <w:bottom w:w="0" w:type="dxa"/>
            </w:tcMar>
            <w:vAlign w:val="center"/>
          </w:tcPr>
          <w:p>
            <w:pPr>
              <w:pStyle w:val="TableContents"/>
              <w:bidi w:val="0"/>
              <w:spacing w:before="0" w:after="283"/>
              <w:jc w:val="right"/>
              <w:rPr>
                <w:b/>
              </w:rPr>
            </w:pPr>
            <w:r>
              <w:rPr>
                <w:b/>
              </w:rPr>
              <w:t>2,342</w:t>
            </w:r>
          </w:p>
        </w:tc>
        <w:tc>
          <w:tcPr>
            <w:tcW w:w="167"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right"/>
              <w:rPr/>
            </w:pPr>
            <w:r>
              <w:rPr/>
              <w:t>1,104</w:t>
            </w:r>
          </w:p>
        </w:tc>
        <w:tc>
          <w:tcPr>
            <w:tcW w:w="173" w:type="dxa"/>
            <w:tcBorders/>
            <w:tcMar>
              <w:bottom w:w="0" w:type="dxa"/>
            </w:tcMar>
            <w:vAlign w:val="center"/>
          </w:tcPr>
          <w:p>
            <w:pPr>
              <w:pStyle w:val="TableContents"/>
              <w:bidi w:val="0"/>
              <w:spacing w:before="0" w:after="283"/>
              <w:jc w:val="left"/>
              <w:rPr/>
            </w:pPr>
            <w:r>
              <w:rPr/>
              <w:t> </w:t>
            </w:r>
          </w:p>
        </w:tc>
      </w:tr>
      <w:tr>
        <w:trPr/>
        <w:tc>
          <w:tcPr>
            <w:tcW w:w="7341" w:type="dxa"/>
            <w:tcBorders/>
            <w:shd w:fill="CCEEFF" w:val="clear"/>
            <w:tcMar>
              <w:bottom w:w="0" w:type="dxa"/>
            </w:tcMar>
            <w:vAlign w:val="center"/>
          </w:tcPr>
          <w:p>
            <w:pPr>
              <w:pStyle w:val="TableContents"/>
              <w:bidi w:val="0"/>
              <w:spacing w:before="0" w:after="283"/>
              <w:jc w:val="left"/>
              <w:rPr/>
            </w:pPr>
            <w:r>
              <w:rPr/>
              <w:t>Increase in electrical component inventory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b/>
              </w:rPr>
            </w:pPr>
            <w:r>
              <w:rPr>
                <w:b/>
              </w:rPr>
              <w:t>(475</w:t>
            </w:r>
          </w:p>
        </w:tc>
        <w:tc>
          <w:tcPr>
            <w:tcW w:w="167" w:type="dxa"/>
            <w:tcBorders/>
            <w:shd w:fill="CCEEFF" w:val="clear"/>
            <w:tcMar>
              <w:bottom w:w="0" w:type="dxa"/>
            </w:tcMar>
            <w:vAlign w:val="center"/>
          </w:tcPr>
          <w:p>
            <w:pPr>
              <w:pStyle w:val="TableContents"/>
              <w:bidi w:val="0"/>
              <w:spacing w:before="0" w:after="283"/>
              <w:jc w:val="left"/>
              <w:rPr>
                <w:b/>
              </w:rPr>
            </w:pPr>
            <w:r>
              <w:rPr>
                <w:b/>
              </w:rPr>
              <w:t>)</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(117</w:t>
            </w:r>
          </w:p>
        </w:tc>
        <w:tc>
          <w:tcPr>
            <w:tcW w:w="173" w:type="dxa"/>
            <w:tcBorders/>
            <w:shd w:fill="CCEEFF" w:val="clear"/>
            <w:tcMar>
              <w:bottom w:w="0" w:type="dxa"/>
            </w:tcMar>
            <w:vAlign w:val="center"/>
          </w:tcPr>
          <w:p>
            <w:pPr>
              <w:pStyle w:val="TableContents"/>
              <w:bidi w:val="0"/>
              <w:spacing w:before="0" w:after="283"/>
              <w:jc w:val="left"/>
              <w:rPr/>
            </w:pPr>
            <w:r>
              <w:rPr/>
              <w:t>)</w:t>
            </w:r>
          </w:p>
        </w:tc>
      </w:tr>
      <w:tr>
        <w:trPr/>
        <w:tc>
          <w:tcPr>
            <w:tcW w:w="7341" w:type="dxa"/>
            <w:tcBorders/>
            <w:tcMar>
              <w:bottom w:w="0" w:type="dxa"/>
            </w:tcMar>
            <w:vAlign w:val="center"/>
          </w:tcPr>
          <w:p>
            <w:pPr>
              <w:pStyle w:val="TableContents"/>
              <w:bidi w:val="0"/>
              <w:spacing w:before="0" w:after="283"/>
              <w:jc w:val="left"/>
              <w:rPr/>
            </w:pPr>
            <w:r>
              <w:rPr/>
              <w:t>Decrease in deposits</w:t>
            </w:r>
          </w:p>
        </w:tc>
        <w:tc>
          <w:tcPr>
            <w:tcW w:w="90"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116" w:type="dxa"/>
            <w:tcBorders/>
            <w:tcMar>
              <w:bottom w:w="0" w:type="dxa"/>
            </w:tcMar>
            <w:vAlign w:val="center"/>
          </w:tcPr>
          <w:p>
            <w:pPr>
              <w:pStyle w:val="TableContents"/>
              <w:bidi w:val="0"/>
              <w:spacing w:before="0" w:after="283"/>
              <w:jc w:val="right"/>
              <w:rPr>
                <w:b/>
              </w:rPr>
            </w:pPr>
            <w:r>
              <w:rPr>
                <w:b/>
              </w:rPr>
              <w:t>5,467</w:t>
            </w:r>
          </w:p>
        </w:tc>
        <w:tc>
          <w:tcPr>
            <w:tcW w:w="167"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right"/>
              <w:rPr/>
            </w:pPr>
            <w:r>
              <w:rPr/>
              <w:t>420</w:t>
            </w:r>
          </w:p>
        </w:tc>
        <w:tc>
          <w:tcPr>
            <w:tcW w:w="173" w:type="dxa"/>
            <w:tcBorders/>
            <w:tcMar>
              <w:bottom w:w="0" w:type="dxa"/>
            </w:tcMar>
            <w:vAlign w:val="center"/>
          </w:tcPr>
          <w:p>
            <w:pPr>
              <w:pStyle w:val="TableContents"/>
              <w:bidi w:val="0"/>
              <w:spacing w:before="0" w:after="283"/>
              <w:jc w:val="left"/>
              <w:rPr/>
            </w:pPr>
            <w:r>
              <w:rPr/>
              <w:t> </w:t>
            </w:r>
          </w:p>
        </w:tc>
      </w:tr>
      <w:tr>
        <w:trPr/>
        <w:tc>
          <w:tcPr>
            <w:tcW w:w="7341" w:type="dxa"/>
            <w:tcBorders/>
            <w:shd w:fill="CCEEFF" w:val="clear"/>
            <w:tcMar>
              <w:bottom w:w="0" w:type="dxa"/>
            </w:tcMar>
            <w:vAlign w:val="center"/>
          </w:tcPr>
          <w:p>
            <w:pPr>
              <w:pStyle w:val="TableContents"/>
              <w:bidi w:val="0"/>
              <w:spacing w:before="0" w:after="283"/>
              <w:jc w:val="left"/>
              <w:rPr/>
            </w:pPr>
            <w:r>
              <w:rPr/>
              <w:t>Decrease in trade payables and accrued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b/>
              </w:rPr>
            </w:pPr>
            <w:r>
              <w:rPr>
                <w:b/>
              </w:rPr>
              <w:t>(15,827</w:t>
            </w:r>
          </w:p>
        </w:tc>
        <w:tc>
          <w:tcPr>
            <w:tcW w:w="167" w:type="dxa"/>
            <w:tcBorders/>
            <w:shd w:fill="CCEEFF" w:val="clear"/>
            <w:tcMar>
              <w:bottom w:w="0" w:type="dxa"/>
            </w:tcMar>
            <w:vAlign w:val="center"/>
          </w:tcPr>
          <w:p>
            <w:pPr>
              <w:pStyle w:val="TableContents"/>
              <w:bidi w:val="0"/>
              <w:spacing w:before="0" w:after="283"/>
              <w:jc w:val="left"/>
              <w:rPr>
                <w:b/>
              </w:rPr>
            </w:pPr>
            <w:r>
              <w:rPr>
                <w:b/>
              </w:rPr>
              <w:t>)</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(315</w:t>
            </w:r>
          </w:p>
        </w:tc>
        <w:tc>
          <w:tcPr>
            <w:tcW w:w="173" w:type="dxa"/>
            <w:tcBorders/>
            <w:shd w:fill="CCEEFF" w:val="clear"/>
            <w:tcMar>
              <w:bottom w:w="0" w:type="dxa"/>
            </w:tcMar>
            <w:vAlign w:val="center"/>
          </w:tcPr>
          <w:p>
            <w:pPr>
              <w:pStyle w:val="TableContents"/>
              <w:bidi w:val="0"/>
              <w:spacing w:before="0" w:after="283"/>
              <w:jc w:val="left"/>
              <w:rPr/>
            </w:pPr>
            <w:r>
              <w:rPr/>
              <w:t>)</w:t>
            </w:r>
          </w:p>
        </w:tc>
      </w:tr>
      <w:tr>
        <w:trPr/>
        <w:tc>
          <w:tcPr>
            <w:tcW w:w="7341" w:type="dxa"/>
            <w:tcBorders>
              <w:bottom w:val="single" w:sz="8" w:space="0" w:color="000000"/>
            </w:tcBorders>
            <w:vAlign w:val="center"/>
          </w:tcPr>
          <w:p>
            <w:pPr>
              <w:pStyle w:val="TableContents"/>
              <w:bidi w:val="0"/>
              <w:spacing w:before="0" w:after="283"/>
              <w:jc w:val="left"/>
              <w:rPr/>
            </w:pPr>
            <w:r>
              <w:rPr/>
              <w:t>Increase (decrease) in taxes payable</w:t>
            </w:r>
          </w:p>
        </w:tc>
        <w:tc>
          <w:tcPr>
            <w:tcW w:w="90" w:type="dxa"/>
            <w:tcBorders>
              <w:bottom w:val="single" w:sz="8" w:space="0" w:color="000000"/>
            </w:tcBorders>
            <w:vAlign w:val="center"/>
          </w:tcPr>
          <w:p>
            <w:pPr>
              <w:pStyle w:val="TableContents"/>
              <w:bidi w:val="0"/>
              <w:spacing w:before="0" w:after="283"/>
              <w:jc w:val="left"/>
              <w:rPr/>
            </w:pPr>
            <w:r>
              <w:rPr/>
              <w:t> </w:t>
            </w:r>
          </w:p>
        </w:tc>
        <w:tc>
          <w:tcPr>
            <w:tcW w:w="121" w:type="dxa"/>
            <w:tcBorders>
              <w:bottom w:val="single" w:sz="8" w:space="0" w:color="000000"/>
            </w:tcBorders>
            <w:vAlign w:val="center"/>
          </w:tcPr>
          <w:p>
            <w:pPr>
              <w:pStyle w:val="TableContents"/>
              <w:bidi w:val="0"/>
              <w:spacing w:before="0" w:after="283"/>
              <w:jc w:val="left"/>
              <w:rPr/>
            </w:pPr>
            <w:r>
              <w:rPr/>
              <w:t> </w:t>
            </w:r>
          </w:p>
        </w:tc>
        <w:tc>
          <w:tcPr>
            <w:tcW w:w="1116" w:type="dxa"/>
            <w:tcBorders>
              <w:bottom w:val="single" w:sz="8" w:space="0" w:color="000000"/>
            </w:tcBorders>
            <w:vAlign w:val="center"/>
          </w:tcPr>
          <w:p>
            <w:pPr>
              <w:pStyle w:val="TableContents"/>
              <w:bidi w:val="0"/>
              <w:spacing w:before="0" w:after="283"/>
              <w:jc w:val="right"/>
              <w:rPr>
                <w:b/>
              </w:rPr>
            </w:pPr>
            <w:r>
              <w:rPr>
                <w:b/>
              </w:rPr>
              <w:t>(178</w:t>
            </w:r>
          </w:p>
        </w:tc>
        <w:tc>
          <w:tcPr>
            <w:tcW w:w="167" w:type="dxa"/>
            <w:tcBorders>
              <w:bottom w:val="single" w:sz="8" w:space="0" w:color="000000"/>
            </w:tcBorders>
            <w:vAlign w:val="center"/>
          </w:tcPr>
          <w:p>
            <w:pPr>
              <w:pStyle w:val="TableContents"/>
              <w:bidi w:val="0"/>
              <w:spacing w:before="0" w:after="283"/>
              <w:jc w:val="left"/>
              <w:rPr>
                <w:b/>
              </w:rPr>
            </w:pPr>
            <w:r>
              <w:rPr>
                <w:b/>
              </w:rPr>
              <w:t>)</w:t>
            </w:r>
          </w:p>
        </w:tc>
        <w:tc>
          <w:tcPr>
            <w:tcW w:w="121" w:type="dxa"/>
            <w:tcBorders>
              <w:bottom w:val="single" w:sz="8" w:space="0" w:color="000000"/>
            </w:tcBorders>
            <w:vAlign w:val="center"/>
          </w:tcPr>
          <w:p>
            <w:pPr>
              <w:pStyle w:val="TableContents"/>
              <w:bidi w:val="0"/>
              <w:spacing w:before="0" w:after="283"/>
              <w:jc w:val="left"/>
              <w:rPr/>
            </w:pPr>
            <w:r>
              <w:rPr/>
              <w:t> </w:t>
            </w:r>
          </w:p>
        </w:tc>
        <w:tc>
          <w:tcPr>
            <w:tcW w:w="121" w:type="dxa"/>
            <w:tcBorders>
              <w:bottom w:val="single" w:sz="8" w:space="0" w:color="000000"/>
            </w:tcBorders>
            <w:vAlign w:val="center"/>
          </w:tcPr>
          <w:p>
            <w:pPr>
              <w:pStyle w:val="TableContents"/>
              <w:bidi w:val="0"/>
              <w:spacing w:before="0" w:after="283"/>
              <w:jc w:val="left"/>
              <w:rPr/>
            </w:pPr>
            <w:r>
              <w:rPr/>
              <w:t> </w:t>
            </w:r>
          </w:p>
        </w:tc>
        <w:tc>
          <w:tcPr>
            <w:tcW w:w="955" w:type="dxa"/>
            <w:tcBorders>
              <w:bottom w:val="single" w:sz="8" w:space="0" w:color="000000"/>
            </w:tcBorders>
            <w:vAlign w:val="center"/>
          </w:tcPr>
          <w:p>
            <w:pPr>
              <w:pStyle w:val="TableContents"/>
              <w:bidi w:val="0"/>
              <w:spacing w:before="0" w:after="283"/>
              <w:jc w:val="right"/>
              <w:rPr/>
            </w:pPr>
            <w:r>
              <w:rPr/>
              <w:t>156</w:t>
            </w:r>
          </w:p>
        </w:tc>
        <w:tc>
          <w:tcPr>
            <w:tcW w:w="173" w:type="dxa"/>
            <w:tcBorders>
              <w:bottom w:val="single" w:sz="8" w:space="0" w:color="000000"/>
            </w:tcBorders>
            <w:vAlign w:val="center"/>
          </w:tcPr>
          <w:p>
            <w:pPr>
              <w:pStyle w:val="TableContents"/>
              <w:bidi w:val="0"/>
              <w:spacing w:before="0" w:after="283"/>
              <w:jc w:val="left"/>
              <w:rPr/>
            </w:pPr>
            <w:r>
              <w:rPr/>
              <w:t> </w:t>
            </w:r>
          </w:p>
        </w:tc>
      </w:tr>
      <w:tr>
        <w:trPr/>
        <w:tc>
          <w:tcPr>
            <w:tcW w:w="7341" w:type="dxa"/>
            <w:tcBorders>
              <w:bottom w:val="single" w:sz="8" w:space="0" w:color="000000"/>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vAlign w:val="center"/>
          </w:tcPr>
          <w:p>
            <w:pPr>
              <w:pStyle w:val="TableContents"/>
              <w:bidi w:val="0"/>
              <w:spacing w:before="0" w:after="283"/>
              <w:jc w:val="left"/>
              <w:rPr/>
            </w:pPr>
            <w:r>
              <w:rPr/>
              <w:t> </w:t>
            </w:r>
          </w:p>
        </w:tc>
        <w:tc>
          <w:tcPr>
            <w:tcW w:w="1116" w:type="dxa"/>
            <w:tcBorders>
              <w:bottom w:val="single" w:sz="8" w:space="0" w:color="000000"/>
            </w:tcBorders>
            <w:shd w:fill="CCEEFF" w:val="clear"/>
            <w:vAlign w:val="center"/>
          </w:tcPr>
          <w:p>
            <w:pPr>
              <w:pStyle w:val="TableContents"/>
              <w:bidi w:val="0"/>
              <w:spacing w:before="0" w:after="283"/>
              <w:jc w:val="right"/>
              <w:rPr>
                <w:b/>
              </w:rPr>
            </w:pPr>
            <w:r>
              <w:rPr>
                <w:b/>
              </w:rPr>
              <w:t>(9,216</w:t>
            </w:r>
          </w:p>
        </w:tc>
        <w:tc>
          <w:tcPr>
            <w:tcW w:w="167"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1" w:type="dxa"/>
            <w:tcBorders>
              <w:bottom w:val="single" w:sz="8" w:space="0" w:color="000000"/>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vAlign w:val="center"/>
          </w:tcPr>
          <w:p>
            <w:pPr>
              <w:pStyle w:val="TableContents"/>
              <w:bidi w:val="0"/>
              <w:spacing w:before="0" w:after="283"/>
              <w:jc w:val="left"/>
              <w:rPr/>
            </w:pPr>
            <w:r>
              <w:rPr/>
              <w:t> </w:t>
            </w:r>
          </w:p>
        </w:tc>
        <w:tc>
          <w:tcPr>
            <w:tcW w:w="955" w:type="dxa"/>
            <w:tcBorders>
              <w:bottom w:val="single" w:sz="8" w:space="0" w:color="000000"/>
            </w:tcBorders>
            <w:shd w:fill="CCEEFF" w:val="clear"/>
            <w:vAlign w:val="center"/>
          </w:tcPr>
          <w:p>
            <w:pPr>
              <w:pStyle w:val="TableContents"/>
              <w:bidi w:val="0"/>
              <w:spacing w:before="0" w:after="283"/>
              <w:jc w:val="right"/>
              <w:rPr/>
            </w:pPr>
            <w:r>
              <w:rPr/>
              <w:t>1,235</w:t>
            </w:r>
          </w:p>
        </w:tc>
        <w:tc>
          <w:tcPr>
            <w:tcW w:w="173"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734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116" w:type="dxa"/>
            <w:tcBorders/>
            <w:tcMar>
              <w:bottom w:w="0" w:type="dxa"/>
            </w:tcMar>
            <w:vAlign w:val="center"/>
          </w:tcPr>
          <w:p>
            <w:pPr>
              <w:pStyle w:val="TableContents"/>
              <w:bidi w:val="0"/>
              <w:spacing w:before="0" w:after="283"/>
              <w:jc w:val="right"/>
              <w:rPr/>
            </w:pPr>
            <w:r>
              <w:rPr/>
              <w:t> </w:t>
            </w:r>
          </w:p>
        </w:tc>
        <w:tc>
          <w:tcPr>
            <w:tcW w:w="167"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right"/>
              <w:rPr/>
            </w:pPr>
            <w:r>
              <w:rPr/>
              <w:t> </w:t>
            </w:r>
          </w:p>
        </w:tc>
        <w:tc>
          <w:tcPr>
            <w:tcW w:w="173" w:type="dxa"/>
            <w:tcBorders/>
            <w:tcMar>
              <w:bottom w:w="0" w:type="dxa"/>
            </w:tcMar>
            <w:vAlign w:val="center"/>
          </w:tcPr>
          <w:p>
            <w:pPr>
              <w:pStyle w:val="TableContents"/>
              <w:bidi w:val="0"/>
              <w:spacing w:before="0" w:after="283"/>
              <w:jc w:val="left"/>
              <w:rPr/>
            </w:pPr>
            <w:r>
              <w:rPr/>
              <w:t> </w:t>
            </w:r>
          </w:p>
        </w:tc>
      </w:tr>
      <w:tr>
        <w:trPr/>
        <w:tc>
          <w:tcPr>
            <w:tcW w:w="7341" w:type="dxa"/>
            <w:tcBorders/>
            <w:shd w:fill="CCEEFF" w:val="clear"/>
            <w:tcMar>
              <w:bottom w:w="0" w:type="dxa"/>
            </w:tcMar>
            <w:vAlign w:val="center"/>
          </w:tcPr>
          <w:p>
            <w:pPr>
              <w:pStyle w:val="TableContents"/>
              <w:bidi w:val="0"/>
              <w:spacing w:before="0" w:after="283"/>
              <w:jc w:val="left"/>
              <w:rPr>
                <w:b/>
              </w:rPr>
            </w:pPr>
            <w:r>
              <w:rPr>
                <w:b/>
              </w:rPr>
              <w:t>Significant non-cash transactions: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7341" w:type="dxa"/>
            <w:tcBorders/>
            <w:tcMar>
              <w:bottom w:w="0" w:type="dxa"/>
            </w:tcMar>
            <w:vAlign w:val="center"/>
          </w:tcPr>
          <w:p>
            <w:pPr>
              <w:pStyle w:val="TableContents"/>
              <w:bidi w:val="0"/>
              <w:spacing w:before="0" w:after="283"/>
              <w:jc w:val="left"/>
              <w:rPr/>
            </w:pPr>
            <w:r>
              <w:rPr/>
              <w:t>Issuance of common shares in connection with acquisitions of assets and ROU assets</w:t>
            </w:r>
          </w:p>
        </w:tc>
        <w:tc>
          <w:tcPr>
            <w:tcW w:w="90"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116" w:type="dxa"/>
            <w:tcBorders/>
            <w:tcMar>
              <w:bottom w:w="0" w:type="dxa"/>
            </w:tcMar>
            <w:vAlign w:val="center"/>
          </w:tcPr>
          <w:p>
            <w:pPr>
              <w:pStyle w:val="TableContents"/>
              <w:bidi w:val="0"/>
              <w:spacing w:before="0" w:after="283"/>
              <w:jc w:val="right"/>
              <w:rPr>
                <w:b/>
              </w:rPr>
            </w:pPr>
            <w:r>
              <w:rPr>
                <w:b/>
              </w:rPr>
              <w:t>3,000</w:t>
            </w:r>
          </w:p>
        </w:tc>
        <w:tc>
          <w:tcPr>
            <w:tcW w:w="167"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right"/>
              <w:rPr/>
            </w:pPr>
            <w:r>
              <w:rPr/>
              <w:t>1,354</w:t>
            </w:r>
          </w:p>
        </w:tc>
        <w:tc>
          <w:tcPr>
            <w:tcW w:w="173" w:type="dxa"/>
            <w:tcBorders/>
            <w:tcMar>
              <w:bottom w:w="0" w:type="dxa"/>
            </w:tcMar>
            <w:vAlign w:val="center"/>
          </w:tcPr>
          <w:p>
            <w:pPr>
              <w:pStyle w:val="TableContents"/>
              <w:bidi w:val="0"/>
              <w:spacing w:before="0" w:after="283"/>
              <w:jc w:val="left"/>
              <w:rPr/>
            </w:pPr>
            <w:r>
              <w:rPr/>
              <w:t> </w:t>
            </w:r>
          </w:p>
        </w:tc>
      </w:tr>
      <w:tr>
        <w:trPr/>
        <w:tc>
          <w:tcPr>
            <w:tcW w:w="7341" w:type="dxa"/>
            <w:tcBorders/>
            <w:shd w:fill="CCEEFF" w:val="clear"/>
            <w:tcMar>
              <w:bottom w:w="0" w:type="dxa"/>
            </w:tcMar>
            <w:vAlign w:val="center"/>
          </w:tcPr>
          <w:p>
            <w:pPr>
              <w:pStyle w:val="TableContents"/>
              <w:bidi w:val="0"/>
              <w:spacing w:before="0" w:after="283"/>
              <w:jc w:val="left"/>
              <w:rPr/>
            </w:pPr>
            <w:r>
              <w:rPr/>
              <w:t>Addition of ROU assets and related 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b/>
              </w:rPr>
            </w:pPr>
            <w:r>
              <w:rPr>
                <w:b/>
              </w:rPr>
              <w:t>9,928</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1,553</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7341" w:type="dxa"/>
            <w:tcBorders/>
            <w:tcMar>
              <w:bottom w:w="0" w:type="dxa"/>
            </w:tcMar>
            <w:vAlign w:val="center"/>
          </w:tcPr>
          <w:p>
            <w:pPr>
              <w:pStyle w:val="TableContents"/>
              <w:bidi w:val="0"/>
              <w:spacing w:before="0" w:after="283"/>
              <w:jc w:val="left"/>
              <w:rPr/>
            </w:pPr>
            <w:r>
              <w:rPr/>
              <w:t>Purchase of PPE financed by short-term credit</w:t>
            </w:r>
          </w:p>
        </w:tc>
        <w:tc>
          <w:tcPr>
            <w:tcW w:w="90"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116" w:type="dxa"/>
            <w:tcBorders/>
            <w:tcMar>
              <w:bottom w:w="0" w:type="dxa"/>
            </w:tcMar>
            <w:vAlign w:val="center"/>
          </w:tcPr>
          <w:p>
            <w:pPr>
              <w:pStyle w:val="TableContents"/>
              <w:bidi w:val="0"/>
              <w:spacing w:before="0" w:after="283"/>
              <w:jc w:val="right"/>
              <w:rPr>
                <w:b/>
              </w:rPr>
            </w:pPr>
            <w:r>
              <w:rPr>
                <w:b/>
              </w:rPr>
              <w:t>8,113</w:t>
            </w:r>
          </w:p>
        </w:tc>
        <w:tc>
          <w:tcPr>
            <w:tcW w:w="167"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right"/>
              <w:rPr/>
            </w:pPr>
            <w:r>
              <w:rPr/>
              <w:t>1,365</w:t>
            </w:r>
          </w:p>
        </w:tc>
        <w:tc>
          <w:tcPr>
            <w:tcW w:w="173" w:type="dxa"/>
            <w:tcBorders/>
            <w:tcMar>
              <w:bottom w:w="0" w:type="dxa"/>
            </w:tcMar>
            <w:vAlign w:val="center"/>
          </w:tcPr>
          <w:p>
            <w:pPr>
              <w:pStyle w:val="TableContents"/>
              <w:bidi w:val="0"/>
              <w:spacing w:before="0" w:after="283"/>
              <w:jc w:val="left"/>
              <w:rPr/>
            </w:pPr>
            <w:r>
              <w:rPr/>
              <w:t> </w:t>
            </w:r>
          </w:p>
        </w:tc>
      </w:tr>
      <w:tr>
        <w:trPr/>
        <w:tc>
          <w:tcPr>
            <w:tcW w:w="7341" w:type="dxa"/>
            <w:tcBorders/>
            <w:shd w:fill="CCEEFF" w:val="clear"/>
            <w:tcMar>
              <w:bottom w:w="0" w:type="dxa"/>
            </w:tcMar>
            <w:vAlign w:val="center"/>
          </w:tcPr>
          <w:p>
            <w:pPr>
              <w:pStyle w:val="TableContents"/>
              <w:bidi w:val="0"/>
              <w:spacing w:before="0" w:after="283"/>
              <w:jc w:val="left"/>
              <w:rPr/>
            </w:pPr>
            <w:r>
              <w:rPr/>
              <w:t>Equipment prepayments realized as additions to PPE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b/>
              </w:rPr>
            </w:pPr>
            <w:r>
              <w:rPr>
                <w:b/>
              </w:rPr>
              <w:t>32,433</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7,372</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7341" w:type="dxa"/>
            <w:tcBorders>
              <w:bottom w:val="single" w:sz="8" w:space="0" w:color="000000"/>
            </w:tcBorders>
            <w:vAlign w:val="center"/>
          </w:tcPr>
          <w:p>
            <w:pPr>
              <w:pStyle w:val="TableContents"/>
              <w:bidi w:val="0"/>
              <w:spacing w:before="0" w:after="283"/>
              <w:jc w:val="left"/>
              <w:rPr/>
            </w:pPr>
            <w:r>
              <w:rPr/>
              <w:t>Computational power revenue and its related service expense</w:t>
            </w:r>
          </w:p>
        </w:tc>
        <w:tc>
          <w:tcPr>
            <w:tcW w:w="90" w:type="dxa"/>
            <w:tcBorders>
              <w:bottom w:val="single" w:sz="8" w:space="0" w:color="000000"/>
            </w:tcBorders>
            <w:vAlign w:val="center"/>
          </w:tcPr>
          <w:p>
            <w:pPr>
              <w:pStyle w:val="TableContents"/>
              <w:bidi w:val="0"/>
              <w:spacing w:before="0" w:after="283"/>
              <w:jc w:val="left"/>
              <w:rPr/>
            </w:pPr>
            <w:r>
              <w:rPr/>
              <w:t> </w:t>
            </w:r>
          </w:p>
        </w:tc>
        <w:tc>
          <w:tcPr>
            <w:tcW w:w="121" w:type="dxa"/>
            <w:tcBorders>
              <w:bottom w:val="single" w:sz="8" w:space="0" w:color="000000"/>
            </w:tcBorders>
            <w:vAlign w:val="center"/>
          </w:tcPr>
          <w:p>
            <w:pPr>
              <w:pStyle w:val="TableContents"/>
              <w:bidi w:val="0"/>
              <w:spacing w:before="0" w:after="283"/>
              <w:jc w:val="left"/>
              <w:rPr/>
            </w:pPr>
            <w:r>
              <w:rPr/>
              <w:t> </w:t>
            </w:r>
          </w:p>
        </w:tc>
        <w:tc>
          <w:tcPr>
            <w:tcW w:w="1116" w:type="dxa"/>
            <w:tcBorders>
              <w:bottom w:val="single" w:sz="8" w:space="0" w:color="000000"/>
            </w:tcBorders>
            <w:vAlign w:val="center"/>
          </w:tcPr>
          <w:p>
            <w:pPr>
              <w:pStyle w:val="TableContents"/>
              <w:bidi w:val="0"/>
              <w:spacing w:before="0" w:after="283"/>
              <w:jc w:val="right"/>
              <w:rPr>
                <w:b/>
              </w:rPr>
            </w:pPr>
            <w:r>
              <w:rPr>
                <w:b/>
              </w:rPr>
              <w:t>1,023</w:t>
            </w:r>
          </w:p>
        </w:tc>
        <w:tc>
          <w:tcPr>
            <w:tcW w:w="167" w:type="dxa"/>
            <w:tcBorders>
              <w:bottom w:val="single" w:sz="8" w:space="0" w:color="000000"/>
            </w:tcBorders>
            <w:vAlign w:val="center"/>
          </w:tcPr>
          <w:p>
            <w:pPr>
              <w:pStyle w:val="TableContents"/>
              <w:bidi w:val="0"/>
              <w:spacing w:before="0" w:after="283"/>
              <w:jc w:val="left"/>
              <w:rPr/>
            </w:pPr>
            <w:r>
              <w:rPr/>
              <w:t> </w:t>
            </w:r>
          </w:p>
        </w:tc>
        <w:tc>
          <w:tcPr>
            <w:tcW w:w="121" w:type="dxa"/>
            <w:tcBorders>
              <w:bottom w:val="single" w:sz="8" w:space="0" w:color="000000"/>
            </w:tcBorders>
            <w:vAlign w:val="center"/>
          </w:tcPr>
          <w:p>
            <w:pPr>
              <w:pStyle w:val="TableContents"/>
              <w:bidi w:val="0"/>
              <w:spacing w:before="0" w:after="283"/>
              <w:jc w:val="left"/>
              <w:rPr/>
            </w:pPr>
            <w:r>
              <w:rPr/>
              <w:t> </w:t>
            </w:r>
          </w:p>
        </w:tc>
        <w:tc>
          <w:tcPr>
            <w:tcW w:w="121" w:type="dxa"/>
            <w:tcBorders>
              <w:bottom w:val="single" w:sz="8" w:space="0" w:color="000000"/>
            </w:tcBorders>
            <w:vAlign w:val="center"/>
          </w:tcPr>
          <w:p>
            <w:pPr>
              <w:pStyle w:val="TableContents"/>
              <w:bidi w:val="0"/>
              <w:spacing w:before="0" w:after="283"/>
              <w:jc w:val="left"/>
              <w:rPr/>
            </w:pPr>
            <w:r>
              <w:rPr/>
              <w:t> </w:t>
            </w:r>
          </w:p>
        </w:tc>
        <w:tc>
          <w:tcPr>
            <w:tcW w:w="955" w:type="dxa"/>
            <w:tcBorders>
              <w:bottom w:val="single" w:sz="8" w:space="0" w:color="000000"/>
            </w:tcBorders>
            <w:vAlign w:val="center"/>
          </w:tcPr>
          <w:p>
            <w:pPr>
              <w:pStyle w:val="TableContents"/>
              <w:bidi w:val="0"/>
              <w:spacing w:before="0" w:after="0"/>
              <w:jc w:val="right"/>
              <w:rPr/>
            </w:pPr>
            <w:r>
              <w:rPr/>
              <w:t>—</w:t>
            </w:r>
          </w:p>
        </w:tc>
        <w:tc>
          <w:tcPr>
            <w:tcW w:w="173" w:type="dxa"/>
            <w:tcBorders>
              <w:bottom w:val="single" w:sz="8" w:space="0" w:color="000000"/>
            </w:tcBorders>
            <w:vAlign w:val="center"/>
          </w:tcPr>
          <w:p>
            <w:pPr>
              <w:pStyle w:val="TableContents"/>
              <w:bidi w:val="0"/>
              <w:spacing w:before="0" w:after="283"/>
              <w:jc w:val="left"/>
              <w:rPr/>
            </w:pPr>
            <w:r>
              <w:rPr/>
              <w:t> </w:t>
            </w:r>
          </w:p>
        </w:tc>
      </w:tr>
      <w:tr>
        <w:trPr/>
        <w:tc>
          <w:tcPr>
            <w:tcW w:w="734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7341" w:type="dxa"/>
            <w:tcBorders/>
            <w:tcMar>
              <w:bottom w:w="0" w:type="dxa"/>
            </w:tcMar>
            <w:vAlign w:val="center"/>
          </w:tcPr>
          <w:p>
            <w:pPr>
              <w:pStyle w:val="TableContents"/>
              <w:bidi w:val="0"/>
              <w:spacing w:before="0" w:after="283"/>
              <w:jc w:val="left"/>
              <w:rPr>
                <w:b/>
              </w:rPr>
            </w:pPr>
            <w:r>
              <w:rPr>
                <w:b/>
              </w:rPr>
              <w:t>Depreciation and Amortization</w:t>
            </w:r>
          </w:p>
        </w:tc>
        <w:tc>
          <w:tcPr>
            <w:tcW w:w="90"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116" w:type="dxa"/>
            <w:tcBorders/>
            <w:tcMar>
              <w:bottom w:w="0" w:type="dxa"/>
            </w:tcMar>
            <w:vAlign w:val="center"/>
          </w:tcPr>
          <w:p>
            <w:pPr>
              <w:pStyle w:val="TableContents"/>
              <w:bidi w:val="0"/>
              <w:spacing w:before="0" w:after="283"/>
              <w:jc w:val="right"/>
              <w:rPr/>
            </w:pPr>
            <w:r>
              <w:rPr/>
              <w:t> </w:t>
            </w:r>
          </w:p>
        </w:tc>
        <w:tc>
          <w:tcPr>
            <w:tcW w:w="167"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right"/>
              <w:rPr/>
            </w:pPr>
            <w:r>
              <w:rPr/>
              <w:t> </w:t>
            </w:r>
          </w:p>
        </w:tc>
        <w:tc>
          <w:tcPr>
            <w:tcW w:w="173" w:type="dxa"/>
            <w:tcBorders/>
            <w:tcMar>
              <w:bottom w:w="0" w:type="dxa"/>
            </w:tcMar>
            <w:vAlign w:val="center"/>
          </w:tcPr>
          <w:p>
            <w:pPr>
              <w:pStyle w:val="TableContents"/>
              <w:bidi w:val="0"/>
              <w:spacing w:before="0" w:after="283"/>
              <w:jc w:val="left"/>
              <w:rPr/>
            </w:pPr>
            <w:r>
              <w:rPr/>
              <w:t> </w:t>
            </w:r>
          </w:p>
        </w:tc>
      </w:tr>
      <w:tr>
        <w:trPr/>
        <w:tc>
          <w:tcPr>
            <w:tcW w:w="7341" w:type="dxa"/>
            <w:tcBorders/>
            <w:shd w:fill="CCEEFF" w:val="clear"/>
            <w:tcMar>
              <w:bottom w:w="0" w:type="dxa"/>
            </w:tcMar>
            <w:vAlign w:val="center"/>
          </w:tcPr>
          <w:p>
            <w:pPr>
              <w:pStyle w:val="TableContents"/>
              <w:bidi w:val="0"/>
              <w:spacing w:before="0" w:after="283"/>
              <w:jc w:val="left"/>
              <w:rPr/>
            </w:pPr>
            <w:r>
              <w:rPr/>
              <w:t>Property, plant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16" w:type="dxa"/>
            <w:tcBorders/>
            <w:shd w:fill="CCEEFF" w:val="clear"/>
            <w:tcMar>
              <w:bottom w:w="0" w:type="dxa"/>
            </w:tcMar>
            <w:vAlign w:val="center"/>
          </w:tcPr>
          <w:p>
            <w:pPr>
              <w:pStyle w:val="TableContents"/>
              <w:bidi w:val="0"/>
              <w:spacing w:before="0" w:after="283"/>
              <w:jc w:val="right"/>
              <w:rPr>
                <w:b/>
              </w:rPr>
            </w:pPr>
            <w:r>
              <w:rPr>
                <w:b/>
              </w:rPr>
              <w:t>137,270</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81,455</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7341" w:type="dxa"/>
            <w:tcBorders/>
            <w:tcMar>
              <w:bottom w:w="0" w:type="dxa"/>
            </w:tcMar>
            <w:vAlign w:val="center"/>
          </w:tcPr>
          <w:p>
            <w:pPr>
              <w:pStyle w:val="TableContents"/>
              <w:bidi w:val="0"/>
              <w:spacing w:before="0" w:after="283"/>
              <w:jc w:val="left"/>
              <w:rPr/>
            </w:pPr>
            <w:r>
              <w:rPr/>
              <w:t>ROU assets</w:t>
            </w:r>
          </w:p>
        </w:tc>
        <w:tc>
          <w:tcPr>
            <w:tcW w:w="90"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116" w:type="dxa"/>
            <w:tcBorders/>
            <w:tcMar>
              <w:bottom w:w="0" w:type="dxa"/>
            </w:tcMar>
            <w:vAlign w:val="center"/>
          </w:tcPr>
          <w:p>
            <w:pPr>
              <w:pStyle w:val="TableContents"/>
              <w:bidi w:val="0"/>
              <w:spacing w:before="0" w:after="283"/>
              <w:jc w:val="right"/>
              <w:rPr>
                <w:b/>
              </w:rPr>
            </w:pPr>
            <w:r>
              <w:rPr>
                <w:b/>
              </w:rPr>
              <w:t>3,124</w:t>
            </w:r>
          </w:p>
        </w:tc>
        <w:tc>
          <w:tcPr>
            <w:tcW w:w="167"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121"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right"/>
              <w:rPr/>
            </w:pPr>
            <w:r>
              <w:rPr/>
              <w:t>3,197</w:t>
            </w:r>
          </w:p>
        </w:tc>
        <w:tc>
          <w:tcPr>
            <w:tcW w:w="173" w:type="dxa"/>
            <w:tcBorders/>
            <w:tcMar>
              <w:bottom w:w="0" w:type="dxa"/>
            </w:tcMar>
            <w:vAlign w:val="center"/>
          </w:tcPr>
          <w:p>
            <w:pPr>
              <w:pStyle w:val="TableContents"/>
              <w:bidi w:val="0"/>
              <w:spacing w:before="0" w:after="283"/>
              <w:jc w:val="left"/>
              <w:rPr/>
            </w:pPr>
            <w:r>
              <w:rPr/>
              <w:t> </w:t>
            </w:r>
          </w:p>
        </w:tc>
      </w:tr>
      <w:tr>
        <w:trPr/>
        <w:tc>
          <w:tcPr>
            <w:tcW w:w="7341" w:type="dxa"/>
            <w:tcBorders>
              <w:bottom w:val="single" w:sz="8" w:space="0" w:color="000000"/>
            </w:tcBorders>
            <w:shd w:fill="CCEEFF" w:val="clear"/>
            <w:vAlign w:val="center"/>
          </w:tcPr>
          <w:p>
            <w:pPr>
              <w:pStyle w:val="TableContents"/>
              <w:bidi w:val="0"/>
              <w:spacing w:before="0" w:after="283"/>
              <w:jc w:val="left"/>
              <w:rPr/>
            </w:pPr>
            <w:r>
              <w:rPr/>
              <w:t>Intangible assets</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vAlign w:val="center"/>
          </w:tcPr>
          <w:p>
            <w:pPr>
              <w:pStyle w:val="TableContents"/>
              <w:bidi w:val="0"/>
              <w:spacing w:before="0" w:after="283"/>
              <w:jc w:val="left"/>
              <w:rPr/>
            </w:pPr>
            <w:r>
              <w:rPr/>
              <w:t> </w:t>
            </w:r>
          </w:p>
        </w:tc>
        <w:tc>
          <w:tcPr>
            <w:tcW w:w="1116" w:type="dxa"/>
            <w:tcBorders>
              <w:bottom w:val="single" w:sz="8" w:space="0" w:color="000000"/>
            </w:tcBorders>
            <w:shd w:fill="CCEEFF" w:val="clear"/>
            <w:vAlign w:val="center"/>
          </w:tcPr>
          <w:p>
            <w:pPr>
              <w:pStyle w:val="TableContents"/>
              <w:bidi w:val="0"/>
              <w:spacing w:before="0" w:after="283"/>
              <w:jc w:val="right"/>
              <w:rPr>
                <w:b/>
              </w:rPr>
            </w:pPr>
            <w:r>
              <w:rPr>
                <w:b/>
              </w:rPr>
              <w:t>573</w:t>
            </w:r>
          </w:p>
        </w:tc>
        <w:tc>
          <w:tcPr>
            <w:tcW w:w="167" w:type="dxa"/>
            <w:tcBorders>
              <w:bottom w:val="single" w:sz="8" w:space="0" w:color="000000"/>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vAlign w:val="center"/>
          </w:tcPr>
          <w:p>
            <w:pPr>
              <w:pStyle w:val="TableContents"/>
              <w:bidi w:val="0"/>
              <w:spacing w:before="0" w:after="283"/>
              <w:jc w:val="left"/>
              <w:rPr/>
            </w:pPr>
            <w:r>
              <w:rPr/>
              <w:t> </w:t>
            </w:r>
          </w:p>
        </w:tc>
        <w:tc>
          <w:tcPr>
            <w:tcW w:w="955" w:type="dxa"/>
            <w:tcBorders>
              <w:bottom w:val="single" w:sz="8" w:space="0" w:color="000000"/>
            </w:tcBorders>
            <w:shd w:fill="CCEEFF" w:val="clear"/>
            <w:vAlign w:val="center"/>
          </w:tcPr>
          <w:p>
            <w:pPr>
              <w:pStyle w:val="TableContents"/>
              <w:bidi w:val="0"/>
              <w:spacing w:before="0" w:after="283"/>
              <w:jc w:val="right"/>
              <w:rPr/>
            </w:pPr>
            <w:r>
              <w:rPr/>
              <w:t>133</w:t>
            </w:r>
          </w:p>
        </w:tc>
        <w:tc>
          <w:tcPr>
            <w:tcW w:w="173" w:type="dxa"/>
            <w:tcBorders>
              <w:bottom w:val="single" w:sz="8" w:space="0" w:color="000000"/>
            </w:tcBorders>
            <w:shd w:fill="CCEEFF" w:val="clear"/>
            <w:vAlign w:val="center"/>
          </w:tcPr>
          <w:p>
            <w:pPr>
              <w:pStyle w:val="TableContents"/>
              <w:bidi w:val="0"/>
              <w:spacing w:before="0" w:after="283"/>
              <w:jc w:val="left"/>
              <w:rPr/>
            </w:pPr>
            <w:r>
              <w:rPr/>
              <w:t> </w:t>
            </w:r>
          </w:p>
        </w:tc>
      </w:tr>
      <w:tr>
        <w:trPr/>
        <w:tc>
          <w:tcPr>
            <w:tcW w:w="7341"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21" w:type="dxa"/>
            <w:tcBorders>
              <w:bottom w:val="single" w:sz="12" w:space="0" w:color="000000"/>
            </w:tcBorders>
            <w:vAlign w:val="center"/>
          </w:tcPr>
          <w:p>
            <w:pPr>
              <w:pStyle w:val="TableContents"/>
              <w:bidi w:val="0"/>
              <w:spacing w:before="0" w:after="283"/>
              <w:jc w:val="left"/>
              <w:rPr/>
            </w:pPr>
            <w:r>
              <w:rPr/>
              <w:t> </w:t>
            </w:r>
          </w:p>
        </w:tc>
        <w:tc>
          <w:tcPr>
            <w:tcW w:w="1116" w:type="dxa"/>
            <w:tcBorders>
              <w:bottom w:val="single" w:sz="12" w:space="0" w:color="000000"/>
            </w:tcBorders>
            <w:vAlign w:val="center"/>
          </w:tcPr>
          <w:p>
            <w:pPr>
              <w:pStyle w:val="TableContents"/>
              <w:bidi w:val="0"/>
              <w:spacing w:before="0" w:after="283"/>
              <w:jc w:val="right"/>
              <w:rPr>
                <w:b/>
              </w:rPr>
            </w:pPr>
            <w:r>
              <w:rPr>
                <w:b/>
              </w:rPr>
              <w:t>140,967</w:t>
            </w:r>
          </w:p>
        </w:tc>
        <w:tc>
          <w:tcPr>
            <w:tcW w:w="167" w:type="dxa"/>
            <w:tcBorders>
              <w:bottom w:val="single" w:sz="12" w:space="0" w:color="000000"/>
            </w:tcBorders>
            <w:vAlign w:val="center"/>
          </w:tcPr>
          <w:p>
            <w:pPr>
              <w:pStyle w:val="TableContents"/>
              <w:bidi w:val="0"/>
              <w:spacing w:before="0" w:after="283"/>
              <w:jc w:val="left"/>
              <w:rPr/>
            </w:pPr>
            <w:r>
              <w:rPr/>
              <w:t> </w:t>
            </w:r>
          </w:p>
        </w:tc>
        <w:tc>
          <w:tcPr>
            <w:tcW w:w="121" w:type="dxa"/>
            <w:tcBorders>
              <w:bottom w:val="single" w:sz="12" w:space="0" w:color="000000"/>
            </w:tcBorders>
            <w:vAlign w:val="center"/>
          </w:tcPr>
          <w:p>
            <w:pPr>
              <w:pStyle w:val="TableContents"/>
              <w:bidi w:val="0"/>
              <w:spacing w:before="0" w:after="283"/>
              <w:jc w:val="left"/>
              <w:rPr/>
            </w:pPr>
            <w:r>
              <w:rPr/>
              <w:t> </w:t>
            </w:r>
          </w:p>
        </w:tc>
        <w:tc>
          <w:tcPr>
            <w:tcW w:w="121" w:type="dxa"/>
            <w:tcBorders>
              <w:bottom w:val="single" w:sz="12" w:space="0" w:color="000000"/>
            </w:tcBorders>
            <w:vAlign w:val="center"/>
          </w:tcPr>
          <w:p>
            <w:pPr>
              <w:pStyle w:val="TableContents"/>
              <w:bidi w:val="0"/>
              <w:spacing w:before="0" w:after="283"/>
              <w:jc w:val="left"/>
              <w:rPr/>
            </w:pPr>
            <w:r>
              <w:rPr/>
              <w:t> </w:t>
            </w:r>
          </w:p>
        </w:tc>
        <w:tc>
          <w:tcPr>
            <w:tcW w:w="955" w:type="dxa"/>
            <w:tcBorders>
              <w:bottom w:val="single" w:sz="12" w:space="0" w:color="000000"/>
            </w:tcBorders>
            <w:vAlign w:val="center"/>
          </w:tcPr>
          <w:p>
            <w:pPr>
              <w:pStyle w:val="TableContents"/>
              <w:bidi w:val="0"/>
              <w:spacing w:before="0" w:after="283"/>
              <w:jc w:val="right"/>
              <w:rPr/>
            </w:pPr>
            <w:r>
              <w:rPr/>
              <w:t>84,785</w:t>
            </w:r>
          </w:p>
        </w:tc>
        <w:tc>
          <w:tcPr>
            <w:tcW w:w="173"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5" w:name="a_040"/>
      <w:bookmarkStart w:id="86" w:name="a_040"/>
      <w:bookmarkEnd w:id="86"/>
    </w:p>
    <w:tbl>
      <w:tblPr>
        <w:tblW w:w="3978" w:type="dxa"/>
        <w:jc w:val="left"/>
        <w:tblInd w:w="0" w:type="dxa"/>
        <w:tblLayout w:type="fixed"/>
        <w:tblCellMar>
          <w:top w:w="0" w:type="dxa"/>
          <w:left w:w="0" w:type="dxa"/>
          <w:bottom w:w="0" w:type="dxa"/>
          <w:right w:w="0" w:type="dxa"/>
        </w:tblCellMar>
      </w:tblPr>
      <w:tblGrid>
        <w:gridCol w:w="68"/>
        <w:gridCol w:w="1115"/>
        <w:gridCol w:w="279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32:</w:t>
            </w:r>
          </w:p>
        </w:tc>
        <w:tc>
          <w:tcPr>
            <w:tcW w:w="2795"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Stronghold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21, 2024, the Company and Stronghold entered into a definitive merger agreement (the “Merger Agreement”) under which Bitfarms will acquire Stronghold in a stock-for-stock merger transaction (the “Transaction”). The Transaction was valued at approximately $125,000 equity value plus the repayment of debt valued at approximately $50,000 at the time of the agreement. </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77 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68"/>
        <w:gridCol w:w="1115"/>
        <w:gridCol w:w="399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32:</w:t>
            </w:r>
          </w:p>
        </w:tc>
        <w:tc>
          <w:tcPr>
            <w:tcW w:w="3995" w:type="dxa"/>
            <w:tcBorders/>
            <w:vAlign w:val="center"/>
          </w:tcPr>
          <w:p>
            <w:pPr>
              <w:pStyle w:val="TableContents"/>
              <w:bidi w:val="0"/>
              <w:spacing w:before="0" w:after="283"/>
              <w:jc w:val="both"/>
              <w:rPr/>
            </w:pPr>
            <w:r>
              <w:rPr>
                <w:b/>
              </w:rPr>
              <w:t>SUBSEQUENT EVENTS</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unanimously approved by the Boards of both companies, approved by the majority of Stronghold shareholders, and received the applicable regulatory approvals, certain third party consents and other customary closing conditions. On March 14, 2025, the transaction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Stronghold shareholders received 2.52 shares of Bitfarms for each share of Stronghold they own. The Company issued 59,866,852 common shares and 12,893,650 warrants in connection with the consummation of the Merger. In addition, approximately $44,500 was paid at closing to retire outstanding Stronghold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the process of determining the fair value of identifiable assets acquired and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Yguazu Mining Site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 announced that it had entered into a binding Letter of Intent to sell its 200 MW site in Yguazu, Paraguay to HIVE Digital Technologies, Ltd (“HIVE”).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the transaction closed with HIVE purchasing from Bitfarms its 100% ownership stake of its Yguazu, Paraguay Bitcoin data center and the Company’s loan receivable from Backbone Yguazu for $63,038, with Bitfarms receiving:</w:t>
      </w:r>
    </w:p>
    <w:tbl>
      <w:tblPr>
        <w:tblW w:w="8313" w:type="dxa"/>
        <w:jc w:val="left"/>
        <w:tblInd w:w="0" w:type="dxa"/>
        <w:tblLayout w:type="fixed"/>
        <w:tblCellMar>
          <w:top w:w="0" w:type="dxa"/>
          <w:left w:w="0" w:type="dxa"/>
          <w:bottom w:w="0" w:type="dxa"/>
          <w:right w:w="0" w:type="dxa"/>
        </w:tblCellMar>
      </w:tblPr>
      <w:tblGrid>
        <w:gridCol w:w="68"/>
        <w:gridCol w:w="200"/>
        <w:gridCol w:w="80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pPr>
            <w:r>
              <w:rPr/>
              <w:t>$20,000 of advance payment made in January 2025 upon signing the letter of intent;</w:t>
            </w:r>
          </w:p>
        </w:tc>
      </w:tr>
    </w:tbl>
    <w:tbl>
      <w:tblPr>
        <w:tblW w:w="4705" w:type="dxa"/>
        <w:jc w:val="left"/>
        <w:tblInd w:w="0" w:type="dxa"/>
        <w:tblLayout w:type="fixed"/>
        <w:tblCellMar>
          <w:top w:w="0" w:type="dxa"/>
          <w:left w:w="0" w:type="dxa"/>
          <w:bottom w:w="0" w:type="dxa"/>
          <w:right w:w="0" w:type="dxa"/>
        </w:tblCellMar>
      </w:tblPr>
      <w:tblGrid>
        <w:gridCol w:w="105"/>
        <w:gridCol w:w="200"/>
        <w:gridCol w:w="44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 xml:space="preserve">$12,038 upon closing of this transaction; and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$31,000 over 6 months following closing.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2024 ATM Program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January 1, 2025 to March 26, 2025, the Company issued 14,444,643 common shares through the 2024 ATM Program in exchange for gross proceeds of $24,386 at an average share price of approximately $1.69. The Company received net proceeds of $23,608 after paying commissions of $778 to the sales agent. Refer to Note 22 for further details of the Company’s 2024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options of BTC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the Company exercised its option to redeem the first installment of the BTC Pledged in relation to the purchase of Miners under the Supplementary Agreements. The Company redeemed 87 BTC for $8,308. See Note 8 for more details.</w:t>
      </w:r>
    </w:p>
    <w:p>
      <w:pPr>
        <w:pStyle w:val="TextBody"/>
        <w:bidi w:val="0"/>
        <w:spacing w:before="0" w:after="0"/>
        <w:ind w:left="0" w:right="0" w:hanging="0"/>
        <w:jc w:val="both"/>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78 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FINANCIAL STATEMENTS</w:t>
            </w:r>
          </w:p>
        </w:tc>
      </w:tr>
      <w:tr>
        <w:trPr/>
        <w:tc>
          <w:tcPr>
            <w:tcW w:w="10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(Expressed in thousands of U.S. dollars, except data relating to number of PPE, shares, warrants, options and digital assets - audited)</w:t>
            </w:r>
          </w:p>
        </w:tc>
      </w:tr>
    </w:tbl>
    <w:p>
      <w:pPr>
        <w:pStyle w:val="TextBody"/>
        <w:bidi w:val="0"/>
        <w:spacing w:before="0" w:after="0"/>
        <w:ind w:left="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68"/>
        <w:gridCol w:w="1115"/>
        <w:gridCol w:w="3995"/>
      </w:tblGrid>
      <w:tr>
        <w:trPr/>
        <w:tc>
          <w:tcPr>
            <w:tcW w:w="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b/>
              </w:rPr>
            </w:pPr>
            <w:r>
              <w:rPr>
                <w:b/>
              </w:rPr>
              <w:t>NOTE 32:</w:t>
            </w:r>
          </w:p>
        </w:tc>
        <w:tc>
          <w:tcPr>
            <w:tcW w:w="3995" w:type="dxa"/>
            <w:tcBorders/>
            <w:vAlign w:val="center"/>
          </w:tcPr>
          <w:p>
            <w:pPr>
              <w:pStyle w:val="TableContents"/>
              <w:bidi w:val="0"/>
              <w:spacing w:before="0" w:after="283"/>
              <w:jc w:val="both"/>
              <w:rPr/>
            </w:pPr>
            <w:r>
              <w:rPr>
                <w:b/>
              </w:rPr>
              <w:t xml:space="preserve">SUBSEQUENT EVENTS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Bitmain T21 and S21+ Miners Swap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in connection with the Purchase Order, an exchange agreement was made signed to return 4,160 Bitmain T21 Miners. In consideration for the returned products Bitmain will refund the Company with a $9,484 credit. Simultaneously, the Company placed another purchase order for 3,660 Bitmain S21+ Miners at a purchase price of $11,858. The Company has the option to pay the net amount of $2,374 in cash or in BTC. The payment terms, the BTC installments and the BTC Redemption Option are similar to the ones included in the Supplementary Agreements as described in Note 9. On March 13, 2025, the Company paid the net $2,374 in BTC which can be redeemed on a quarterly basis.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865" w:type="dxa"/>
        <w:jc w:val="left"/>
        <w:tblInd w:w="0" w:type="dxa"/>
        <w:tblLayout w:type="fixed"/>
        <w:tblCellMar>
          <w:top w:w="28" w:type="dxa"/>
          <w:left w:w="0" w:type="dxa"/>
          <w:bottom w:w="0" w:type="dxa"/>
          <w:right w:w="0" w:type="dxa"/>
        </w:tblCellMar>
      </w:tblPr>
      <w:tblGrid>
        <w:gridCol w:w="320"/>
        <w:gridCol w:w="545"/>
      </w:tblGrid>
      <w:tr>
        <w:trPr/>
        <w:tc>
          <w:tcPr>
            <w:tcW w:w="320" w:type="dxa"/>
            <w:tcBorders>
              <w:top w:val="single" w:sz="12" w:space="0" w:color="000000"/>
            </w:tcBorders>
            <w:vAlign w:val="center"/>
          </w:tcPr>
          <w:p>
            <w:pPr>
              <w:pStyle w:val="TableContents"/>
              <w:bidi w:val="0"/>
              <w:spacing w:before="0" w:after="283"/>
              <w:jc w:val="right"/>
              <w:rPr>
                <w:sz w:val="20"/>
              </w:rPr>
            </w:pPr>
            <w:r>
              <w:rPr>
                <w:sz w:val="20"/>
              </w:rPr>
              <w:t>79 </w:t>
            </w:r>
          </w:p>
        </w:tc>
        <w:tc>
          <w:tcPr>
            <w:tcW w:w="54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7" w:name="ea023426801ex99-3_bitfarms.htm"/>
      <w:bookmarkStart w:id="88" w:name="ksea023426801ex993_bitfarms"/>
      <w:bookmarkEnd w:id="87"/>
      <w:bookmarkEnd w:id="88"/>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724775" cy="10001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90"/>
        <w:gridCol w:w="6560"/>
        <w:gridCol w:w="395"/>
      </w:tblGrid>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60"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sz w:val="20"/>
                </w:rPr>
                <w:t>Introduction</w:t>
              </w:r>
            </w:hyperlink>
            <w:hyperlink w:anchor="m_001">
              <w:r>
                <w:rPr>
                  <w:rStyle w:val="InternetLink"/>
                </w:rPr>
                <w:t xml:space="preserve"> </w:t>
              </w:r>
            </w:hyperlink>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60" w:type="dxa"/>
            <w:tcBorders/>
            <w:shd w:fill="FFFFFF" w:val="clear"/>
            <w:vAlign w:val="center"/>
          </w:tcPr>
          <w:p>
            <w:pPr>
              <w:pStyle w:val="TableContents"/>
              <w:bidi w:val="0"/>
              <w:spacing w:before="0" w:after="283"/>
              <w:jc w:val="left"/>
              <w:rPr/>
            </w:pPr>
            <w:hyperlink w:anchor="m_002">
              <w:r>
                <w:rPr>
                  <w:rStyle w:val="InternetLink"/>
                  <w:rFonts w:ascii="Times New Roman;Times;Serif" w:hAnsi="Times New Roman;Times;Serif"/>
                  <w:sz w:val="20"/>
                </w:rPr>
                <w:t>Company Overview</w:t>
              </w:r>
            </w:hyperlink>
            <w:hyperlink w:anchor="m_002">
              <w:r>
                <w:rPr>
                  <w:rStyle w:val="InternetLink"/>
                </w:rPr>
                <w:t xml:space="preserve"> </w:t>
              </w:r>
            </w:hyperlink>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560" w:type="dxa"/>
            <w:tcBorders/>
            <w:shd w:fill="CCEEFF" w:val="clear"/>
            <w:vAlign w:val="center"/>
          </w:tcPr>
          <w:p>
            <w:pPr>
              <w:pStyle w:val="TableContents"/>
              <w:bidi w:val="0"/>
              <w:spacing w:before="0" w:after="283"/>
              <w:jc w:val="left"/>
              <w:rPr/>
            </w:pPr>
            <w:hyperlink w:anchor="m_003">
              <w:r>
                <w:rPr>
                  <w:rStyle w:val="InternetLink"/>
                  <w:rFonts w:ascii="Times New Roman;Times;Serif" w:hAnsi="Times New Roman;Times;Serif"/>
                  <w:sz w:val="20"/>
                </w:rPr>
                <w:t>Financial Highlights</w:t>
              </w:r>
            </w:hyperlink>
            <w:hyperlink w:anchor="m_003">
              <w:r>
                <w:rPr>
                  <w:rStyle w:val="InternetLink"/>
                </w:rPr>
                <w:t xml:space="preserve"> </w:t>
              </w:r>
            </w:hyperlink>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560" w:type="dxa"/>
            <w:tcBorders/>
            <w:shd w:fill="FFFFFF" w:val="clear"/>
            <w:vAlign w:val="center"/>
          </w:tcPr>
          <w:p>
            <w:pPr>
              <w:pStyle w:val="TableContents"/>
              <w:bidi w:val="0"/>
              <w:spacing w:before="0" w:after="283"/>
              <w:jc w:val="left"/>
              <w:rPr/>
            </w:pPr>
            <w:hyperlink w:anchor="m_004">
              <w:r>
                <w:rPr>
                  <w:rStyle w:val="InternetLink"/>
                  <w:rFonts w:ascii="Times New Roman;Times;Serif" w:hAnsi="Times New Roman;Times;Serif"/>
                  <w:sz w:val="20"/>
                </w:rPr>
                <w:t xml:space="preserve">Fourth Quarter 2024 Financial Results and Operational Highlights </w:t>
              </w:r>
            </w:hyperlink>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560" w:type="dxa"/>
            <w:tcBorders/>
            <w:shd w:fill="CCEEFF" w:val="clear"/>
            <w:vAlign w:val="center"/>
          </w:tcPr>
          <w:p>
            <w:pPr>
              <w:pStyle w:val="TableContents"/>
              <w:bidi w:val="0"/>
              <w:spacing w:before="0" w:after="283"/>
              <w:jc w:val="left"/>
              <w:rPr/>
            </w:pPr>
            <w:hyperlink w:anchor="m_005">
              <w:r>
                <w:rPr>
                  <w:rStyle w:val="InternetLink"/>
                  <w:rFonts w:ascii="Times New Roman;Times;Serif" w:hAnsi="Times New Roman;Times;Serif"/>
                  <w:sz w:val="20"/>
                </w:rPr>
                <w:t xml:space="preserve">Full year 2024 Results and Operational Highlights </w:t>
              </w:r>
            </w:hyperlink>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560" w:type="dxa"/>
            <w:tcBorders/>
            <w:shd w:fill="FFFFFF" w:val="clear"/>
            <w:vAlign w:val="center"/>
          </w:tcPr>
          <w:p>
            <w:pPr>
              <w:pStyle w:val="TableContents"/>
              <w:bidi w:val="0"/>
              <w:spacing w:before="0" w:after="283"/>
              <w:jc w:val="left"/>
              <w:rPr/>
            </w:pPr>
            <w:hyperlink w:anchor="m_006">
              <w:r>
                <w:rPr>
                  <w:rStyle w:val="InternetLink"/>
                  <w:rFonts w:ascii="Times New Roman;Times;Serif" w:hAnsi="Times New Roman;Times;Serif"/>
                  <w:sz w:val="20"/>
                </w:rPr>
                <w:t>Production and Mining Operations</w:t>
              </w:r>
            </w:hyperlink>
            <w:hyperlink w:anchor="m_006">
              <w:r>
                <w:rPr>
                  <w:rStyle w:val="InternetLink"/>
                </w:rPr>
                <w:t xml:space="preserve"> </w:t>
              </w:r>
            </w:hyperlink>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560" w:type="dxa"/>
            <w:tcBorders/>
            <w:shd w:fill="CCEEFF" w:val="clear"/>
            <w:vAlign w:val="center"/>
          </w:tcPr>
          <w:p>
            <w:pPr>
              <w:pStyle w:val="TableContents"/>
              <w:bidi w:val="0"/>
              <w:spacing w:before="0" w:after="283"/>
              <w:jc w:val="left"/>
              <w:rPr/>
            </w:pPr>
            <w:hyperlink w:anchor="m_007">
              <w:r>
                <w:rPr>
                  <w:rStyle w:val="InternetLink"/>
                  <w:rFonts w:ascii="Times New Roman;Times;Serif" w:hAnsi="Times New Roman;Times;Serif"/>
                  <w:sz w:val="20"/>
                </w:rPr>
                <w:t>Expansion Projects</w:t>
              </w:r>
            </w:hyperlink>
            <w:hyperlink w:anchor="m_007">
              <w:r>
                <w:rPr>
                  <w:rStyle w:val="InternetLink"/>
                </w:rPr>
                <w:t xml:space="preserve"> </w:t>
              </w:r>
            </w:hyperlink>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560" w:type="dxa"/>
            <w:tcBorders/>
            <w:shd w:fill="FFFFFF" w:val="clear"/>
            <w:vAlign w:val="center"/>
          </w:tcPr>
          <w:p>
            <w:pPr>
              <w:pStyle w:val="TableContents"/>
              <w:bidi w:val="0"/>
              <w:spacing w:before="0" w:after="283"/>
              <w:jc w:val="left"/>
              <w:rPr/>
            </w:pPr>
            <w:hyperlink w:anchor="m_008">
              <w:r>
                <w:rPr>
                  <w:rStyle w:val="InternetLink"/>
                  <w:rFonts w:ascii="Times New Roman;Times;Serif" w:hAnsi="Times New Roman;Times;Serif"/>
                  <w:sz w:val="20"/>
                </w:rPr>
                <w:t>Financial Performance</w:t>
              </w:r>
            </w:hyperlink>
            <w:hyperlink w:anchor="m_008">
              <w:r>
                <w:rPr>
                  <w:rStyle w:val="InternetLink"/>
                </w:rPr>
                <w:t xml:space="preserve"> </w:t>
              </w:r>
            </w:hyperlink>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6560" w:type="dxa"/>
            <w:tcBorders/>
            <w:shd w:fill="CCEEFF" w:val="clear"/>
            <w:vAlign w:val="center"/>
          </w:tcPr>
          <w:p>
            <w:pPr>
              <w:pStyle w:val="TableContents"/>
              <w:bidi w:val="0"/>
              <w:spacing w:before="0" w:after="283"/>
              <w:jc w:val="left"/>
              <w:rPr/>
            </w:pPr>
            <w:hyperlink w:anchor="m_009">
              <w:r>
                <w:rPr>
                  <w:rStyle w:val="InternetLink"/>
                  <w:rFonts w:ascii="Times New Roman;Times;Serif" w:hAnsi="Times New Roman;Times;Serif"/>
                  <w:sz w:val="20"/>
                </w:rPr>
                <w:t>Selected Quarterly Information</w:t>
              </w:r>
            </w:hyperlink>
            <w:hyperlink w:anchor="m_009">
              <w:r>
                <w:rPr>
                  <w:rStyle w:val="InternetLink"/>
                </w:rPr>
                <w:t xml:space="preserve"> </w:t>
              </w:r>
            </w:hyperlink>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560" w:type="dxa"/>
            <w:tcBorders/>
            <w:shd w:fill="FFFFFF" w:val="clear"/>
            <w:vAlign w:val="center"/>
          </w:tcPr>
          <w:p>
            <w:pPr>
              <w:pStyle w:val="TableContents"/>
              <w:bidi w:val="0"/>
              <w:spacing w:before="0" w:after="283"/>
              <w:jc w:val="left"/>
              <w:rPr/>
            </w:pPr>
            <w:hyperlink w:anchor="m_010">
              <w:r>
                <w:rPr>
                  <w:rStyle w:val="InternetLink"/>
                  <w:rFonts w:ascii="Times New Roman;Times;Serif" w:hAnsi="Times New Roman;Times;Serif"/>
                  <w:sz w:val="20"/>
                </w:rPr>
                <w:t>Non-IFRS and Other Financial Measures and Ratios</w:t>
              </w:r>
            </w:hyperlink>
            <w:hyperlink w:anchor="m_010">
              <w:r>
                <w:rPr>
                  <w:rStyle w:val="InternetLink"/>
                </w:rPr>
                <w:t xml:space="preserve"> </w:t>
              </w:r>
            </w:hyperlink>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560" w:type="dxa"/>
            <w:tcBorders/>
            <w:shd w:fill="CCEEFF" w:val="clear"/>
            <w:vAlign w:val="center"/>
          </w:tcPr>
          <w:p>
            <w:pPr>
              <w:pStyle w:val="TableContents"/>
              <w:bidi w:val="0"/>
              <w:spacing w:before="0" w:after="283"/>
              <w:jc w:val="left"/>
              <w:rPr/>
            </w:pPr>
            <w:hyperlink w:anchor="m_011">
              <w:r>
                <w:rPr>
                  <w:rStyle w:val="InternetLink"/>
                  <w:rFonts w:ascii="Times New Roman;Times;Serif" w:hAnsi="Times New Roman;Times;Serif"/>
                  <w:sz w:val="20"/>
                </w:rPr>
                <w:t>Liquidity and Capital Resources</w:t>
              </w:r>
            </w:hyperlink>
            <w:hyperlink w:anchor="m_011">
              <w:r>
                <w:rPr>
                  <w:rStyle w:val="InternetLink"/>
                </w:rPr>
                <w:t xml:space="preserve"> </w:t>
              </w:r>
            </w:hyperlink>
          </w:p>
        </w:tc>
        <w:tc>
          <w:tcPr>
            <w:tcW w:w="395" w:type="dxa"/>
            <w:tcBorders/>
            <w:shd w:fill="CCEEFF" w:val="clear"/>
            <w:vAlign w:val="center"/>
          </w:tcPr>
          <w:p>
            <w:pPr>
              <w:pStyle w:val="TableContents"/>
              <w:bidi w:val="0"/>
              <w:spacing w:before="0" w:after="283"/>
              <w:jc w:val="center"/>
              <w:rPr/>
            </w:pPr>
            <w:r>
              <w:rPr/>
              <w:t>38</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560" w:type="dxa"/>
            <w:tcBorders/>
            <w:shd w:fill="FFFFFF" w:val="clear"/>
            <w:vAlign w:val="center"/>
          </w:tcPr>
          <w:p>
            <w:pPr>
              <w:pStyle w:val="TableContents"/>
              <w:bidi w:val="0"/>
              <w:spacing w:before="0" w:after="283"/>
              <w:jc w:val="left"/>
              <w:rPr/>
            </w:pPr>
            <w:hyperlink w:anchor="m_012">
              <w:r>
                <w:rPr>
                  <w:rStyle w:val="InternetLink"/>
                  <w:rFonts w:ascii="Times New Roman;Times;Serif" w:hAnsi="Times New Roman;Times;Serif"/>
                  <w:sz w:val="20"/>
                </w:rPr>
                <w:t>Financial Position</w:t>
              </w:r>
            </w:hyperlink>
            <w:hyperlink w:anchor="m_012">
              <w:r>
                <w:rPr>
                  <w:rStyle w:val="InternetLink"/>
                </w:rPr>
                <w:t xml:space="preserve"> </w:t>
              </w:r>
            </w:hyperlink>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560" w:type="dxa"/>
            <w:tcBorders/>
            <w:shd w:fill="CCEEFF" w:val="clear"/>
            <w:vAlign w:val="center"/>
          </w:tcPr>
          <w:p>
            <w:pPr>
              <w:pStyle w:val="TableContents"/>
              <w:bidi w:val="0"/>
              <w:spacing w:before="0" w:after="283"/>
              <w:jc w:val="left"/>
              <w:rPr/>
            </w:pPr>
            <w:hyperlink w:anchor="m_013">
              <w:r>
                <w:rPr>
                  <w:rStyle w:val="InternetLink"/>
                  <w:rFonts w:ascii="Times New Roman;Times;Serif" w:hAnsi="Times New Roman;Times;Serif"/>
                  <w:sz w:val="20"/>
                </w:rPr>
                <w:t>Financial Instruments</w:t>
              </w:r>
            </w:hyperlink>
            <w:hyperlink w:anchor="m_013">
              <w:r>
                <w:rPr>
                  <w:rStyle w:val="InternetLink"/>
                </w:rPr>
                <w:t xml:space="preserve"> </w:t>
              </w:r>
            </w:hyperlink>
          </w:p>
        </w:tc>
        <w:tc>
          <w:tcPr>
            <w:tcW w:w="395" w:type="dxa"/>
            <w:tcBorders/>
            <w:shd w:fill="CCEEFF" w:val="clear"/>
            <w:vAlign w:val="center"/>
          </w:tcPr>
          <w:p>
            <w:pPr>
              <w:pStyle w:val="TableContents"/>
              <w:bidi w:val="0"/>
              <w:spacing w:before="0" w:after="283"/>
              <w:jc w:val="center"/>
              <w:rPr/>
            </w:pPr>
            <w:r>
              <w:rPr/>
              <w:t>49</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6560" w:type="dxa"/>
            <w:tcBorders/>
            <w:shd w:fill="FFFFFF" w:val="clear"/>
            <w:vAlign w:val="center"/>
          </w:tcPr>
          <w:p>
            <w:pPr>
              <w:pStyle w:val="TableContents"/>
              <w:bidi w:val="0"/>
              <w:spacing w:before="0" w:after="283"/>
              <w:jc w:val="left"/>
              <w:rPr/>
            </w:pPr>
            <w:hyperlink w:anchor="m_014">
              <w:r>
                <w:rPr>
                  <w:rStyle w:val="InternetLink"/>
                  <w:rFonts w:ascii="Times New Roman;Times;Serif" w:hAnsi="Times New Roman;Times;Serif"/>
                  <w:sz w:val="20"/>
                </w:rPr>
                <w:t>Related Party Transactions</w:t>
              </w:r>
            </w:hyperlink>
            <w:hyperlink w:anchor="m_014">
              <w:r>
                <w:rPr>
                  <w:rStyle w:val="InternetLink"/>
                </w:rPr>
                <w:t xml:space="preserve"> </w:t>
              </w:r>
            </w:hyperlink>
          </w:p>
        </w:tc>
        <w:tc>
          <w:tcPr>
            <w:tcW w:w="395" w:type="dxa"/>
            <w:tcBorders/>
            <w:shd w:fill="FFFFFF" w:val="clear"/>
            <w:vAlign w:val="center"/>
          </w:tcPr>
          <w:p>
            <w:pPr>
              <w:pStyle w:val="TableContents"/>
              <w:bidi w:val="0"/>
              <w:spacing w:before="0" w:after="283"/>
              <w:jc w:val="center"/>
              <w:rPr/>
            </w:pPr>
            <w:r>
              <w:rPr/>
              <w:t>49</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6560" w:type="dxa"/>
            <w:tcBorders/>
            <w:shd w:fill="CCEEFF" w:val="clear"/>
            <w:vAlign w:val="center"/>
          </w:tcPr>
          <w:p>
            <w:pPr>
              <w:pStyle w:val="TableContents"/>
              <w:bidi w:val="0"/>
              <w:spacing w:before="0" w:after="283"/>
              <w:jc w:val="left"/>
              <w:rPr/>
            </w:pPr>
            <w:hyperlink w:anchor="m_015">
              <w:r>
                <w:rPr>
                  <w:rStyle w:val="InternetLink"/>
                  <w:rFonts w:ascii="Times New Roman;Times;Serif" w:hAnsi="Times New Roman;Times;Serif"/>
                  <w:sz w:val="20"/>
                </w:rPr>
                <w:t>Internal Controls Over Financial Reporting</w:t>
              </w:r>
            </w:hyperlink>
            <w:hyperlink w:anchor="m_015">
              <w:r>
                <w:rPr>
                  <w:rStyle w:val="InternetLink"/>
                </w:rPr>
                <w:t xml:space="preserve"> </w:t>
              </w:r>
            </w:hyperlink>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6560" w:type="dxa"/>
            <w:tcBorders/>
            <w:shd w:fill="FFFFFF" w:val="clear"/>
            <w:vAlign w:val="center"/>
          </w:tcPr>
          <w:p>
            <w:pPr>
              <w:pStyle w:val="TableContents"/>
              <w:bidi w:val="0"/>
              <w:spacing w:before="0" w:after="283"/>
              <w:jc w:val="left"/>
              <w:rPr/>
            </w:pPr>
            <w:hyperlink w:anchor="m_016">
              <w:r>
                <w:rPr>
                  <w:rStyle w:val="InternetLink"/>
                  <w:rFonts w:ascii="Times New Roman;Times;Serif" w:hAnsi="Times New Roman;Times;Serif"/>
                  <w:sz w:val="20"/>
                </w:rPr>
                <w:t>Recent and Subsequent Events</w:t>
              </w:r>
            </w:hyperlink>
            <w:hyperlink w:anchor="m_016">
              <w:r>
                <w:rPr>
                  <w:rStyle w:val="InternetLink"/>
                </w:rPr>
                <w:t xml:space="preserve"> </w:t>
              </w:r>
            </w:hyperlink>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6560" w:type="dxa"/>
            <w:tcBorders/>
            <w:shd w:fill="CCEEFF" w:val="clear"/>
            <w:vAlign w:val="center"/>
          </w:tcPr>
          <w:p>
            <w:pPr>
              <w:pStyle w:val="TableContents"/>
              <w:bidi w:val="0"/>
              <w:spacing w:before="0" w:after="283"/>
              <w:jc w:val="left"/>
              <w:rPr/>
            </w:pPr>
            <w:hyperlink w:anchor="m_017">
              <w:r>
                <w:rPr>
                  <w:rStyle w:val="InternetLink"/>
                  <w:rFonts w:ascii="Times New Roman;Times;Serif" w:hAnsi="Times New Roman;Times;Serif"/>
                  <w:sz w:val="20"/>
                </w:rPr>
                <w:t>Share Capital</w:t>
              </w:r>
            </w:hyperlink>
            <w:hyperlink w:anchor="m_017">
              <w:r>
                <w:rPr>
                  <w:rStyle w:val="InternetLink"/>
                </w:rPr>
                <w:t xml:space="preserve"> </w:t>
              </w:r>
            </w:hyperlink>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6560" w:type="dxa"/>
            <w:tcBorders/>
            <w:shd w:fill="FFFFFF" w:val="clear"/>
            <w:vAlign w:val="center"/>
          </w:tcPr>
          <w:p>
            <w:pPr>
              <w:pStyle w:val="TableContents"/>
              <w:bidi w:val="0"/>
              <w:spacing w:before="0" w:after="283"/>
              <w:jc w:val="left"/>
              <w:rPr/>
            </w:pPr>
            <w:hyperlink w:anchor="m_018">
              <w:r>
                <w:rPr>
                  <w:rStyle w:val="InternetLink"/>
                  <w:rFonts w:ascii="Times New Roman;Times;Serif" w:hAnsi="Times New Roman;Times;Serif"/>
                  <w:sz w:val="20"/>
                </w:rPr>
                <w:t>Regulatory Compliance</w:t>
              </w:r>
            </w:hyperlink>
            <w:hyperlink w:anchor="m_018">
              <w:r>
                <w:rPr>
                  <w:rStyle w:val="InternetLink"/>
                </w:rPr>
                <w:t xml:space="preserve"> </w:t>
              </w:r>
            </w:hyperlink>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6560" w:type="dxa"/>
            <w:tcBorders/>
            <w:shd w:fill="CCEEFF" w:val="clear"/>
            <w:vAlign w:val="center"/>
          </w:tcPr>
          <w:p>
            <w:pPr>
              <w:pStyle w:val="TableContents"/>
              <w:bidi w:val="0"/>
              <w:spacing w:before="0" w:after="283"/>
              <w:jc w:val="left"/>
              <w:rPr/>
            </w:pPr>
            <w:hyperlink w:anchor="m_019">
              <w:r>
                <w:rPr>
                  <w:rStyle w:val="InternetLink"/>
                  <w:rFonts w:ascii="Times New Roman;Times;Serif" w:hAnsi="Times New Roman;Times;Serif"/>
                  <w:sz w:val="20"/>
                </w:rPr>
                <w:t>Risk Factors</w:t>
              </w:r>
            </w:hyperlink>
            <w:hyperlink w:anchor="m_019">
              <w:r>
                <w:rPr>
                  <w:rStyle w:val="InternetLink"/>
                </w:rPr>
                <w:t xml:space="preserve"> </w:t>
              </w:r>
            </w:hyperlink>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6560" w:type="dxa"/>
            <w:tcBorders/>
            <w:shd w:fill="FFFFFF" w:val="clear"/>
            <w:vAlign w:val="center"/>
          </w:tcPr>
          <w:p>
            <w:pPr>
              <w:pStyle w:val="TableContents"/>
              <w:bidi w:val="0"/>
              <w:spacing w:before="0" w:after="283"/>
              <w:jc w:val="left"/>
              <w:rPr/>
            </w:pPr>
            <w:hyperlink w:anchor="m_020">
              <w:r>
                <w:rPr>
                  <w:rStyle w:val="InternetLink"/>
                  <w:rFonts w:ascii="Times New Roman;Times;Serif" w:hAnsi="Times New Roman;Times;Serif"/>
                  <w:sz w:val="20"/>
                </w:rPr>
                <w:t>Significant Accounting Estimates</w:t>
              </w:r>
            </w:hyperlink>
            <w:hyperlink w:anchor="m_020">
              <w:r>
                <w:rPr>
                  <w:rStyle w:val="InternetLink"/>
                </w:rPr>
                <w:t xml:space="preserve"> </w:t>
              </w:r>
            </w:hyperlink>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560" w:type="dxa"/>
            <w:tcBorders/>
            <w:shd w:fill="CCEEFF" w:val="clear"/>
            <w:vAlign w:val="center"/>
          </w:tcPr>
          <w:p>
            <w:pPr>
              <w:pStyle w:val="TableContents"/>
              <w:bidi w:val="0"/>
              <w:spacing w:before="0" w:after="283"/>
              <w:jc w:val="left"/>
              <w:rPr/>
            </w:pPr>
            <w:hyperlink w:anchor="m_021">
              <w:r>
                <w:rPr>
                  <w:rStyle w:val="InternetLink"/>
                  <w:rFonts w:ascii="Times New Roman;Times;Serif" w:hAnsi="Times New Roman;Times;Serif"/>
                  <w:sz w:val="20"/>
                </w:rPr>
                <w:t>Material Accounting Policy Information and New Accounting Policies</w:t>
              </w:r>
            </w:hyperlink>
            <w:hyperlink w:anchor="m_021">
              <w:r>
                <w:rPr>
                  <w:rStyle w:val="InternetLink"/>
                </w:rPr>
                <w:t xml:space="preserve"> </w:t>
              </w:r>
            </w:hyperlink>
          </w:p>
        </w:tc>
        <w:tc>
          <w:tcPr>
            <w:tcW w:w="395" w:type="dxa"/>
            <w:tcBorders/>
            <w:shd w:fill="CCEEFF" w:val="clear"/>
            <w:vAlign w:val="center"/>
          </w:tcPr>
          <w:p>
            <w:pPr>
              <w:pStyle w:val="TableContents"/>
              <w:bidi w:val="0"/>
              <w:spacing w:before="0" w:after="283"/>
              <w:jc w:val="center"/>
              <w:rPr/>
            </w:pPr>
            <w:r>
              <w:rPr/>
              <w:t>98</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560" w:type="dxa"/>
            <w:tcBorders/>
            <w:shd w:fill="FFFFFF" w:val="clear"/>
            <w:vAlign w:val="center"/>
          </w:tcPr>
          <w:p>
            <w:pPr>
              <w:pStyle w:val="TableContents"/>
              <w:bidi w:val="0"/>
              <w:spacing w:before="0" w:after="283"/>
              <w:jc w:val="left"/>
              <w:rPr/>
            </w:pPr>
            <w:hyperlink w:anchor="m_022">
              <w:r>
                <w:rPr>
                  <w:rStyle w:val="InternetLink"/>
                  <w:rFonts w:ascii="Times New Roman;Times;Serif" w:hAnsi="Times New Roman;Times;Serif"/>
                  <w:sz w:val="20"/>
                </w:rPr>
                <w:t>Cautionary Note Regarding Forward-Looking Statements</w:t>
              </w:r>
            </w:hyperlink>
            <w:hyperlink w:anchor="m_022">
              <w:r>
                <w:rPr>
                  <w:rStyle w:val="InternetLink"/>
                </w:rPr>
                <w:t xml:space="preserve"> </w:t>
              </w:r>
            </w:hyperlink>
          </w:p>
        </w:tc>
        <w:tc>
          <w:tcPr>
            <w:tcW w:w="395" w:type="dxa"/>
            <w:tcBorders/>
            <w:shd w:fill="FFFFFF" w:val="clear"/>
            <w:vAlign w:val="center"/>
          </w:tcPr>
          <w:p>
            <w:pPr>
              <w:pStyle w:val="TableContents"/>
              <w:bidi w:val="0"/>
              <w:spacing w:before="0" w:after="283"/>
              <w:jc w:val="center"/>
              <w:rPr/>
            </w:pPr>
            <w:r>
              <w:rPr/>
              <w:t>99</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6560" w:type="dxa"/>
            <w:tcBorders/>
            <w:shd w:fill="CCEEFF" w:val="clear"/>
            <w:vAlign w:val="center"/>
          </w:tcPr>
          <w:p>
            <w:pPr>
              <w:pStyle w:val="TableContents"/>
              <w:bidi w:val="0"/>
              <w:spacing w:before="0" w:after="283"/>
              <w:jc w:val="left"/>
              <w:rPr/>
            </w:pPr>
            <w:hyperlink w:anchor="m_023">
              <w:r>
                <w:rPr>
                  <w:rStyle w:val="InternetLink"/>
                  <w:rFonts w:ascii="Times New Roman;Times;Serif" w:hAnsi="Times New Roman;Times;Serif"/>
                  <w:sz w:val="20"/>
                </w:rPr>
                <w:t>Cautionary Note Regarding Non-IFRS and Other Financial Measures and Ratios</w:t>
              </w:r>
            </w:hyperlink>
            <w:hyperlink w:anchor="m_023">
              <w:r>
                <w:rPr>
                  <w:rStyle w:val="InternetLink"/>
                </w:rPr>
                <w:t xml:space="preserve"> </w:t>
              </w:r>
            </w:hyperlink>
          </w:p>
        </w:tc>
        <w:tc>
          <w:tcPr>
            <w:tcW w:w="395" w:type="dxa"/>
            <w:tcBorders/>
            <w:shd w:fill="CCEEFF" w:val="clear"/>
            <w:vAlign w:val="center"/>
          </w:tcPr>
          <w:p>
            <w:pPr>
              <w:pStyle w:val="TableContents"/>
              <w:bidi w:val="0"/>
              <w:spacing w:before="0" w:after="283"/>
              <w:jc w:val="center"/>
              <w:rPr/>
            </w:pPr>
            <w:r>
              <w:rPr/>
              <w:t>101</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560" w:type="dxa"/>
            <w:tcBorders/>
            <w:shd w:fill="FFFFFF" w:val="clear"/>
            <w:vAlign w:val="center"/>
          </w:tcPr>
          <w:p>
            <w:pPr>
              <w:pStyle w:val="TableContents"/>
              <w:bidi w:val="0"/>
              <w:spacing w:before="0" w:after="283"/>
              <w:jc w:val="left"/>
              <w:rPr/>
            </w:pPr>
            <w:hyperlink w:anchor="m_024">
              <w:r>
                <w:rPr>
                  <w:rStyle w:val="InternetLink"/>
                  <w:rFonts w:ascii="Times New Roman;Times;Serif" w:hAnsi="Times New Roman;Times;Serif"/>
                  <w:sz w:val="20"/>
                </w:rPr>
                <w:t>Additional Information</w:t>
              </w:r>
            </w:hyperlink>
            <w:hyperlink w:anchor="m_024">
              <w:r>
                <w:rPr>
                  <w:rStyle w:val="InternetLink"/>
                </w:rPr>
                <w:t xml:space="preserve"> </w:t>
              </w:r>
            </w:hyperlink>
          </w:p>
        </w:tc>
        <w:tc>
          <w:tcPr>
            <w:tcW w:w="395" w:type="dxa"/>
            <w:tcBorders/>
            <w:shd w:fill="FFFFFF" w:val="clear"/>
            <w:vAlign w:val="center"/>
          </w:tcPr>
          <w:p>
            <w:pPr>
              <w:pStyle w:val="TableContents"/>
              <w:bidi w:val="0"/>
              <w:spacing w:before="0" w:after="283"/>
              <w:jc w:val="center"/>
              <w:rPr/>
            </w:pPr>
            <w:r>
              <w:rPr/>
              <w:t>101</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6560" w:type="dxa"/>
            <w:tcBorders/>
            <w:shd w:fill="CCEEFF" w:val="clear"/>
            <w:vAlign w:val="center"/>
          </w:tcPr>
          <w:p>
            <w:pPr>
              <w:pStyle w:val="TableContents"/>
              <w:bidi w:val="0"/>
              <w:spacing w:before="0" w:after="283"/>
              <w:jc w:val="left"/>
              <w:rPr/>
            </w:pPr>
            <w:hyperlink w:anchor="m_025">
              <w:r>
                <w:rPr>
                  <w:rStyle w:val="InternetLink"/>
                  <w:rFonts w:ascii="Times New Roman;Times;Serif" w:hAnsi="Times New Roman;Times;Serif"/>
                  <w:sz w:val="20"/>
                </w:rPr>
                <w:t>Glossary of Terms</w:t>
              </w:r>
            </w:hyperlink>
            <w:hyperlink w:anchor="m_025">
              <w:r>
                <w:rPr>
                  <w:rStyle w:val="InternetLink"/>
                </w:rPr>
                <w:t xml:space="preserve"> </w:t>
              </w:r>
            </w:hyperlink>
          </w:p>
        </w:tc>
        <w:tc>
          <w:tcPr>
            <w:tcW w:w="395" w:type="dxa"/>
            <w:tcBorders/>
            <w:shd w:fill="CCEEFF" w:val="clear"/>
            <w:vAlign w:val="center"/>
          </w:tcPr>
          <w:p>
            <w:pPr>
              <w:pStyle w:val="TableContents"/>
              <w:bidi w:val="0"/>
              <w:spacing w:before="0" w:after="283"/>
              <w:jc w:val="center"/>
              <w:rPr/>
            </w:pPr>
            <w:r>
              <w:rPr/>
              <w:t>102</w:t>
            </w:r>
          </w:p>
        </w:tc>
      </w:tr>
    </w:tbl>
    <w:p>
      <w:pPr>
        <w:pStyle w:val="TextBody"/>
        <w:bidi w:val="0"/>
        <w:spacing w:before="0" w:after="0"/>
        <w:ind w:left="0" w:right="0" w:hanging="0"/>
        <w:jc w:val="left"/>
        <w:rPr>
          <w:caps w:val="false"/>
          <w:smallCaps w:val="false"/>
        </w:rPr>
      </w:pPr>
      <w:r>
        <w:rPr>
          <w:caps w:val="false"/>
          <w:smallCaps w:val="false"/>
        </w:rPr>
        <w:t> </w:t>
      </w:r>
    </w:p>
    <w:tbl>
      <w:tblPr>
        <w:tblW w:w="670" w:type="dxa"/>
        <w:jc w:val="left"/>
        <w:tblInd w:w="0" w:type="dxa"/>
        <w:tblLayout w:type="fixed"/>
        <w:tblCellMar>
          <w:top w:w="28" w:type="dxa"/>
          <w:left w:w="0" w:type="dxa"/>
          <w:bottom w:w="0" w:type="dxa"/>
          <w:right w:w="0" w:type="dxa"/>
        </w:tblCellMar>
      </w:tblPr>
      <w:tblGrid>
        <w:gridCol w:w="185"/>
        <w:gridCol w:w="485"/>
      </w:tblGrid>
      <w:tr>
        <w:trPr/>
        <w:tc>
          <w:tcPr>
            <w:tcW w:w="185" w:type="dxa"/>
            <w:tcBorders>
              <w:top w:val="single" w:sz="12" w:space="0" w:color="000000"/>
            </w:tcBorders>
            <w:vAlign w:val="center"/>
          </w:tcPr>
          <w:p>
            <w:pPr>
              <w:pStyle w:val="TableContents"/>
              <w:bidi w:val="0"/>
              <w:spacing w:before="0" w:after="283"/>
              <w:jc w:val="right"/>
              <w:rPr>
                <w:sz w:val="20"/>
              </w:rPr>
            </w:pPr>
            <w:r>
              <w:rPr>
                <w:sz w:val="20"/>
              </w:rPr>
              <w:t>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9" w:name="m_001"/>
      <w:bookmarkEnd w:id="89"/>
      <w:r>
        <w:rPr>
          <w:rFonts w:ascii="Times New Roman;Times;Serif" w:hAnsi="Times New Roman;Times;Serif"/>
          <w:b/>
          <w:i w:val="false"/>
          <w:caps w:val="false"/>
          <w:smallCaps w:val="false"/>
          <w:sz w:val="20"/>
        </w:rPr>
        <w:t>1. 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Management’s Discussion and Analysis (the “MD&amp;A”) for Bitfarms Ltd. (together with its subsidiaries, the “Company” or “Bitfarms”) has been prepared as of March 26, 2025. This MD&amp;A should be read in conjunction with the Company’s audited annual consolidated financial statements and its accompanying notes for the year ended December 31, 2024 (the “Financial Statements”), as well as the most recent Annual Information Form of the Company, which are available on SEDAR+ at www.sedarplus.ca and EDGAR at www.sec.gov/edgar.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have been prepared in accordance with International Financial Reporting Standards as issued by the International Accounting Standards Board (“IFRS Accounting Standards”). The Company’s Financial Statements and this MD&amp;A are reported in thousands of U.S. dollars and U.S. dollars, respectively, except where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utilizes non-IFRS financial measures and ratios in assessing operating performance. Non-IFRS financial measures and ratios may exclude the impact of certain items and are used internally when analyzing operating performance. Refer to Section 10 - </w:t>
      </w:r>
      <w:r>
        <w:rPr>
          <w:rFonts w:ascii="Times New Roman;Times;Serif" w:hAnsi="Times New Roman;Times;Serif"/>
          <w:b w:val="false"/>
          <w:i/>
          <w:caps w:val="false"/>
          <w:smallCaps w:val="false"/>
          <w:sz w:val="20"/>
        </w:rPr>
        <w:t>Non-IFRS and Other Financial Measures and Ratios</w:t>
      </w:r>
      <w:r>
        <w:rPr>
          <w:rFonts w:ascii="Times New Roman;Times;Serif" w:hAnsi="Times New Roman;Times;Serif"/>
          <w:b w:val="false"/>
          <w:i w:val="false"/>
          <w:caps w:val="false"/>
          <w:smallCaps w:val="false"/>
          <w:sz w:val="20"/>
        </w:rPr>
        <w:t xml:space="preserve"> and Section 23 - </w:t>
      </w:r>
      <w:r>
        <w:rPr>
          <w:rFonts w:ascii="Times New Roman;Times;Serif" w:hAnsi="Times New Roman;Times;Serif"/>
          <w:b w:val="false"/>
          <w:i/>
          <w:caps w:val="false"/>
          <w:smallCaps w:val="false"/>
          <w:sz w:val="20"/>
        </w:rPr>
        <w:t xml:space="preserve">Cautionary Note Regarding Non-IFRS and Other Financial Measures and Ratios </w:t>
      </w:r>
      <w:r>
        <w:rPr>
          <w:rFonts w:ascii="Times New Roman;Times;Serif" w:hAnsi="Times New Roman;Times;Serif"/>
          <w:b w:val="false"/>
          <w:i w:val="false"/>
          <w:caps w:val="false"/>
          <w:smallCaps w:val="false"/>
          <w:sz w:val="20"/>
        </w:rPr>
        <w:t>of this MD&amp;A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MD&amp;A contains forward-looking statements. Refer to the risk factors described in Section 19 -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of this MD&amp;A and to Section 22 - </w:t>
      </w:r>
      <w:r>
        <w:rPr>
          <w:rFonts w:ascii="Times New Roman;Times;Serif" w:hAnsi="Times New Roman;Times;Serif"/>
          <w:b w:val="false"/>
          <w:i/>
          <w:caps w:val="false"/>
          <w:smallCaps w:val="false"/>
          <w:sz w:val="20"/>
        </w:rPr>
        <w:t xml:space="preserve">Cautionary Note Regarding Forward-Looking Statements </w:t>
      </w:r>
      <w:r>
        <w:rPr>
          <w:rFonts w:ascii="Times New Roman;Times;Serif" w:hAnsi="Times New Roman;Times;Serif"/>
          <w:b w:val="false"/>
          <w:i w:val="false"/>
          <w:caps w:val="false"/>
          <w:smallCaps w:val="false"/>
          <w:sz w:val="20"/>
        </w:rPr>
        <w:t xml:space="preserve">of this MD&amp;A for more information. This MD&amp;A contains various terms related to the Company’s business and industry which are defined in Section 25 - </w:t>
      </w:r>
      <w:r>
        <w:rPr>
          <w:rFonts w:ascii="Times New Roman;Times;Serif" w:hAnsi="Times New Roman;Times;Serif"/>
          <w:b w:val="false"/>
          <w:i/>
          <w:caps w:val="false"/>
          <w:smallCaps w:val="false"/>
          <w:sz w:val="20"/>
        </w:rPr>
        <w:t>Glossary of Terms</w:t>
      </w:r>
      <w:r>
        <w:rPr>
          <w:rFonts w:ascii="Times New Roman;Times;Serif" w:hAnsi="Times New Roman;Times;Serif"/>
          <w:b w:val="false"/>
          <w:i w:val="false"/>
          <w:caps w:val="false"/>
          <w:smallCaps w:val="false"/>
          <w:sz w:val="20"/>
        </w:rPr>
        <w:t xml:space="preserve"> of this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MD&amp;A, the following terms shall have the following definitions:</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28" w:type="dxa"/>
          <w:left w:w="0" w:type="dxa"/>
          <w:bottom w:w="28" w:type="dxa"/>
          <w:right w:w="0" w:type="dxa"/>
        </w:tblCellMar>
      </w:tblPr>
      <w:tblGrid>
        <w:gridCol w:w="740"/>
        <w:gridCol w:w="60"/>
        <w:gridCol w:w="3440"/>
      </w:tblGrid>
      <w:tr>
        <w:trPr/>
        <w:tc>
          <w:tcPr>
            <w:tcW w:w="74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344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740" w:type="dxa"/>
            <w:tcBorders/>
            <w:shd w:fill="FFFF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Q4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3440" w:type="dxa"/>
            <w:tcBorders/>
            <w:shd w:fill="FFFF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Three months ended December 31, 2024</w:t>
            </w:r>
          </w:p>
        </w:tc>
      </w:tr>
      <w:tr>
        <w:trPr/>
        <w:tc>
          <w:tcPr>
            <w:tcW w:w="740" w:type="dxa"/>
            <w:tcBorders/>
            <w:shd w:fill="FFFF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Q4 2023</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3440" w:type="dxa"/>
            <w:tcBorders/>
            <w:shd w:fill="FFFF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Three months ended December 31, 2023</w:t>
            </w:r>
          </w:p>
        </w:tc>
      </w:tr>
      <w:tr>
        <w:trPr/>
        <w:tc>
          <w:tcPr>
            <w:tcW w:w="740" w:type="dxa"/>
            <w:tcBorders/>
            <w:shd w:fill="FFFF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FY 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3440" w:type="dxa"/>
            <w:tcBorders/>
            <w:shd w:fill="FFFFFF" w:val="clear"/>
            <w:tcMar>
              <w:top w:w="0" w:type="dxa"/>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Twelve months ended December 31, 2024</w:t>
            </w:r>
          </w:p>
        </w:tc>
      </w:tr>
      <w:tr>
        <w:trPr/>
        <w:tc>
          <w:tcPr>
            <w:tcW w:w="740" w:type="dxa"/>
            <w:tcBorders>
              <w:bottom w:val="single" w:sz="12"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FY 2023</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3440" w:type="dxa"/>
            <w:tcBorders>
              <w:bottom w:val="single" w:sz="12" w:space="0" w:color="000000"/>
            </w:tcBorders>
            <w:shd w:fill="FFFFFF" w:val="clear"/>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Twelve months ended December 31, 2023</w:t>
            </w:r>
          </w:p>
        </w:tc>
      </w:tr>
    </w:tbl>
    <w:p>
      <w:pPr>
        <w:pStyle w:val="TextBody"/>
        <w:bidi w:val="0"/>
        <w:spacing w:before="0" w:after="0"/>
        <w:ind w:left="0" w:right="0" w:hanging="0"/>
        <w:jc w:val="both"/>
        <w:rPr>
          <w:caps w:val="false"/>
          <w:smallCaps w:val="false"/>
        </w:rPr>
      </w:pPr>
      <w:r>
        <w:rPr>
          <w:caps w:val="false"/>
          <w:smallCaps w:val="false"/>
        </w:rPr>
        <w:t> </w:t>
      </w:r>
    </w:p>
    <w:tbl>
      <w:tblPr>
        <w:tblW w:w="670" w:type="dxa"/>
        <w:jc w:val="left"/>
        <w:tblInd w:w="0" w:type="dxa"/>
        <w:tblLayout w:type="fixed"/>
        <w:tblCellMar>
          <w:top w:w="28" w:type="dxa"/>
          <w:left w:w="0" w:type="dxa"/>
          <w:bottom w:w="0" w:type="dxa"/>
          <w:right w:w="0" w:type="dxa"/>
        </w:tblCellMar>
      </w:tblPr>
      <w:tblGrid>
        <w:gridCol w:w="185"/>
        <w:gridCol w:w="485"/>
      </w:tblGrid>
      <w:tr>
        <w:trPr/>
        <w:tc>
          <w:tcPr>
            <w:tcW w:w="185" w:type="dxa"/>
            <w:tcBorders>
              <w:top w:val="single" w:sz="12" w:space="0" w:color="000000"/>
            </w:tcBorders>
            <w:vAlign w:val="center"/>
          </w:tcPr>
          <w:p>
            <w:pPr>
              <w:pStyle w:val="TableContents"/>
              <w:bidi w:val="0"/>
              <w:spacing w:before="0" w:after="283"/>
              <w:jc w:val="right"/>
              <w:rPr>
                <w:sz w:val="20"/>
              </w:rPr>
            </w:pPr>
            <w:r>
              <w:rPr>
                <w:sz w:val="20"/>
              </w:rPr>
              <w:t>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0" w:name="m_002"/>
      <w:bookmarkEnd w:id="90"/>
      <w:r>
        <w:rPr>
          <w:rFonts w:ascii="Times New Roman;Times;Serif" w:hAnsi="Times New Roman;Times;Serif"/>
          <w:b/>
          <w:i w:val="false"/>
          <w:caps w:val="false"/>
          <w:smallCaps w:val="false"/>
          <w:sz w:val="20"/>
        </w:rPr>
        <w:t>2. 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(Nasdaq/TSX: BITF) is a global, publicly traded energy and compute infrastructure company. Bitfarms primarily operates vertically integrated Bitcoin data centers with primarily in-house management and company-owned electrical engineering, installation service, and multiple onsite technical repair centers. The Company’s proprietary data analytics system delivers best-in-class operational performance and uptime.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primarily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Bitcoin (“BTC”). Bitfarms accumulates the cryptocurrency fees it receives or exchanges them for U.S. dollars through reputable and established cryptocurrency trading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15 operating Bitcoin data centers situated in four countries: Canada, the United States, Paraguay and Argentina, powered by long-term competitively priced power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operate and secure power through its production sites are summarized as follows:</w:t>
      </w:r>
    </w:p>
    <w:p>
      <w:pPr>
        <w:pStyle w:val="TextBody"/>
        <w:bidi w:val="0"/>
        <w:spacing w:before="0" w:after="0"/>
        <w:ind w:left="0" w:right="0" w:hanging="0"/>
        <w:jc w:val="left"/>
        <w:rPr>
          <w:caps w:val="false"/>
          <w:smallCaps w:val="false"/>
        </w:rPr>
      </w:pPr>
      <w:r>
        <w:rPr>
          <w:caps w:val="false"/>
          <w:smallCaps w:val="false"/>
        </w:rPr>
        <w:t>  </w:t>
      </w:r>
    </w:p>
    <w:tbl>
      <w:tblPr>
        <w:tblW w:w="6110" w:type="dxa"/>
        <w:jc w:val="left"/>
        <w:tblInd w:w="0" w:type="dxa"/>
        <w:tblLayout w:type="fixed"/>
        <w:tblCellMar>
          <w:top w:w="28" w:type="dxa"/>
          <w:left w:w="0" w:type="dxa"/>
          <w:bottom w:w="28" w:type="dxa"/>
          <w:right w:w="0" w:type="dxa"/>
        </w:tblCellMar>
      </w:tblPr>
      <w:tblGrid>
        <w:gridCol w:w="1580"/>
        <w:gridCol w:w="60"/>
        <w:gridCol w:w="60"/>
        <w:gridCol w:w="1880"/>
        <w:gridCol w:w="60"/>
        <w:gridCol w:w="60"/>
        <w:gridCol w:w="60"/>
        <w:gridCol w:w="1955"/>
        <w:gridCol w:w="395"/>
      </w:tblGrid>
      <w:tr>
        <w:trPr/>
        <w:tc>
          <w:tcPr>
            <w:tcW w:w="1580" w:type="dxa"/>
            <w:tcBorders>
              <w:top w:val="single" w:sz="8" w:space="0" w:color="000000"/>
              <w:bottom w:val="single" w:sz="8" w:space="0" w:color="000000"/>
            </w:tcBorders>
            <w:shd w:fill="FFFFFF" w:val="clear"/>
            <w:vAlign w:val="center"/>
          </w:tcPr>
          <w:p>
            <w:pPr>
              <w:pStyle w:val="TableContents"/>
              <w:bidi w:val="0"/>
              <w:spacing w:before="0" w:after="283"/>
              <w:jc w:val="left"/>
              <w:rPr>
                <w:b/>
              </w:rPr>
            </w:pPr>
            <w:r>
              <w:rPr>
                <w:b/>
              </w:rPr>
              <w:t>Country</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1880" w:type="dxa"/>
            <w:tcBorders>
              <w:top w:val="single" w:sz="8" w:space="0" w:color="000000"/>
              <w:bottom w:val="single" w:sz="8"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Energized capacity as</w:t>
              <w:br/>
              <w:t>of March 26, 2025</w:t>
            </w:r>
          </w:p>
        </w:tc>
        <w:tc>
          <w:tcPr>
            <w:tcW w:w="60" w:type="dxa"/>
            <w:tcBorders>
              <w:top w:val="single" w:sz="8" w:space="0" w:color="000000"/>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vAlign w:val="center"/>
          </w:tcPr>
          <w:p>
            <w:pPr>
              <w:pStyle w:val="TableContents"/>
              <w:bidi w:val="0"/>
              <w:spacing w:before="0" w:after="283"/>
              <w:jc w:val="left"/>
              <w:rPr/>
            </w:pPr>
            <w:r>
              <w:rPr/>
              <w:t> </w:t>
            </w:r>
          </w:p>
        </w:tc>
        <w:tc>
          <w:tcPr>
            <w:tcW w:w="1955" w:type="dxa"/>
            <w:tcBorders>
              <w:top w:val="single" w:sz="8" w:space="0" w:color="000000"/>
              <w:bottom w:val="single" w:sz="8"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Contracted capacity as</w:t>
              <w:br/>
              <w:t>of March 26, 2025</w:t>
            </w:r>
          </w:p>
        </w:tc>
        <w:tc>
          <w:tcPr>
            <w:tcW w:w="395" w:type="dxa"/>
            <w:tcBorders>
              <w:top w:val="single" w:sz="8" w:space="0" w:color="000000"/>
              <w:bottom w:val="single" w:sz="8" w:space="0" w:color="000000"/>
            </w:tcBorders>
            <w:shd w:fill="FFFFFF" w:val="clear"/>
            <w:tcMar>
              <w:bottom w:w="30" w:type="dxa"/>
            </w:tcMar>
            <w:vAlign w:val="center"/>
          </w:tcPr>
          <w:p>
            <w:pPr>
              <w:pStyle w:val="TableContents"/>
              <w:bidi w:val="0"/>
              <w:spacing w:before="0" w:after="283"/>
              <w:jc w:val="right"/>
              <w:rPr/>
            </w:pPr>
            <w:r>
              <w:rPr/>
              <w:t> </w:t>
            </w:r>
          </w:p>
        </w:tc>
      </w:tr>
      <w:tr>
        <w:trPr/>
        <w:tc>
          <w:tcPr>
            <w:tcW w:w="1580" w:type="dxa"/>
            <w:tcBorders/>
            <w:shd w:fill="FFFFFF" w:val="clear"/>
            <w:tcMar>
              <w:top w:w="0" w:type="dxa"/>
              <w:bottom w:w="0" w:type="dxa"/>
            </w:tcMar>
            <w:vAlign w:val="center"/>
          </w:tcPr>
          <w:p>
            <w:pPr>
              <w:pStyle w:val="TableContents"/>
              <w:bidi w:val="0"/>
              <w:spacing w:before="0" w:after="283"/>
              <w:jc w:val="left"/>
              <w:rPr>
                <w:b/>
              </w:rPr>
            </w:pPr>
            <w:r>
              <w:rPr>
                <w:b/>
              </w:rPr>
              <w:t>North America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880" w:type="dxa"/>
            <w:tcBorders/>
            <w:shd w:fill="FFFFFF" w:val="clear"/>
            <w:tcMar>
              <w:top w:w="0" w:type="dxa"/>
              <w:bottom w:w="0" w:type="dxa"/>
            </w:tcMar>
            <w:vAlign w:val="center"/>
          </w:tcPr>
          <w:p>
            <w:pPr>
              <w:pStyle w:val="TableContents"/>
              <w:bidi w:val="0"/>
              <w:spacing w:before="0" w:after="283"/>
              <w:jc w:val="righ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955" w:type="dxa"/>
            <w:tcBorders/>
            <w:shd w:fill="FFFFFF" w:val="clear"/>
            <w:tcMar>
              <w:top w:w="0" w:type="dxa"/>
              <w:bottom w:w="0" w:type="dxa"/>
            </w:tcMar>
            <w:vAlign w:val="center"/>
          </w:tcPr>
          <w:p>
            <w:pPr>
              <w:pStyle w:val="TableContents"/>
              <w:bidi w:val="0"/>
              <w:spacing w:before="0" w:after="283"/>
              <w:jc w:val="right"/>
              <w:rPr/>
            </w:pPr>
            <w:r>
              <w:rPr/>
              <w:t> </w:t>
            </w:r>
          </w:p>
        </w:tc>
        <w:tc>
          <w:tcPr>
            <w:tcW w:w="395" w:type="dxa"/>
            <w:tcBorders/>
            <w:shd w:fill="FFFFFF" w:val="clear"/>
            <w:tcMar>
              <w:top w:w="0" w:type="dxa"/>
              <w:bottom w:w="0" w:type="dxa"/>
            </w:tcMar>
            <w:vAlign w:val="center"/>
          </w:tcPr>
          <w:p>
            <w:pPr>
              <w:pStyle w:val="TableContents"/>
              <w:bidi w:val="0"/>
              <w:spacing w:before="0" w:after="283"/>
              <w:jc w:val="left"/>
              <w:rPr/>
            </w:pPr>
            <w:r>
              <w:rPr/>
              <w:t> </w:t>
            </w:r>
          </w:p>
        </w:tc>
      </w:tr>
      <w:tr>
        <w:trPr/>
        <w:tc>
          <w:tcPr>
            <w:tcW w:w="1580" w:type="dxa"/>
            <w:tcBorders/>
            <w:shd w:fill="CCEEFF" w:val="clear"/>
            <w:tcMar>
              <w:top w:w="0" w:type="dxa"/>
              <w:bottom w:w="0" w:type="dxa"/>
            </w:tcMar>
            <w:vAlign w:val="center"/>
          </w:tcPr>
          <w:p>
            <w:pPr>
              <w:pStyle w:val="TableContents"/>
              <w:bidi w:val="0"/>
              <w:spacing w:before="0" w:after="283"/>
              <w:jc w:val="left"/>
              <w:rPr/>
            </w:pPr>
            <w:r>
              <w:rPr/>
              <w:t>Canada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88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 MW</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955"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 MW</w:t>
            </w:r>
          </w:p>
        </w:tc>
        <w:tc>
          <w:tcPr>
            <w:tcW w:w="395" w:type="dxa"/>
            <w:tcBorders/>
            <w:shd w:fill="CCEEFF" w:val="clear"/>
            <w:tcMar>
              <w:top w:w="0" w:type="dxa"/>
              <w:bottom w:w="0" w:type="dxa"/>
            </w:tcMar>
            <w:vAlign w:val="center"/>
          </w:tcPr>
          <w:p>
            <w:pPr>
              <w:pStyle w:val="TableContents"/>
              <w:bidi w:val="0"/>
              <w:spacing w:before="0" w:after="283"/>
              <w:jc w:val="left"/>
              <w:rPr/>
            </w:pPr>
            <w:r>
              <w:rPr>
                <w:position w:val="8"/>
                <w:sz w:val="19"/>
              </w:rPr>
              <w:t>1</w:t>
            </w:r>
            <w:r>
              <w:rPr/>
              <w:t> </w:t>
            </w:r>
          </w:p>
        </w:tc>
      </w:tr>
      <w:tr>
        <w:trPr/>
        <w:tc>
          <w:tcPr>
            <w:tcW w:w="158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United States</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880"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 MW</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955"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 MW</w:t>
            </w:r>
          </w:p>
        </w:tc>
        <w:tc>
          <w:tcPr>
            <w:tcW w:w="3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position w:val="8"/>
                <w:sz w:val="19"/>
              </w:rPr>
              <w:t>2, 3</w:t>
            </w:r>
            <w:r>
              <w:rPr/>
              <w:t> </w:t>
            </w:r>
          </w:p>
        </w:tc>
      </w:tr>
      <w:tr>
        <w:trPr/>
        <w:tc>
          <w:tcPr>
            <w:tcW w:w="15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880" w:type="dxa"/>
            <w:tcBorders/>
            <w:shd w:fill="CCEEFF" w:val="clear"/>
            <w:tcMar>
              <w:top w:w="0" w:type="dxa"/>
              <w:bottom w:w="0" w:type="dxa"/>
            </w:tcMar>
            <w:vAlign w:val="center"/>
          </w:tcPr>
          <w:p>
            <w:pPr>
              <w:pStyle w:val="TableContents"/>
              <w:bidi w:val="0"/>
              <w:spacing w:before="0" w:after="283"/>
              <w:jc w:val="right"/>
              <w:rPr/>
            </w:pPr>
            <w:r>
              <w:rPr/>
              <w:t xml:space="preserve">323 </w:t>
            </w:r>
            <w:r>
              <w:rPr>
                <w:rFonts w:ascii="Times New Roman;Times;Serif" w:hAnsi="Times New Roman;Times;Serif"/>
                <w:sz w:val="20"/>
              </w:rPr>
              <w:t>MW</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955"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 MW</w:t>
            </w:r>
          </w:p>
        </w:tc>
        <w:tc>
          <w:tcPr>
            <w:tcW w:w="395" w:type="dxa"/>
            <w:tcBorders/>
            <w:shd w:fill="CCEEFF" w:val="clear"/>
            <w:tcMar>
              <w:top w:w="0" w:type="dxa"/>
              <w:bottom w:w="0" w:type="dxa"/>
            </w:tcMar>
            <w:vAlign w:val="center"/>
          </w:tcPr>
          <w:p>
            <w:pPr>
              <w:pStyle w:val="TableContents"/>
              <w:bidi w:val="0"/>
              <w:spacing w:before="0" w:after="283"/>
              <w:jc w:val="left"/>
              <w:rPr/>
            </w:pPr>
            <w:r>
              <w:rPr/>
              <w:t> </w:t>
            </w:r>
          </w:p>
        </w:tc>
      </w:tr>
      <w:tr>
        <w:trPr/>
        <w:tc>
          <w:tcPr>
            <w:tcW w:w="1580" w:type="dxa"/>
            <w:tcBorders/>
            <w:shd w:fill="FFFFFF" w:val="clear"/>
            <w:tcMar>
              <w:top w:w="0" w:type="dxa"/>
              <w:bottom w:w="0" w:type="dxa"/>
            </w:tcMar>
            <w:vAlign w:val="center"/>
          </w:tcPr>
          <w:p>
            <w:pPr>
              <w:pStyle w:val="TableContents"/>
              <w:bidi w:val="0"/>
              <w:spacing w:before="0" w:after="283"/>
              <w:jc w:val="left"/>
              <w:rPr>
                <w:b/>
              </w:rPr>
            </w:pPr>
            <w:r>
              <w:rPr>
                <w:b/>
              </w:rPr>
              <w:t>South America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880" w:type="dxa"/>
            <w:tcBorders/>
            <w:shd w:fill="FFFFFF" w:val="clear"/>
            <w:tcMar>
              <w:top w:w="0" w:type="dxa"/>
              <w:bottom w:w="0" w:type="dxa"/>
            </w:tcMar>
            <w:vAlign w:val="center"/>
          </w:tcPr>
          <w:p>
            <w:pPr>
              <w:pStyle w:val="TableContents"/>
              <w:bidi w:val="0"/>
              <w:spacing w:before="0" w:after="283"/>
              <w:jc w:val="righ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955" w:type="dxa"/>
            <w:tcBorders/>
            <w:shd w:fill="FFFFFF" w:val="clear"/>
            <w:tcMar>
              <w:top w:w="0" w:type="dxa"/>
              <w:bottom w:w="0" w:type="dxa"/>
            </w:tcMar>
            <w:vAlign w:val="center"/>
          </w:tcPr>
          <w:p>
            <w:pPr>
              <w:pStyle w:val="TableContents"/>
              <w:bidi w:val="0"/>
              <w:spacing w:before="0" w:after="283"/>
              <w:jc w:val="left"/>
              <w:rPr/>
            </w:pPr>
            <w:r>
              <w:rPr/>
              <w:t> </w:t>
            </w:r>
          </w:p>
        </w:tc>
        <w:tc>
          <w:tcPr>
            <w:tcW w:w="395" w:type="dxa"/>
            <w:tcBorders/>
            <w:shd w:fill="FFFFFF" w:val="clear"/>
            <w:tcMar>
              <w:top w:w="0" w:type="dxa"/>
              <w:bottom w:w="0" w:type="dxa"/>
            </w:tcMar>
            <w:vAlign w:val="center"/>
          </w:tcPr>
          <w:p>
            <w:pPr>
              <w:pStyle w:val="TableContents"/>
              <w:bidi w:val="0"/>
              <w:spacing w:before="0" w:after="283"/>
              <w:jc w:val="left"/>
              <w:rPr/>
            </w:pPr>
            <w:r>
              <w:rPr/>
              <w:t> </w:t>
            </w:r>
          </w:p>
        </w:tc>
      </w:tr>
      <w:tr>
        <w:trPr/>
        <w:tc>
          <w:tcPr>
            <w:tcW w:w="1580" w:type="dxa"/>
            <w:tcBorders/>
            <w:shd w:fill="CCEEFF" w:val="clear"/>
            <w:tcMar>
              <w:top w:w="0" w:type="dxa"/>
              <w:bottom w:w="0" w:type="dxa"/>
            </w:tcMar>
            <w:vAlign w:val="center"/>
          </w:tcPr>
          <w:p>
            <w:pPr>
              <w:pStyle w:val="TableContents"/>
              <w:bidi w:val="0"/>
              <w:spacing w:before="0" w:after="283"/>
              <w:jc w:val="left"/>
              <w:rPr/>
            </w:pPr>
            <w:r>
              <w:rPr/>
              <w:t>Paraguay</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88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 MW</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955"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 MW</w:t>
            </w:r>
          </w:p>
        </w:tc>
        <w:tc>
          <w:tcPr>
            <w:tcW w:w="395" w:type="dxa"/>
            <w:tcBorders/>
            <w:shd w:fill="CCEEFF" w:val="clear"/>
            <w:tcMar>
              <w:top w:w="0" w:type="dxa"/>
              <w:bottom w:w="0" w:type="dxa"/>
            </w:tcMar>
            <w:vAlign w:val="center"/>
          </w:tcPr>
          <w:p>
            <w:pPr>
              <w:pStyle w:val="TableContents"/>
              <w:bidi w:val="0"/>
              <w:spacing w:before="0" w:after="283"/>
              <w:jc w:val="left"/>
              <w:rPr/>
            </w:pPr>
            <w:r>
              <w:rPr/>
              <w:t> </w:t>
            </w:r>
          </w:p>
        </w:tc>
      </w:tr>
      <w:tr>
        <w:trPr/>
        <w:tc>
          <w:tcPr>
            <w:tcW w:w="158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Argentina</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880" w:type="dxa"/>
            <w:tcBorders>
              <w:bottom w:val="single" w:sz="8" w:space="0" w:color="000000"/>
            </w:tcBorders>
            <w:shd w:fill="FFFFFF" w:val="clear"/>
            <w:tcMar>
              <w:top w:w="0" w:type="dxa"/>
            </w:tcMar>
            <w:vAlign w:val="center"/>
          </w:tcPr>
          <w:p>
            <w:pPr>
              <w:pStyle w:val="TableContents"/>
              <w:bidi w:val="0"/>
              <w:spacing w:before="0" w:after="283"/>
              <w:jc w:val="right"/>
              <w:rPr/>
            </w:pPr>
            <w:r>
              <w:rPr/>
              <w:t>58 MW</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955"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 MW</w:t>
            </w:r>
          </w:p>
        </w:tc>
        <w:tc>
          <w:tcPr>
            <w:tcW w:w="3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position w:val="8"/>
                <w:sz w:val="19"/>
              </w:rPr>
              <w:t>4</w:t>
            </w:r>
            <w:r>
              <w:rPr/>
              <w:t> </w:t>
            </w:r>
          </w:p>
        </w:tc>
      </w:tr>
      <w:tr>
        <w:trPr/>
        <w:tc>
          <w:tcPr>
            <w:tcW w:w="158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880" w:type="dxa"/>
            <w:tcBorders>
              <w:bottom w:val="single" w:sz="8" w:space="0" w:color="000000"/>
            </w:tcBorders>
            <w:shd w:fill="CCEEFF" w:val="clear"/>
            <w:tcMar>
              <w:top w:w="0" w:type="dxa"/>
            </w:tcMar>
            <w:vAlign w:val="center"/>
          </w:tcPr>
          <w:p>
            <w:pPr>
              <w:pStyle w:val="TableContents"/>
              <w:bidi w:val="0"/>
              <w:spacing w:before="0" w:after="283"/>
              <w:jc w:val="right"/>
              <w:rPr/>
            </w:pPr>
            <w:r>
              <w:rPr/>
              <w:t>138 MW</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955"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 MW</w:t>
            </w:r>
          </w:p>
        </w:tc>
        <w:tc>
          <w:tcPr>
            <w:tcW w:w="3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r>
      <w:tr>
        <w:trPr/>
        <w:tc>
          <w:tcPr>
            <w:tcW w:w="158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1880"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 MW</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1955"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908 MW</w:t>
            </w:r>
          </w:p>
        </w:tc>
        <w:tc>
          <w:tcPr>
            <w:tcW w:w="39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8"/>
        <w:gridCol w:w="10067"/>
      </w:tblGrid>
      <w:tr>
        <w:trPr/>
        <w:tc>
          <w:tcPr>
            <w:tcW w:w="138" w:type="dxa"/>
            <w:tcBorders>
              <w:bottom w:val="single" w:sz="8" w:space="0" w:color="000000"/>
            </w:tcBorders>
            <w:vAlign w:val="center"/>
          </w:tcPr>
          <w:p>
            <w:pPr>
              <w:pStyle w:val="TableContents"/>
              <w:bidi w:val="0"/>
              <w:spacing w:before="0" w:after="283"/>
              <w:jc w:val="left"/>
              <w:rPr>
                <w:position w:val="8"/>
                <w:sz w:val="19"/>
              </w:rPr>
            </w:pPr>
            <w:r>
              <w:rPr>
                <w:position w:val="8"/>
                <w:sz w:val="19"/>
              </w:rPr>
              <w:t> </w:t>
            </w:r>
          </w:p>
        </w:tc>
        <w:tc>
          <w:tcPr>
            <w:tcW w:w="10067" w:type="dxa"/>
            <w:tcBorders>
              <w:bottom w:val="single" w:sz="8" w:space="0" w:color="000000"/>
            </w:tcBorders>
            <w:vAlign w:val="center"/>
          </w:tcPr>
          <w:p>
            <w:pPr>
              <w:pStyle w:val="TableContents"/>
              <w:bidi w:val="0"/>
              <w:spacing w:before="0" w:after="283"/>
              <w:jc w:val="left"/>
              <w:rPr/>
            </w:pPr>
            <w:r>
              <w:rPr/>
              <w:t> </w:t>
            </w:r>
          </w:p>
        </w:tc>
      </w:tr>
      <w:tr>
        <w:trPr/>
        <w:tc>
          <w:tcPr>
            <w:tcW w:w="138"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1 </w:t>
            </w:r>
          </w:p>
        </w:tc>
        <w:tc>
          <w:tcPr>
            <w:tcW w:w="1006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secured the rights for 10 MW of hydro-electricity in the province of Quebec, Canada but does not currently have an expansion plan for those 10 MW of power. Bitfarms is continuing its efforts to search for economically viable properties for the available 10 MW of hydro-electricity.</w:t>
            </w:r>
          </w:p>
        </w:tc>
      </w:tr>
      <w:tr>
        <w:trPr/>
        <w:tc>
          <w:tcPr>
            <w:tcW w:w="138"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10067" w:type="dxa"/>
            <w:tcBorders/>
            <w:tcMar>
              <w:bottom w:w="0" w:type="dxa"/>
            </w:tcMar>
            <w:vAlign w:val="center"/>
          </w:tcPr>
          <w:p>
            <w:pPr>
              <w:pStyle w:val="TableContents"/>
              <w:bidi w:val="0"/>
              <w:spacing w:before="0" w:after="283"/>
              <w:jc w:val="both"/>
              <w:rPr/>
            </w:pPr>
            <w:r>
              <w:rPr/>
              <w:t> </w:t>
            </w:r>
          </w:p>
        </w:tc>
      </w:tr>
      <w:tr>
        <w:trPr/>
        <w:tc>
          <w:tcPr>
            <w:tcW w:w="138"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2 </w:t>
            </w:r>
          </w:p>
        </w:tc>
        <w:tc>
          <w:tcPr>
            <w:tcW w:w="1006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Refer to Section 7 - </w:t>
            </w:r>
            <w:r>
              <w:rPr>
                <w:rFonts w:ascii="Times New Roman;Times;Serif" w:hAnsi="Times New Roman;Times;Serif"/>
                <w:i/>
                <w:sz w:val="20"/>
              </w:rPr>
              <w:t xml:space="preserve">Expansion Projects </w:t>
            </w:r>
            <w:r>
              <w:rPr>
                <w:rFonts w:ascii="Times New Roman;Times;Serif" w:hAnsi="Times New Roman;Times;Serif"/>
                <w:sz w:val="20"/>
              </w:rPr>
              <w:t>for details on the timing of the remaining MW not yet operational.</w:t>
            </w:r>
          </w:p>
        </w:tc>
      </w:tr>
      <w:tr>
        <w:trPr/>
        <w:tc>
          <w:tcPr>
            <w:tcW w:w="138"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10067" w:type="dxa"/>
            <w:tcBorders/>
            <w:tcMar>
              <w:bottom w:w="0" w:type="dxa"/>
            </w:tcMar>
            <w:vAlign w:val="center"/>
          </w:tcPr>
          <w:p>
            <w:pPr>
              <w:pStyle w:val="TableContents"/>
              <w:bidi w:val="0"/>
              <w:spacing w:before="0" w:after="283"/>
              <w:jc w:val="both"/>
              <w:rPr/>
            </w:pPr>
            <w:r>
              <w:rPr/>
              <w:t> </w:t>
            </w:r>
          </w:p>
        </w:tc>
      </w:tr>
      <w:tr>
        <w:trPr/>
        <w:tc>
          <w:tcPr>
            <w:tcW w:w="138"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3 </w:t>
            </w:r>
          </w:p>
        </w:tc>
        <w:tc>
          <w:tcPr>
            <w:tcW w:w="1006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through its recent acquisition of Stronghold Digital Mining Inc., has a hosting contract to operate 21 MW of Miners on behalf of a third party at the Panther Creek Bitcoin data center.</w:t>
            </w:r>
          </w:p>
        </w:tc>
      </w:tr>
      <w:tr>
        <w:trPr/>
        <w:tc>
          <w:tcPr>
            <w:tcW w:w="138"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10067" w:type="dxa"/>
            <w:tcBorders/>
            <w:tcMar>
              <w:bottom w:w="0" w:type="dxa"/>
            </w:tcMar>
            <w:vAlign w:val="center"/>
          </w:tcPr>
          <w:p>
            <w:pPr>
              <w:pStyle w:val="TableContents"/>
              <w:bidi w:val="0"/>
              <w:spacing w:before="0" w:after="283"/>
              <w:jc w:val="both"/>
              <w:rPr/>
            </w:pPr>
            <w:r>
              <w:rPr/>
              <w:t> </w:t>
            </w:r>
          </w:p>
        </w:tc>
      </w:tr>
      <w:tr>
        <w:trPr/>
        <w:tc>
          <w:tcPr>
            <w:tcW w:w="138"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4 </w:t>
            </w:r>
          </w:p>
        </w:tc>
        <w:tc>
          <w:tcPr>
            <w:tcW w:w="1006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retains the option, subject to the receipt of additional government approvals, to expand the Rio Cuarto operation to the full contracted amount of 210 MW. Due to the ongoing political and economic uncertainty in Argentina, the Company currently believes a higher expected return can be achieved from expanding and further developing its other locations.</w:t>
            </w:r>
          </w:p>
        </w:tc>
      </w:tr>
    </w:tbl>
    <w:p>
      <w:pPr>
        <w:pStyle w:val="TextBody"/>
        <w:bidi w:val="0"/>
        <w:spacing w:before="0" w:after="0"/>
        <w:ind w:left="0" w:right="0" w:hanging="0"/>
        <w:jc w:val="both"/>
        <w:rPr>
          <w:caps w:val="false"/>
          <w:smallCaps w:val="false"/>
        </w:rPr>
      </w:pPr>
      <w:r>
        <w:rPr>
          <w:caps w:val="false"/>
          <w:smallCaps w:val="false"/>
        </w:rPr>
        <w:t> </w:t>
      </w:r>
    </w:p>
    <w:tbl>
      <w:tblPr>
        <w:tblW w:w="670" w:type="dxa"/>
        <w:jc w:val="left"/>
        <w:tblInd w:w="0" w:type="dxa"/>
        <w:tblLayout w:type="fixed"/>
        <w:tblCellMar>
          <w:top w:w="28" w:type="dxa"/>
          <w:left w:w="0" w:type="dxa"/>
          <w:bottom w:w="0" w:type="dxa"/>
          <w:right w:w="0" w:type="dxa"/>
        </w:tblCellMar>
      </w:tblPr>
      <w:tblGrid>
        <w:gridCol w:w="185"/>
        <w:gridCol w:w="485"/>
      </w:tblGrid>
      <w:tr>
        <w:trPr/>
        <w:tc>
          <w:tcPr>
            <w:tcW w:w="185" w:type="dxa"/>
            <w:tcBorders>
              <w:top w:val="single" w:sz="12" w:space="0" w:color="000000"/>
            </w:tcBorders>
            <w:vAlign w:val="center"/>
          </w:tcPr>
          <w:p>
            <w:pPr>
              <w:pStyle w:val="TableContents"/>
              <w:bidi w:val="0"/>
              <w:spacing w:before="0" w:after="283"/>
              <w:jc w:val="right"/>
              <w:rPr>
                <w:sz w:val="20"/>
              </w:rPr>
            </w:pPr>
            <w:r>
              <w:rPr>
                <w:sz w:val="20"/>
              </w:rPr>
              <w:t>4 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1" w:name="m_003"/>
      <w:bookmarkEnd w:id="91"/>
      <w:r>
        <w:rPr>
          <w:rFonts w:ascii="Times New Roman;Times;Serif" w:hAnsi="Times New Roman;Times;Serif"/>
          <w:b/>
          <w:i w:val="false"/>
          <w:caps w:val="false"/>
          <w:smallCaps w:val="false"/>
          <w:sz w:val="20"/>
        </w:rPr>
        <w:t>3. FINANCIAL HIGHLIGHTS</w:t>
      </w:r>
    </w:p>
    <w:p>
      <w:pPr>
        <w:pStyle w:val="TextBody"/>
        <w:bidi w:val="0"/>
        <w:spacing w:before="0" w:after="0"/>
        <w:ind w:left="0" w:right="0" w:hanging="0"/>
        <w:jc w:val="both"/>
        <w:rPr>
          <w:caps w:val="false"/>
          <w:smallCaps w:val="false"/>
        </w:rPr>
      </w:pPr>
      <w:r>
        <w:rPr>
          <w:caps w:val="false"/>
          <w:smallCaps w:val="false"/>
        </w:rPr>
        <w:t> </w:t>
      </w:r>
    </w:p>
    <w:tbl>
      <w:tblPr>
        <w:tblW w:w="8300" w:type="dxa"/>
        <w:jc w:val="left"/>
        <w:tblInd w:w="0" w:type="dxa"/>
        <w:tblLayout w:type="fixed"/>
        <w:tblCellMar>
          <w:top w:w="28" w:type="dxa"/>
          <w:left w:w="0" w:type="dxa"/>
          <w:bottom w:w="0" w:type="dxa"/>
          <w:right w:w="0" w:type="dxa"/>
        </w:tblCellMar>
      </w:tblPr>
      <w:tblGrid>
        <w:gridCol w:w="4385"/>
        <w:gridCol w:w="60"/>
        <w:gridCol w:w="60"/>
        <w:gridCol w:w="875"/>
        <w:gridCol w:w="335"/>
        <w:gridCol w:w="60"/>
        <w:gridCol w:w="60"/>
        <w:gridCol w:w="875"/>
        <w:gridCol w:w="290"/>
        <w:gridCol w:w="60"/>
        <w:gridCol w:w="60"/>
        <w:gridCol w:w="875"/>
        <w:gridCol w:w="305"/>
      </w:tblGrid>
      <w:tr>
        <w:trPr/>
        <w:tc>
          <w:tcPr>
            <w:tcW w:w="4385" w:type="dxa"/>
            <w:tcBorders>
              <w:top w:val="single" w:sz="8" w:space="0" w:color="000000"/>
            </w:tcBorders>
            <w:vAlign w:val="center"/>
          </w:tcPr>
          <w:p>
            <w:pPr>
              <w:pStyle w:val="TableContents"/>
              <w:bidi w:val="0"/>
              <w:spacing w:before="0" w:after="283"/>
              <w:jc w:val="left"/>
              <w:rPr/>
            </w:pPr>
            <w:r>
              <w:rPr/>
              <w:t> </w:t>
            </w:r>
          </w:p>
        </w:tc>
        <w:tc>
          <w:tcPr>
            <w:tcW w:w="60" w:type="dxa"/>
            <w:tcBorders>
              <w:top w:val="single" w:sz="8" w:space="0" w:color="000000"/>
            </w:tcBorders>
            <w:vAlign w:val="center"/>
          </w:tcPr>
          <w:p>
            <w:pPr>
              <w:pStyle w:val="TableContents"/>
              <w:bidi w:val="0"/>
              <w:spacing w:before="0" w:after="283"/>
              <w:jc w:val="left"/>
              <w:rPr/>
            </w:pPr>
            <w:r>
              <w:rPr/>
              <w:t> </w:t>
            </w:r>
          </w:p>
        </w:tc>
        <w:tc>
          <w:tcPr>
            <w:tcW w:w="3550" w:type="dxa"/>
            <w:gridSpan w:val="10"/>
            <w:tcBorders>
              <w:top w:val="single" w:sz="8" w:space="0" w:color="000000"/>
            </w:tcBorders>
            <w:vAlign w:val="center"/>
          </w:tcPr>
          <w:p>
            <w:pPr>
              <w:pStyle w:val="TableContents"/>
              <w:bidi w:val="0"/>
              <w:spacing w:before="0" w:after="283"/>
              <w:jc w:val="center"/>
              <w:rPr>
                <w:b/>
              </w:rPr>
            </w:pPr>
            <w:r>
              <w:rPr>
                <w:b/>
              </w:rPr>
              <w:t>Year ended December 31,</w:t>
            </w:r>
          </w:p>
        </w:tc>
        <w:tc>
          <w:tcPr>
            <w:tcW w:w="305" w:type="dxa"/>
            <w:tcBorders>
              <w:top w:val="single" w:sz="8" w:space="0" w:color="000000"/>
            </w:tcBorders>
            <w:vAlign w:val="center"/>
          </w:tcPr>
          <w:p>
            <w:pPr>
              <w:pStyle w:val="TableContents"/>
              <w:bidi w:val="0"/>
              <w:spacing w:before="0" w:after="283"/>
              <w:jc w:val="left"/>
              <w:rPr/>
            </w:pPr>
            <w:r>
              <w:rPr/>
              <w:t> </w:t>
            </w:r>
          </w:p>
        </w:tc>
      </w:tr>
      <w:tr>
        <w:trPr/>
        <w:tc>
          <w:tcPr>
            <w:tcW w:w="4385" w:type="dxa"/>
            <w:tcBorders>
              <w:top w:val="single" w:sz="8" w:space="0" w:color="000000"/>
              <w:bottom w:val="single" w:sz="8" w:space="0" w:color="000000"/>
            </w:tcBorders>
            <w:tcMar>
              <w:bottom w:w="28" w:type="dxa"/>
            </w:tcMar>
            <w:vAlign w:val="center"/>
          </w:tcPr>
          <w:p>
            <w:pPr>
              <w:pStyle w:val="TableContents"/>
              <w:bidi w:val="0"/>
              <w:spacing w:before="0" w:after="283"/>
              <w:jc w:val="left"/>
              <w:rPr/>
            </w:pPr>
            <w:r>
              <w:rPr/>
              <w:t>(U.S.$ in thousands except where indicated)</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left"/>
              <w:rPr/>
            </w:pPr>
            <w:r>
              <w:rPr/>
              <w:t> </w:t>
            </w:r>
          </w:p>
        </w:tc>
        <w:tc>
          <w:tcPr>
            <w:tcW w:w="935" w:type="dxa"/>
            <w:gridSpan w:val="2"/>
            <w:tcBorders>
              <w:top w:val="single" w:sz="8" w:space="0" w:color="000000"/>
              <w:bottom w:val="single" w:sz="8" w:space="0" w:color="000000"/>
            </w:tcBorders>
            <w:tcMar>
              <w:bottom w:w="28" w:type="dxa"/>
            </w:tcMar>
            <w:vAlign w:val="center"/>
          </w:tcPr>
          <w:p>
            <w:pPr>
              <w:pStyle w:val="TableContents"/>
              <w:bidi w:val="0"/>
              <w:spacing w:before="0" w:after="283"/>
              <w:jc w:val="right"/>
              <w:rPr>
                <w:b/>
              </w:rPr>
            </w:pPr>
            <w:r>
              <w:rPr>
                <w:b/>
              </w:rPr>
              <w:t>2024</w:t>
            </w:r>
          </w:p>
        </w:tc>
        <w:tc>
          <w:tcPr>
            <w:tcW w:w="335" w:type="dxa"/>
            <w:tcBorders>
              <w:top w:val="single" w:sz="8" w:space="0" w:color="000000"/>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left"/>
              <w:rPr/>
            </w:pPr>
            <w:r>
              <w:rPr/>
              <w:t> </w:t>
            </w:r>
          </w:p>
        </w:tc>
        <w:tc>
          <w:tcPr>
            <w:tcW w:w="935" w:type="dxa"/>
            <w:gridSpan w:val="2"/>
            <w:tcBorders>
              <w:top w:val="single" w:sz="8" w:space="0" w:color="000000"/>
              <w:bottom w:val="single" w:sz="8" w:space="0" w:color="000000"/>
            </w:tcBorders>
            <w:tcMar>
              <w:bottom w:w="28" w:type="dxa"/>
            </w:tcMar>
            <w:vAlign w:val="center"/>
          </w:tcPr>
          <w:p>
            <w:pPr>
              <w:pStyle w:val="TableContents"/>
              <w:bidi w:val="0"/>
              <w:spacing w:before="0" w:after="283"/>
              <w:jc w:val="right"/>
              <w:rPr/>
            </w:pPr>
            <w:r>
              <w:rPr/>
              <w:t>2023</w:t>
            </w:r>
          </w:p>
        </w:tc>
        <w:tc>
          <w:tcPr>
            <w:tcW w:w="290" w:type="dxa"/>
            <w:tcBorders>
              <w:top w:val="single" w:sz="8" w:space="0" w:color="000000"/>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left"/>
              <w:rPr/>
            </w:pPr>
            <w:r>
              <w:rPr/>
              <w:t> </w:t>
            </w:r>
          </w:p>
        </w:tc>
        <w:tc>
          <w:tcPr>
            <w:tcW w:w="935" w:type="dxa"/>
            <w:gridSpan w:val="2"/>
            <w:tcBorders>
              <w:top w:val="single" w:sz="8" w:space="0" w:color="000000"/>
              <w:bottom w:val="single" w:sz="8" w:space="0" w:color="000000"/>
            </w:tcBorders>
            <w:tcMar>
              <w:bottom w:w="28" w:type="dxa"/>
            </w:tcMar>
            <w:vAlign w:val="center"/>
          </w:tcPr>
          <w:p>
            <w:pPr>
              <w:pStyle w:val="TableContents"/>
              <w:bidi w:val="0"/>
              <w:spacing w:before="0" w:after="283"/>
              <w:jc w:val="right"/>
              <w:rPr/>
            </w:pPr>
            <w:r>
              <w:rPr/>
              <w:t>2022</w:t>
            </w:r>
          </w:p>
        </w:tc>
        <w:tc>
          <w:tcPr>
            <w:tcW w:w="305" w:type="dxa"/>
            <w:tcBorders>
              <w:top w:val="single" w:sz="8" w:space="0" w:color="000000"/>
              <w:bottom w:val="single" w:sz="8" w:space="0" w:color="000000"/>
            </w:tcBorders>
            <w:tcMar>
              <w:bottom w:w="28" w:type="dxa"/>
            </w:tcMar>
            <w:vAlign w:val="center"/>
          </w:tcPr>
          <w:p>
            <w:pPr>
              <w:pStyle w:val="TableContents"/>
              <w:bidi w:val="0"/>
              <w:spacing w:before="0" w:after="283"/>
              <w:jc w:val="left"/>
              <w:rPr/>
            </w:pPr>
            <w:r>
              <w:rPr/>
              <w:t> </w:t>
            </w:r>
          </w:p>
        </w:tc>
      </w:tr>
      <w:tr>
        <w:trPr/>
        <w:tc>
          <w:tcPr>
            <w:tcW w:w="4385" w:type="dxa"/>
            <w:tcBorders/>
            <w:shd w:fill="CCEEFF" w:val="clear"/>
            <w:tcMar>
              <w:top w:w="0" w:type="dxa"/>
            </w:tcMar>
            <w:vAlign w:val="center"/>
          </w:tcPr>
          <w:p>
            <w:pPr>
              <w:pStyle w:val="TableContents"/>
              <w:bidi w:val="0"/>
              <w:spacing w:before="0" w:after="283"/>
              <w:jc w:val="left"/>
              <w:rPr>
                <w:b/>
              </w:rPr>
            </w:pPr>
            <w:r>
              <w:rPr>
                <w:b/>
              </w:rPr>
              <w:t>Revenues</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b/>
              </w:rPr>
            </w:pPr>
            <w:r>
              <w:rPr>
                <w:b/>
              </w:rPr>
              <w:t>192,881</w:t>
            </w:r>
          </w:p>
        </w:tc>
        <w:tc>
          <w:tcPr>
            <w:tcW w:w="33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pPr>
            <w:r>
              <w:rPr/>
              <w:t>146,366</w:t>
            </w:r>
          </w:p>
        </w:tc>
        <w:tc>
          <w:tcPr>
            <w:tcW w:w="29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pPr>
            <w:r>
              <w:rPr/>
              <w:t>142,428</w:t>
            </w:r>
          </w:p>
        </w:tc>
        <w:tc>
          <w:tcPr>
            <w:tcW w:w="305" w:type="dxa"/>
            <w:tcBorders/>
            <w:shd w:fill="CCEEFF" w:val="clear"/>
            <w:tcMar>
              <w:top w:w="0" w:type="dxa"/>
            </w:tcMar>
            <w:vAlign w:val="center"/>
          </w:tcPr>
          <w:p>
            <w:pPr>
              <w:pStyle w:val="TableContents"/>
              <w:bidi w:val="0"/>
              <w:spacing w:before="0" w:after="283"/>
              <w:jc w:val="left"/>
              <w:rPr/>
            </w:pPr>
            <w:r>
              <w:rPr/>
              <w:t> </w:t>
            </w:r>
          </w:p>
        </w:tc>
      </w:tr>
      <w:tr>
        <w:trPr/>
        <w:tc>
          <w:tcPr>
            <w:tcW w:w="4385" w:type="dxa"/>
            <w:tcBorders/>
            <w:shd w:fill="FFFFFF" w:val="clear"/>
            <w:tcMar>
              <w:top w:w="0" w:type="dxa"/>
            </w:tcMar>
            <w:vAlign w:val="center"/>
          </w:tcPr>
          <w:p>
            <w:pPr>
              <w:pStyle w:val="TableContents"/>
              <w:bidi w:val="0"/>
              <w:spacing w:before="0" w:after="283"/>
              <w:jc w:val="left"/>
              <w:rPr/>
            </w:pPr>
            <w:r>
              <w:rPr/>
              <w:t>Gross (loss) profit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b/>
              </w:rPr>
            </w:pPr>
            <w:r>
              <w:rPr>
                <w:b/>
              </w:rPr>
              <w:t>(32,359</w:t>
            </w:r>
          </w:p>
        </w:tc>
        <w:tc>
          <w:tcPr>
            <w:tcW w:w="335" w:type="dxa"/>
            <w:tcBorders/>
            <w:shd w:fill="FFFFFF" w:val="clear"/>
            <w:tcMar>
              <w:top w:w="0" w:type="dxa"/>
            </w:tcMar>
            <w:vAlign w:val="center"/>
          </w:tcPr>
          <w:p>
            <w:pPr>
              <w:pStyle w:val="TableContents"/>
              <w:bidi w:val="0"/>
              <w:spacing w:before="0" w:after="283"/>
              <w:jc w:val="left"/>
              <w:rPr>
                <w:b/>
              </w:rPr>
            </w:pPr>
            <w:r>
              <w:rPr>
                <w:b/>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(21,502</w:t>
            </w:r>
          </w:p>
        </w:tc>
        <w:tc>
          <w:tcPr>
            <w:tcW w:w="290" w:type="dxa"/>
            <w:tcBorders/>
            <w:shd w:fill="FFFFFF" w:val="clear"/>
            <w:tcMar>
              <w:top w:w="0" w:type="dxa"/>
            </w:tcMar>
            <w:vAlign w:val="center"/>
          </w:tcPr>
          <w:p>
            <w:pPr>
              <w:pStyle w:val="TableContents"/>
              <w:bidi w:val="0"/>
              <w:spacing w:before="0" w:after="283"/>
              <w:jc w:val="left"/>
              <w:rPr/>
            </w:pPr>
            <w:r>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10,518</w:t>
            </w:r>
          </w:p>
        </w:tc>
        <w:tc>
          <w:tcPr>
            <w:tcW w:w="305" w:type="dxa"/>
            <w:tcBorders/>
            <w:shd w:fill="FFFFFF" w:val="clear"/>
            <w:tcMar>
              <w:top w:w="0" w:type="dxa"/>
            </w:tcMar>
            <w:vAlign w:val="center"/>
          </w:tcPr>
          <w:p>
            <w:pPr>
              <w:pStyle w:val="TableContents"/>
              <w:bidi w:val="0"/>
              <w:spacing w:before="0" w:after="283"/>
              <w:jc w:val="left"/>
              <w:rPr/>
            </w:pPr>
            <w:r>
              <w:rPr/>
              <w:t> </w:t>
            </w:r>
          </w:p>
        </w:tc>
      </w:tr>
      <w:tr>
        <w:trPr/>
        <w:tc>
          <w:tcPr>
            <w:tcW w:w="438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Gross margin </w:t>
            </w:r>
            <w:r>
              <w:rPr>
                <w:rFonts w:ascii="Times New Roman;Times;Serif" w:hAnsi="Times New Roman;Times;Serif"/>
                <w:position w:val="7"/>
                <w:sz w:val="16"/>
                <w:sz w:val="20"/>
              </w:rPr>
              <w:t>(1)</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b/>
              </w:rPr>
            </w:pPr>
            <w:r>
              <w:rPr>
                <w:b/>
              </w:rPr>
              <w:t>(17</w:t>
            </w:r>
          </w:p>
        </w:tc>
        <w:tc>
          <w:tcPr>
            <w:tcW w:w="335" w:type="dxa"/>
            <w:tcBorders/>
            <w:shd w:fill="CCEEFF" w:val="clear"/>
            <w:tcMar>
              <w:top w:w="0" w:type="dxa"/>
            </w:tcMar>
            <w:vAlign w:val="center"/>
          </w:tcPr>
          <w:p>
            <w:pPr>
              <w:pStyle w:val="TableContents"/>
              <w:bidi w:val="0"/>
              <w:spacing w:before="0" w:after="283"/>
              <w:jc w:val="left"/>
              <w:rPr>
                <w:b/>
              </w:rPr>
            </w:pPr>
            <w:r>
              <w:rPr>
                <w:b/>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pPr>
            <w:r>
              <w:rPr/>
              <w:t>(15</w:t>
            </w:r>
          </w:p>
        </w:tc>
        <w:tc>
          <w:tcPr>
            <w:tcW w:w="290" w:type="dxa"/>
            <w:tcBorders/>
            <w:shd w:fill="CCEEFF" w:val="clear"/>
            <w:tcMar>
              <w:top w:w="0" w:type="dxa"/>
            </w:tcMar>
            <w:vAlign w:val="center"/>
          </w:tcPr>
          <w:p>
            <w:pPr>
              <w:pStyle w:val="TableContents"/>
              <w:bidi w:val="0"/>
              <w:spacing w:before="0" w:after="283"/>
              <w:jc w:val="left"/>
              <w:rPr/>
            </w:pPr>
            <w:r>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pPr>
            <w:r>
              <w:rPr/>
              <w:t>7</w:t>
            </w:r>
          </w:p>
        </w:tc>
        <w:tc>
          <w:tcPr>
            <w:tcW w:w="305" w:type="dxa"/>
            <w:tcBorders/>
            <w:shd w:fill="CCEEFF" w:val="clear"/>
            <w:tcMar>
              <w:top w:w="0" w:type="dxa"/>
            </w:tcMar>
            <w:vAlign w:val="center"/>
          </w:tcPr>
          <w:p>
            <w:pPr>
              <w:pStyle w:val="TableContents"/>
              <w:bidi w:val="0"/>
              <w:spacing w:before="0" w:after="283"/>
              <w:jc w:val="left"/>
              <w:rPr/>
            </w:pPr>
            <w:r>
              <w:rPr/>
              <w:t>%</w:t>
            </w:r>
          </w:p>
        </w:tc>
      </w:tr>
      <w:tr>
        <w:trPr/>
        <w:tc>
          <w:tcPr>
            <w:tcW w:w="4385" w:type="dxa"/>
            <w:tcBorders/>
            <w:shd w:fill="FFFFFF" w:val="clear"/>
            <w:tcMar>
              <w:top w:w="0" w:type="dxa"/>
            </w:tcMar>
            <w:vAlign w:val="center"/>
          </w:tcPr>
          <w:p>
            <w:pPr>
              <w:pStyle w:val="TableContents"/>
              <w:bidi w:val="0"/>
              <w:spacing w:before="0" w:after="283"/>
              <w:jc w:val="left"/>
              <w:rPr/>
            </w:pPr>
            <w:r>
              <w:rPr/>
              <w:t>Operating loss</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b/>
              </w:rPr>
            </w:pPr>
            <w:r>
              <w:rPr>
                <w:b/>
              </w:rPr>
              <w:t>(107,563</w:t>
            </w:r>
          </w:p>
        </w:tc>
        <w:tc>
          <w:tcPr>
            <w:tcW w:w="335" w:type="dxa"/>
            <w:tcBorders/>
            <w:shd w:fill="FFFFFF" w:val="clear"/>
            <w:tcMar>
              <w:top w:w="0" w:type="dxa"/>
            </w:tcMar>
            <w:vAlign w:val="center"/>
          </w:tcPr>
          <w:p>
            <w:pPr>
              <w:pStyle w:val="TableContents"/>
              <w:bidi w:val="0"/>
              <w:spacing w:before="0" w:after="283"/>
              <w:jc w:val="left"/>
              <w:rPr>
                <w:b/>
              </w:rPr>
            </w:pPr>
            <w:r>
              <w:rPr>
                <w:b/>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(72,129</w:t>
            </w:r>
          </w:p>
        </w:tc>
        <w:tc>
          <w:tcPr>
            <w:tcW w:w="290" w:type="dxa"/>
            <w:tcBorders/>
            <w:shd w:fill="FFFFFF" w:val="clear"/>
            <w:tcMar>
              <w:top w:w="0" w:type="dxa"/>
            </w:tcMar>
            <w:vAlign w:val="center"/>
          </w:tcPr>
          <w:p>
            <w:pPr>
              <w:pStyle w:val="TableContents"/>
              <w:bidi w:val="0"/>
              <w:spacing w:before="0" w:after="283"/>
              <w:jc w:val="left"/>
              <w:rPr/>
            </w:pPr>
            <w:r>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(284,022</w:t>
            </w:r>
          </w:p>
        </w:tc>
        <w:tc>
          <w:tcPr>
            <w:tcW w:w="305" w:type="dxa"/>
            <w:tcBorders/>
            <w:shd w:fill="FFFFFF" w:val="clear"/>
            <w:tcMar>
              <w:top w:w="0" w:type="dxa"/>
            </w:tcMar>
            <w:vAlign w:val="center"/>
          </w:tcPr>
          <w:p>
            <w:pPr>
              <w:pStyle w:val="TableContents"/>
              <w:bidi w:val="0"/>
              <w:spacing w:before="0" w:after="283"/>
              <w:jc w:val="left"/>
              <w:rPr/>
            </w:pPr>
            <w:r>
              <w:rPr/>
              <w:t>)</w:t>
            </w:r>
          </w:p>
        </w:tc>
      </w:tr>
      <w:tr>
        <w:trPr/>
        <w:tc>
          <w:tcPr>
            <w:tcW w:w="4385"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Operating margin </w:t>
            </w:r>
            <w:r>
              <w:rPr>
                <w:rFonts w:ascii="Times New Roman;Times;Serif" w:hAnsi="Times New Roman;Times;Serif"/>
                <w:position w:val="7"/>
                <w:sz w:val="16"/>
                <w:sz w:val="20"/>
              </w:rPr>
              <w:t>(1)</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28" w:type="dxa"/>
            </w:tcMar>
            <w:vAlign w:val="center"/>
          </w:tcPr>
          <w:p>
            <w:pPr>
              <w:pStyle w:val="TableContents"/>
              <w:bidi w:val="0"/>
              <w:spacing w:before="0" w:after="283"/>
              <w:jc w:val="right"/>
              <w:rPr>
                <w:b/>
              </w:rPr>
            </w:pPr>
            <w:r>
              <w:rPr>
                <w:b/>
              </w:rPr>
              <w:t>(56</w:t>
            </w:r>
          </w:p>
        </w:tc>
        <w:tc>
          <w:tcPr>
            <w:tcW w:w="335" w:type="dxa"/>
            <w:tcBorders>
              <w:bottom w:val="single" w:sz="8" w:space="0" w:color="000000"/>
            </w:tcBorders>
            <w:shd w:fill="CCEEFF" w:val="clear"/>
            <w:tcMar>
              <w:top w:w="0" w:type="dxa"/>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28" w:type="dxa"/>
            </w:tcMar>
            <w:vAlign w:val="center"/>
          </w:tcPr>
          <w:p>
            <w:pPr>
              <w:pStyle w:val="TableContents"/>
              <w:bidi w:val="0"/>
              <w:spacing w:before="0" w:after="283"/>
              <w:jc w:val="right"/>
              <w:rPr/>
            </w:pPr>
            <w:r>
              <w:rPr/>
              <w:t>(49</w:t>
            </w:r>
          </w:p>
        </w:tc>
        <w:tc>
          <w:tcPr>
            <w:tcW w:w="29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28" w:type="dxa"/>
            </w:tcMar>
            <w:vAlign w:val="center"/>
          </w:tcPr>
          <w:p>
            <w:pPr>
              <w:pStyle w:val="TableContents"/>
              <w:bidi w:val="0"/>
              <w:spacing w:before="0" w:after="283"/>
              <w:jc w:val="right"/>
              <w:rPr/>
            </w:pPr>
            <w:r>
              <w:rPr/>
              <w:t>(199</w:t>
            </w:r>
          </w:p>
        </w:tc>
        <w:tc>
          <w:tcPr>
            <w:tcW w:w="305"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w:t>
            </w:r>
          </w:p>
        </w:tc>
      </w:tr>
      <w:tr>
        <w:trPr/>
        <w:tc>
          <w:tcPr>
            <w:tcW w:w="4385" w:type="dxa"/>
            <w:tcBorders/>
            <w:shd w:fill="FFFFFF" w:val="clear"/>
            <w:tcMar>
              <w:top w:w="0" w:type="dxa"/>
            </w:tcMar>
            <w:vAlign w:val="center"/>
          </w:tcPr>
          <w:p>
            <w:pPr>
              <w:pStyle w:val="TableContents"/>
              <w:bidi w:val="0"/>
              <w:spacing w:before="0" w:after="283"/>
              <w:jc w:val="left"/>
              <w:rPr/>
            </w:pPr>
            <w:r>
              <w:rPr/>
              <w:t>Net loss</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b/>
              </w:rPr>
            </w:pPr>
            <w:r>
              <w:rPr>
                <w:b/>
              </w:rPr>
              <w:t>(54,063</w:t>
            </w:r>
          </w:p>
        </w:tc>
        <w:tc>
          <w:tcPr>
            <w:tcW w:w="335" w:type="dxa"/>
            <w:tcBorders/>
            <w:shd w:fill="FFFFFF" w:val="clear"/>
            <w:tcMar>
              <w:top w:w="0" w:type="dxa"/>
            </w:tcMar>
            <w:vAlign w:val="center"/>
          </w:tcPr>
          <w:p>
            <w:pPr>
              <w:pStyle w:val="TableContents"/>
              <w:bidi w:val="0"/>
              <w:spacing w:before="0" w:after="283"/>
              <w:jc w:val="left"/>
              <w:rPr>
                <w:b/>
              </w:rPr>
            </w:pPr>
            <w:r>
              <w:rPr>
                <w:b/>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(108,922</w:t>
            </w:r>
          </w:p>
        </w:tc>
        <w:tc>
          <w:tcPr>
            <w:tcW w:w="290" w:type="dxa"/>
            <w:tcBorders/>
            <w:shd w:fill="FFFFFF" w:val="clear"/>
            <w:tcMar>
              <w:top w:w="0" w:type="dxa"/>
            </w:tcMar>
            <w:vAlign w:val="center"/>
          </w:tcPr>
          <w:p>
            <w:pPr>
              <w:pStyle w:val="TableContents"/>
              <w:bidi w:val="0"/>
              <w:spacing w:before="0" w:after="283"/>
              <w:jc w:val="left"/>
              <w:rPr/>
            </w:pPr>
            <w:r>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(175,644</w:t>
            </w:r>
          </w:p>
        </w:tc>
        <w:tc>
          <w:tcPr>
            <w:tcW w:w="305" w:type="dxa"/>
            <w:tcBorders/>
            <w:shd w:fill="FFFFFF" w:val="clear"/>
            <w:tcMar>
              <w:top w:w="0" w:type="dxa"/>
            </w:tcMar>
            <w:vAlign w:val="center"/>
          </w:tcPr>
          <w:p>
            <w:pPr>
              <w:pStyle w:val="TableContents"/>
              <w:bidi w:val="0"/>
              <w:spacing w:before="0" w:after="283"/>
              <w:jc w:val="left"/>
              <w:rPr/>
            </w:pPr>
            <w:r>
              <w:rPr/>
              <w:t>)</w:t>
            </w:r>
          </w:p>
        </w:tc>
      </w:tr>
      <w:tr>
        <w:trPr/>
        <w:tc>
          <w:tcPr>
            <w:tcW w:w="4385"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Basic and diluted loss per share</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28" w:type="dxa"/>
            </w:tcMar>
            <w:vAlign w:val="center"/>
          </w:tcPr>
          <w:p>
            <w:pPr>
              <w:pStyle w:val="TableContents"/>
              <w:bidi w:val="0"/>
              <w:spacing w:before="0" w:after="283"/>
              <w:jc w:val="right"/>
              <w:rPr>
                <w:b/>
              </w:rPr>
            </w:pPr>
            <w:r>
              <w:rPr>
                <w:b/>
              </w:rPr>
              <w:t>(0.13</w:t>
            </w:r>
          </w:p>
        </w:tc>
        <w:tc>
          <w:tcPr>
            <w:tcW w:w="335" w:type="dxa"/>
            <w:tcBorders>
              <w:bottom w:val="single" w:sz="8" w:space="0" w:color="000000"/>
            </w:tcBorders>
            <w:shd w:fill="CCEEFF" w:val="clear"/>
            <w:tcMar>
              <w:top w:w="0" w:type="dxa"/>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28" w:type="dxa"/>
            </w:tcMar>
            <w:vAlign w:val="center"/>
          </w:tcPr>
          <w:p>
            <w:pPr>
              <w:pStyle w:val="TableContents"/>
              <w:bidi w:val="0"/>
              <w:spacing w:before="0" w:after="283"/>
              <w:jc w:val="right"/>
              <w:rPr/>
            </w:pPr>
            <w:r>
              <w:rPr/>
              <w:t>(0.42</w:t>
            </w:r>
          </w:p>
        </w:tc>
        <w:tc>
          <w:tcPr>
            <w:tcW w:w="29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28" w:type="dxa"/>
            </w:tcMar>
            <w:vAlign w:val="center"/>
          </w:tcPr>
          <w:p>
            <w:pPr>
              <w:pStyle w:val="TableContents"/>
              <w:bidi w:val="0"/>
              <w:spacing w:before="0" w:after="283"/>
              <w:jc w:val="right"/>
              <w:rPr/>
            </w:pPr>
            <w:r>
              <w:rPr/>
              <w:t>(0.85</w:t>
            </w:r>
          </w:p>
        </w:tc>
        <w:tc>
          <w:tcPr>
            <w:tcW w:w="305"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w:t>
            </w:r>
          </w:p>
        </w:tc>
      </w:tr>
      <w:tr>
        <w:trPr/>
        <w:tc>
          <w:tcPr>
            <w:tcW w:w="4385"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Gross Mining profit </w:t>
            </w:r>
            <w:r>
              <w:rPr>
                <w:rFonts w:ascii="Times New Roman;Times;Serif" w:hAnsi="Times New Roman;Times;Serif"/>
                <w:position w:val="7"/>
                <w:sz w:val="16"/>
                <w:sz w:val="20"/>
              </w:rPr>
              <w:t>(2)</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b/>
              </w:rPr>
            </w:pPr>
            <w:r>
              <w:rPr>
                <w:b/>
              </w:rPr>
              <w:t>94,469</w:t>
            </w:r>
          </w:p>
        </w:tc>
        <w:tc>
          <w:tcPr>
            <w:tcW w:w="33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70,277</w:t>
            </w:r>
          </w:p>
        </w:tc>
        <w:tc>
          <w:tcPr>
            <w:tcW w:w="29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94,528</w:t>
            </w:r>
          </w:p>
        </w:tc>
        <w:tc>
          <w:tcPr>
            <w:tcW w:w="305" w:type="dxa"/>
            <w:tcBorders/>
            <w:shd w:fill="FFFFFF" w:val="clear"/>
            <w:tcMar>
              <w:top w:w="0" w:type="dxa"/>
            </w:tcMar>
            <w:vAlign w:val="center"/>
          </w:tcPr>
          <w:p>
            <w:pPr>
              <w:pStyle w:val="TableContents"/>
              <w:bidi w:val="0"/>
              <w:spacing w:before="0" w:after="283"/>
              <w:jc w:val="left"/>
              <w:rPr/>
            </w:pPr>
            <w:r>
              <w:rPr/>
              <w:t> </w:t>
            </w:r>
          </w:p>
        </w:tc>
      </w:tr>
      <w:tr>
        <w:trPr/>
        <w:tc>
          <w:tcPr>
            <w:tcW w:w="4385" w:type="dxa"/>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Gross Mining margin </w:t>
            </w:r>
            <w:r>
              <w:rPr>
                <w:rFonts w:ascii="Times New Roman;Times;Serif" w:hAnsi="Times New Roman;Times;Serif"/>
                <w:position w:val="7"/>
                <w:sz w:val="16"/>
                <w:sz w:val="20"/>
              </w:rPr>
              <w:t>(2)</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b/>
              </w:rPr>
            </w:pPr>
            <w:r>
              <w:rPr>
                <w:b/>
              </w:rPr>
              <w:t>50</w:t>
            </w:r>
          </w:p>
        </w:tc>
        <w:tc>
          <w:tcPr>
            <w:tcW w:w="335" w:type="dxa"/>
            <w:tcBorders/>
            <w:shd w:fill="CCEEFF" w:val="clear"/>
            <w:tcMar>
              <w:top w:w="0" w:type="dxa"/>
            </w:tcMar>
            <w:vAlign w:val="center"/>
          </w:tcPr>
          <w:p>
            <w:pPr>
              <w:pStyle w:val="TableContents"/>
              <w:bidi w:val="0"/>
              <w:spacing w:before="0" w:after="283"/>
              <w:jc w:val="left"/>
              <w:rPr>
                <w:b/>
              </w:rPr>
            </w:pPr>
            <w:r>
              <w:rPr>
                <w:b/>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pPr>
            <w:r>
              <w:rPr/>
              <w:t>50</w:t>
            </w:r>
          </w:p>
        </w:tc>
        <w:tc>
          <w:tcPr>
            <w:tcW w:w="290" w:type="dxa"/>
            <w:tcBorders/>
            <w:shd w:fill="CCEEFF" w:val="clear"/>
            <w:tcMar>
              <w:top w:w="0" w:type="dxa"/>
            </w:tcMar>
            <w:vAlign w:val="center"/>
          </w:tcPr>
          <w:p>
            <w:pPr>
              <w:pStyle w:val="TableContents"/>
              <w:bidi w:val="0"/>
              <w:spacing w:before="0" w:after="283"/>
              <w:jc w:val="left"/>
              <w:rPr/>
            </w:pPr>
            <w:r>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pPr>
            <w:r>
              <w:rPr/>
              <w:t>59</w:t>
            </w:r>
          </w:p>
        </w:tc>
        <w:tc>
          <w:tcPr>
            <w:tcW w:w="305" w:type="dxa"/>
            <w:tcBorders/>
            <w:shd w:fill="CCEEFF" w:val="clear"/>
            <w:tcMar>
              <w:top w:w="0" w:type="dxa"/>
            </w:tcMar>
            <w:vAlign w:val="center"/>
          </w:tcPr>
          <w:p>
            <w:pPr>
              <w:pStyle w:val="TableContents"/>
              <w:bidi w:val="0"/>
              <w:spacing w:before="0" w:after="283"/>
              <w:jc w:val="left"/>
              <w:rPr/>
            </w:pPr>
            <w:r>
              <w:rPr/>
              <w:t>%</w:t>
            </w:r>
          </w:p>
        </w:tc>
      </w:tr>
      <w:tr>
        <w:trPr/>
        <w:tc>
          <w:tcPr>
            <w:tcW w:w="4385" w:type="dxa"/>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EBITDA </w:t>
            </w:r>
            <w:r>
              <w:rPr>
                <w:rFonts w:ascii="Times New Roman;Times;Serif" w:hAnsi="Times New Roman;Times;Serif"/>
                <w:position w:val="7"/>
                <w:sz w:val="16"/>
                <w:sz w:val="20"/>
              </w:rPr>
              <w:t>(2)</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b/>
              </w:rPr>
            </w:pPr>
            <w:r>
              <w:rPr>
                <w:b/>
              </w:rPr>
              <w:t>54,661</w:t>
            </w:r>
          </w:p>
        </w:tc>
        <w:tc>
          <w:tcPr>
            <w:tcW w:w="33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43,558</w:t>
            </w:r>
          </w:p>
        </w:tc>
        <w:tc>
          <w:tcPr>
            <w:tcW w:w="29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66,147</w:t>
            </w:r>
          </w:p>
        </w:tc>
        <w:tc>
          <w:tcPr>
            <w:tcW w:w="305" w:type="dxa"/>
            <w:tcBorders/>
            <w:shd w:fill="FFFFFF" w:val="clear"/>
            <w:tcMar>
              <w:top w:w="0" w:type="dxa"/>
            </w:tcMar>
            <w:vAlign w:val="center"/>
          </w:tcPr>
          <w:p>
            <w:pPr>
              <w:pStyle w:val="TableContents"/>
              <w:bidi w:val="0"/>
              <w:spacing w:before="0" w:after="283"/>
              <w:jc w:val="left"/>
              <w:rPr/>
            </w:pPr>
            <w:r>
              <w:rPr/>
              <w:t> </w:t>
            </w:r>
          </w:p>
        </w:tc>
      </w:tr>
      <w:tr>
        <w:trPr/>
        <w:tc>
          <w:tcPr>
            <w:tcW w:w="4385"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EBITDA margin </w:t>
            </w:r>
            <w:r>
              <w:rPr>
                <w:rFonts w:ascii="Times New Roman;Times;Serif" w:hAnsi="Times New Roman;Times;Serif"/>
                <w:position w:val="7"/>
                <w:sz w:val="16"/>
                <w:sz w:val="20"/>
              </w:rPr>
              <w:t>(2)</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28" w:type="dxa"/>
            </w:tcMar>
            <w:vAlign w:val="center"/>
          </w:tcPr>
          <w:p>
            <w:pPr>
              <w:pStyle w:val="TableContents"/>
              <w:bidi w:val="0"/>
              <w:spacing w:before="0" w:after="283"/>
              <w:jc w:val="right"/>
              <w:rPr>
                <w:b/>
              </w:rPr>
            </w:pPr>
            <w:r>
              <w:rPr>
                <w:b/>
              </w:rPr>
              <w:t>28</w:t>
            </w:r>
          </w:p>
        </w:tc>
        <w:tc>
          <w:tcPr>
            <w:tcW w:w="335" w:type="dxa"/>
            <w:tcBorders>
              <w:bottom w:val="single" w:sz="8" w:space="0" w:color="000000"/>
            </w:tcBorders>
            <w:shd w:fill="CCEEFF" w:val="clear"/>
            <w:tcMar>
              <w:top w:w="0" w:type="dxa"/>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28" w:type="dxa"/>
            </w:tcMar>
            <w:vAlign w:val="center"/>
          </w:tcPr>
          <w:p>
            <w:pPr>
              <w:pStyle w:val="TableContents"/>
              <w:bidi w:val="0"/>
              <w:spacing w:before="0" w:after="283"/>
              <w:jc w:val="right"/>
              <w:rPr/>
            </w:pPr>
            <w:r>
              <w:rPr/>
              <w:t>30</w:t>
            </w:r>
          </w:p>
        </w:tc>
        <w:tc>
          <w:tcPr>
            <w:tcW w:w="29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28" w:type="dxa"/>
            </w:tcMar>
            <w:vAlign w:val="center"/>
          </w:tcPr>
          <w:p>
            <w:pPr>
              <w:pStyle w:val="TableContents"/>
              <w:bidi w:val="0"/>
              <w:spacing w:before="0" w:after="283"/>
              <w:jc w:val="right"/>
              <w:rPr/>
            </w:pPr>
            <w:r>
              <w:rPr/>
              <w:t>46</w:t>
            </w:r>
          </w:p>
        </w:tc>
        <w:tc>
          <w:tcPr>
            <w:tcW w:w="305"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w:t>
            </w:r>
          </w:p>
        </w:tc>
      </w:tr>
      <w:tr>
        <w:trPr/>
        <w:tc>
          <w:tcPr>
            <w:tcW w:w="4385" w:type="dxa"/>
            <w:tcBorders/>
            <w:shd w:fill="FFFFFF" w:val="clear"/>
            <w:tcMar>
              <w:top w:w="0" w:type="dxa"/>
            </w:tcMar>
            <w:vAlign w:val="center"/>
          </w:tcPr>
          <w:p>
            <w:pPr>
              <w:pStyle w:val="TableContents"/>
              <w:bidi w:val="0"/>
              <w:spacing w:before="0" w:after="283"/>
              <w:jc w:val="left"/>
              <w:rPr/>
            </w:pPr>
            <w:r>
              <w:rPr/>
              <w:t>Total assets</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b/>
              </w:rPr>
            </w:pPr>
            <w:r>
              <w:rPr>
                <w:b/>
              </w:rPr>
              <w:t>667,616</w:t>
            </w:r>
          </w:p>
        </w:tc>
        <w:tc>
          <w:tcPr>
            <w:tcW w:w="33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378,725</w:t>
            </w:r>
          </w:p>
        </w:tc>
        <w:tc>
          <w:tcPr>
            <w:tcW w:w="29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343,098</w:t>
            </w:r>
          </w:p>
        </w:tc>
        <w:tc>
          <w:tcPr>
            <w:tcW w:w="305" w:type="dxa"/>
            <w:tcBorders/>
            <w:shd w:fill="FFFFFF" w:val="clear"/>
            <w:tcMar>
              <w:top w:w="0" w:type="dxa"/>
            </w:tcMar>
            <w:vAlign w:val="center"/>
          </w:tcPr>
          <w:p>
            <w:pPr>
              <w:pStyle w:val="TableContents"/>
              <w:bidi w:val="0"/>
              <w:spacing w:before="0" w:after="283"/>
              <w:jc w:val="left"/>
              <w:rPr/>
            </w:pPr>
            <w:r>
              <w:rPr/>
              <w:t> </w:t>
            </w:r>
          </w:p>
        </w:tc>
      </w:tr>
      <w:tr>
        <w:trPr/>
        <w:tc>
          <w:tcPr>
            <w:tcW w:w="4385" w:type="dxa"/>
            <w:tcBorders/>
            <w:shd w:fill="CCEEFF" w:val="clear"/>
            <w:tcMar>
              <w:top w:w="0" w:type="dxa"/>
            </w:tcMar>
            <w:vAlign w:val="center"/>
          </w:tcPr>
          <w:p>
            <w:pPr>
              <w:pStyle w:val="TableContents"/>
              <w:bidi w:val="0"/>
              <w:spacing w:before="0" w:after="283"/>
              <w:jc w:val="left"/>
              <w:rPr/>
            </w:pPr>
            <w:r>
              <w:rPr/>
              <w:t>Current financial liabilities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b/>
              </w:rPr>
            </w:pPr>
            <w:r>
              <w:rPr>
                <w:b/>
              </w:rPr>
              <w:t>30,445</w:t>
            </w:r>
          </w:p>
        </w:tc>
        <w:tc>
          <w:tcPr>
            <w:tcW w:w="33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pPr>
            <w:r>
              <w:rPr/>
              <w:t>53,525</w:t>
            </w:r>
          </w:p>
        </w:tc>
        <w:tc>
          <w:tcPr>
            <w:tcW w:w="29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pPr>
            <w:r>
              <w:rPr/>
              <w:t>56,120</w:t>
            </w:r>
          </w:p>
        </w:tc>
        <w:tc>
          <w:tcPr>
            <w:tcW w:w="305" w:type="dxa"/>
            <w:tcBorders/>
            <w:shd w:fill="CCEEFF" w:val="clear"/>
            <w:tcMar>
              <w:top w:w="0" w:type="dxa"/>
            </w:tcMar>
            <w:vAlign w:val="center"/>
          </w:tcPr>
          <w:p>
            <w:pPr>
              <w:pStyle w:val="TableContents"/>
              <w:bidi w:val="0"/>
              <w:spacing w:before="0" w:after="283"/>
              <w:jc w:val="left"/>
              <w:rPr/>
            </w:pPr>
            <w:r>
              <w:rPr/>
              <w:t> </w:t>
            </w:r>
          </w:p>
        </w:tc>
      </w:tr>
      <w:tr>
        <w:trPr/>
        <w:tc>
          <w:tcPr>
            <w:tcW w:w="4385" w:type="dxa"/>
            <w:tcBorders/>
            <w:shd w:fill="FFFFFF" w:val="clear"/>
            <w:tcMar>
              <w:top w:w="0" w:type="dxa"/>
            </w:tcMar>
            <w:vAlign w:val="center"/>
          </w:tcPr>
          <w:p>
            <w:pPr>
              <w:pStyle w:val="TableContents"/>
              <w:bidi w:val="0"/>
              <w:spacing w:before="0" w:after="283"/>
              <w:jc w:val="left"/>
              <w:rPr/>
            </w:pPr>
            <w:r>
              <w:rPr/>
              <w:t>Non-current financial liabilities</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b/>
              </w:rPr>
            </w:pPr>
            <w:r>
              <w:rPr>
                <w:b/>
              </w:rPr>
              <w:t>1,430</w:t>
            </w:r>
          </w:p>
        </w:tc>
        <w:tc>
          <w:tcPr>
            <w:tcW w:w="33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w:t>
            </w:r>
          </w:p>
        </w:tc>
        <w:tc>
          <w:tcPr>
            <w:tcW w:w="29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4,093</w:t>
            </w:r>
          </w:p>
        </w:tc>
        <w:tc>
          <w:tcPr>
            <w:tcW w:w="305" w:type="dxa"/>
            <w:tcBorders/>
            <w:shd w:fill="FFFFFF" w:val="clear"/>
            <w:tcMar>
              <w:top w:w="0" w:type="dxa"/>
            </w:tcMar>
            <w:vAlign w:val="center"/>
          </w:tcPr>
          <w:p>
            <w:pPr>
              <w:pStyle w:val="TableContents"/>
              <w:bidi w:val="0"/>
              <w:spacing w:before="0" w:after="283"/>
              <w:jc w:val="left"/>
              <w:rPr/>
            </w:pPr>
            <w:r>
              <w:rPr/>
              <w:t> </w:t>
            </w:r>
          </w:p>
        </w:tc>
      </w:tr>
      <w:tr>
        <w:trPr/>
        <w:tc>
          <w:tcPr>
            <w:tcW w:w="4385"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Long-term debt included in financial liabilities</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top w:w="0" w:type="dxa"/>
              <w:bottom w:w="28" w:type="dxa"/>
            </w:tcMar>
            <w:vAlign w:val="center"/>
          </w:tcPr>
          <w:p>
            <w:pPr>
              <w:pStyle w:val="TableContents"/>
              <w:bidi w:val="0"/>
              <w:spacing w:before="0" w:after="283"/>
              <w:jc w:val="right"/>
              <w:rPr>
                <w:b/>
              </w:rPr>
            </w:pPr>
            <w:r>
              <w:rPr>
                <w:b/>
              </w:rPr>
              <w:t>1,576</w:t>
            </w:r>
          </w:p>
        </w:tc>
        <w:tc>
          <w:tcPr>
            <w:tcW w:w="335"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top w:w="0" w:type="dxa"/>
              <w:bottom w:w="28" w:type="dxa"/>
            </w:tcMar>
            <w:vAlign w:val="center"/>
          </w:tcPr>
          <w:p>
            <w:pPr>
              <w:pStyle w:val="TableContents"/>
              <w:bidi w:val="0"/>
              <w:spacing w:before="0" w:after="283"/>
              <w:jc w:val="right"/>
              <w:rPr/>
            </w:pPr>
            <w:r>
              <w:rPr/>
              <w:t>4,022</w:t>
            </w:r>
          </w:p>
        </w:tc>
        <w:tc>
          <w:tcPr>
            <w:tcW w:w="29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top w:w="0" w:type="dxa"/>
              <w:bottom w:w="28" w:type="dxa"/>
            </w:tcMar>
            <w:vAlign w:val="center"/>
          </w:tcPr>
          <w:p>
            <w:pPr>
              <w:pStyle w:val="TableContents"/>
              <w:bidi w:val="0"/>
              <w:spacing w:before="0" w:after="283"/>
              <w:jc w:val="right"/>
              <w:rPr/>
            </w:pPr>
            <w:r>
              <w:rPr/>
              <w:t>47,147</w:t>
            </w:r>
          </w:p>
        </w:tc>
        <w:tc>
          <w:tcPr>
            <w:tcW w:w="305"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not been any distributions or cash dividends declared per share for the periods disclosed above.</w:t>
      </w:r>
    </w:p>
    <w:tbl>
      <w:tblPr>
        <w:tblW w:w="10205" w:type="dxa"/>
        <w:jc w:val="left"/>
        <w:tblInd w:w="0" w:type="dxa"/>
        <w:tblLayout w:type="fixed"/>
        <w:tblCellMar>
          <w:top w:w="0" w:type="dxa"/>
          <w:left w:w="0" w:type="dxa"/>
          <w:bottom w:w="28" w:type="dxa"/>
          <w:right w:w="0" w:type="dxa"/>
        </w:tblCellMar>
      </w:tblPr>
      <w:tblGrid>
        <w:gridCol w:w="151"/>
        <w:gridCol w:w="10054"/>
      </w:tblGrid>
      <w:tr>
        <w:trPr/>
        <w:tc>
          <w:tcPr>
            <w:tcW w:w="151" w:type="dxa"/>
            <w:tcBorders>
              <w:bottom w:val="single" w:sz="8" w:space="0" w:color="000000"/>
            </w:tcBorders>
            <w:vAlign w:val="center"/>
          </w:tcPr>
          <w:p>
            <w:pPr>
              <w:pStyle w:val="TableContents"/>
              <w:bidi w:val="0"/>
              <w:spacing w:before="0" w:after="283"/>
              <w:jc w:val="left"/>
              <w:rPr>
                <w:position w:val="8"/>
                <w:sz w:val="19"/>
              </w:rPr>
            </w:pPr>
            <w:r>
              <w:rPr>
                <w:position w:val="8"/>
                <w:sz w:val="19"/>
              </w:rPr>
              <w:t> </w:t>
            </w:r>
          </w:p>
        </w:tc>
        <w:tc>
          <w:tcPr>
            <w:tcW w:w="10054" w:type="dxa"/>
            <w:tcBorders>
              <w:bottom w:val="single" w:sz="8" w:space="0" w:color="000000"/>
            </w:tcBorders>
            <w:vAlign w:val="center"/>
          </w:tcPr>
          <w:p>
            <w:pPr>
              <w:pStyle w:val="TableContents"/>
              <w:bidi w:val="0"/>
              <w:spacing w:before="0" w:after="283"/>
              <w:jc w:val="left"/>
              <w:rPr/>
            </w:pPr>
            <w:r>
              <w:rPr/>
              <w:t> </w:t>
            </w:r>
          </w:p>
        </w:tc>
      </w:tr>
      <w:tr>
        <w:trPr/>
        <w:tc>
          <w:tcPr>
            <w:tcW w:w="151"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Gross margin and Operating margin are supplemental financial ratios; refer to Section 10 - </w:t>
            </w:r>
            <w:r>
              <w:rPr>
                <w:rFonts w:ascii="Times New Roman;Times;Serif" w:hAnsi="Times New Roman;Times;Serif"/>
                <w:i/>
                <w:sz w:val="20"/>
              </w:rPr>
              <w:t>Non-IFRS and Other Financial Measures and Ratios</w:t>
            </w:r>
            <w:r>
              <w:rPr>
                <w:rFonts w:ascii="Times New Roman;Times;Serif" w:hAnsi="Times New Roman;Times;Serif"/>
                <w:sz w:val="20"/>
              </w:rPr>
              <w:t>.</w:t>
            </w:r>
          </w:p>
        </w:tc>
      </w:tr>
      <w:tr>
        <w:trPr/>
        <w:tc>
          <w:tcPr>
            <w:tcW w:w="151" w:type="dxa"/>
            <w:tcBorders/>
            <w:tcMar>
              <w:bottom w:w="0" w:type="dxa"/>
            </w:tcMar>
            <w:vAlign w:val="center"/>
          </w:tcPr>
          <w:p>
            <w:pPr>
              <w:pStyle w:val="TableContents"/>
              <w:bidi w:val="0"/>
              <w:spacing w:before="0" w:after="283"/>
              <w:jc w:val="left"/>
              <w:rPr/>
            </w:pPr>
            <w:r>
              <w:rPr/>
              <w:t> </w:t>
            </w:r>
          </w:p>
        </w:tc>
        <w:tc>
          <w:tcPr>
            <w:tcW w:w="10054" w:type="dxa"/>
            <w:tcBorders/>
            <w:tcMar>
              <w:bottom w:w="0" w:type="dxa"/>
            </w:tcMar>
            <w:vAlign w:val="center"/>
          </w:tcPr>
          <w:p>
            <w:pPr>
              <w:pStyle w:val="TableContents"/>
              <w:bidi w:val="0"/>
              <w:spacing w:before="0" w:after="283"/>
              <w:jc w:val="both"/>
              <w:rPr/>
            </w:pPr>
            <w:r>
              <w:rPr/>
              <w:t> </w:t>
            </w:r>
          </w:p>
        </w:tc>
      </w:tr>
      <w:tr>
        <w:trPr/>
        <w:tc>
          <w:tcPr>
            <w:tcW w:w="151"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2 </w:t>
            </w:r>
          </w:p>
        </w:tc>
        <w:tc>
          <w:tcPr>
            <w:tcW w:w="1005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Gross Mining profit, Gross Mining margin, Adjusted EBITDA and Adjusted EBITDA margin are non-IFRS measures or ratios; refer to Section 10 - </w:t>
            </w:r>
            <w:r>
              <w:rPr>
                <w:rFonts w:ascii="Times New Roman;Times;Serif" w:hAnsi="Times New Roman;Times;Serif"/>
                <w:i/>
                <w:sz w:val="20"/>
              </w:rPr>
              <w:t>Non-IFRS and Other Financial Measures and Ratios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70" w:type="dxa"/>
        <w:jc w:val="left"/>
        <w:tblInd w:w="0" w:type="dxa"/>
        <w:tblLayout w:type="fixed"/>
        <w:tblCellMar>
          <w:top w:w="28" w:type="dxa"/>
          <w:left w:w="0" w:type="dxa"/>
          <w:bottom w:w="0" w:type="dxa"/>
          <w:right w:w="0" w:type="dxa"/>
        </w:tblCellMar>
      </w:tblPr>
      <w:tblGrid>
        <w:gridCol w:w="185"/>
        <w:gridCol w:w="485"/>
      </w:tblGrid>
      <w:tr>
        <w:trPr/>
        <w:tc>
          <w:tcPr>
            <w:tcW w:w="185" w:type="dxa"/>
            <w:tcBorders>
              <w:top w:val="single" w:sz="12" w:space="0" w:color="000000"/>
            </w:tcBorders>
            <w:vAlign w:val="center"/>
          </w:tcPr>
          <w:p>
            <w:pPr>
              <w:pStyle w:val="TableContents"/>
              <w:bidi w:val="0"/>
              <w:spacing w:before="0" w:after="283"/>
              <w:jc w:val="right"/>
              <w:rPr>
                <w:sz w:val="20"/>
              </w:rPr>
            </w:pPr>
            <w:r>
              <w:rPr>
                <w:sz w:val="20"/>
              </w:rPr>
              <w:t>5 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2" w:name="m_004"/>
      <w:bookmarkEnd w:id="92"/>
      <w:r>
        <w:rPr>
          <w:rFonts w:ascii="Times New Roman;Times;Serif" w:hAnsi="Times New Roman;Times;Serif"/>
          <w:b/>
          <w:i w:val="false"/>
          <w:caps w:val="false"/>
          <w:smallCaps w:val="false"/>
          <w:sz w:val="20"/>
        </w:rPr>
        <w:t xml:space="preserve">4. FOURTH QUARTER 2024 FINANCIAL RESULTS AND OPERATIONAL HIGHLIGHTS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w:t>
      </w:r>
    </w:p>
    <w:tbl>
      <w:tblPr>
        <w:tblW w:w="5000" w:type="pct"/>
        <w:jc w:val="left"/>
        <w:tblInd w:w="0" w:type="dxa"/>
        <w:tblLayout w:type="fixed"/>
        <w:tblCellMar>
          <w:top w:w="0" w:type="dxa"/>
          <w:left w:w="0" w:type="dxa"/>
          <w:bottom w:w="0" w:type="dxa"/>
          <w:right w:w="0" w:type="dxa"/>
        </w:tblCellMar>
      </w:tblPr>
      <w:tblGrid>
        <w:gridCol w:w="137"/>
        <w:gridCol w:w="618"/>
        <w:gridCol w:w="9450"/>
      </w:tblGrid>
      <w:tr>
        <w:trPr/>
        <w:tc>
          <w:tcPr>
            <w:tcW w:w="13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w:t>
            </w:r>
          </w:p>
        </w:tc>
        <w:tc>
          <w:tcPr>
            <w:tcW w:w="9450" w:type="dxa"/>
            <w:tcBorders/>
            <w:vAlign w:val="center"/>
          </w:tcPr>
          <w:p>
            <w:pPr>
              <w:pStyle w:val="TableContents"/>
              <w:bidi w:val="0"/>
              <w:spacing w:before="0" w:after="283"/>
              <w:jc w:val="both"/>
              <w:rPr/>
            </w:pPr>
            <w:r>
              <w:rPr/>
              <w:t>Revenues of $56.2 million;</w:t>
            </w:r>
          </w:p>
        </w:tc>
      </w:tr>
    </w:tbl>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pPr>
            <w:r>
              <w:rPr/>
              <w:t>Gross Mining profit</w:t>
            </w:r>
            <w:r>
              <w:rPr>
                <w:position w:val="8"/>
                <w:sz w:val="19"/>
              </w:rPr>
              <w:t>2</w:t>
            </w:r>
            <w:r>
              <w:rPr/>
              <w:t xml:space="preserve"> of $25.8 million (47% Gross Mining margin</w:t>
            </w:r>
            <w:r>
              <w:rPr>
                <w:position w:val="8"/>
                <w:sz w:val="19"/>
              </w:rPr>
              <w:t>2</w:t>
            </w:r>
            <w:r>
              <w:rPr/>
              <w:t>);</w:t>
            </w:r>
          </w:p>
        </w:tc>
      </w:tr>
    </w:tbl>
    <w:tbl>
      <w:tblPr>
        <w:tblW w:w="5000" w:type="pct"/>
        <w:jc w:val="left"/>
        <w:tblInd w:w="0" w:type="dxa"/>
        <w:tblLayout w:type="fixed"/>
        <w:tblCellMar>
          <w:top w:w="0" w:type="dxa"/>
          <w:left w:w="0" w:type="dxa"/>
          <w:bottom w:w="0" w:type="dxa"/>
          <w:right w:w="0" w:type="dxa"/>
        </w:tblCellMar>
      </w:tblPr>
      <w:tblGrid>
        <w:gridCol w:w="54"/>
        <w:gridCol w:w="242"/>
        <w:gridCol w:w="9909"/>
      </w:tblGrid>
      <w:tr>
        <w:trPr/>
        <w:tc>
          <w:tcPr>
            <w:tcW w:w="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both"/>
              <w:rPr/>
            </w:pPr>
            <w:r>
              <w:rPr/>
              <w:t>Adjusted EBITDA</w:t>
            </w:r>
            <w:r>
              <w:rPr>
                <w:position w:val="8"/>
                <w:sz w:val="19"/>
              </w:rPr>
              <w:t>2</w:t>
            </w:r>
            <w:r>
              <w:rPr/>
              <w:t xml:space="preserve"> of $14.3 million (25% Adjusted EBITDA margin</w:t>
            </w:r>
            <w:r>
              <w:rPr>
                <w:position w:val="8"/>
                <w:sz w:val="19"/>
              </w:rPr>
              <w:t>2</w:t>
            </w:r>
            <w:r>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Gross profit of $1.4 million (gross margin</w:t>
            </w:r>
            <w:r>
              <w:rPr>
                <w:position w:val="8"/>
                <w:sz w:val="19"/>
              </w:rPr>
              <w:t>1</w:t>
            </w:r>
            <w:r>
              <w:rPr/>
              <w:t xml:space="preserve"> of 2%) including non-cash depreciation and amortization expense of $24.6 million, operating loss of $16.4 million (operating margin</w:t>
            </w:r>
            <w:r>
              <w:rPr>
                <w:position w:val="8"/>
                <w:sz w:val="19"/>
              </w:rPr>
              <w:t>1</w:t>
            </w:r>
            <w:r>
              <w:rPr/>
              <w:t xml:space="preserve"> of 29%), and net income of $15.2 million;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Strategically capitalized on BTC price near all-time highs to close out Synthetic HODL</w:t>
            </w:r>
            <w:r>
              <w:rPr>
                <w:position w:val="8"/>
                <w:sz w:val="19"/>
              </w:rPr>
              <w:t>3</w:t>
            </w:r>
            <w:r>
              <w:rPr/>
              <w:t xml:space="preserve"> positions, generating realized gains of $14.8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Increased Hashrate from 11.3 EH/s at September 30, 2024 to 12.8 EH/s at December 31, 2024, an increase of 13%, through the installation of approximately 13,000 more efficient Miners;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Earned 654 BTC at an average direct cost of $40,800 per BTC</w:t>
            </w:r>
            <w:r>
              <w:rPr>
                <w:position w:val="8"/>
                <w:sz w:val="19"/>
              </w:rPr>
              <w:t>2</w:t>
            </w:r>
            <w:r>
              <w:rPr/>
              <w:t xml:space="preserve"> or an average total cash cost of $60,800 per BTC</w:t>
            </w:r>
            <w:r>
              <w:rPr>
                <w:position w:val="8"/>
                <w:sz w:val="19"/>
              </w:rPr>
              <w:t xml:space="preserve">2 </w:t>
            </w:r>
            <w:r>
              <w:rPr/>
              <w:t>and held 1,285 BTC valued at approximately $120.1 million as of December 31, 2024;</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Sold 502 BTC at an average price of $81,400 per BTC for total proceeds of $40.9 million, a portion of which was used to pay capital expenditures to support the Company’s growth and efficiency improvement objectives; and</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In November 2024, amended purchase agreements to upgrade 18,853 Bitmain T21 Miners to 18,853 more efficient Bitmain S21 Pro Miners for an additional cost of $33.2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Expansions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States</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October 2024, entered into a second Hosting agreement (the “Scrubgrass Hosting Agreement”) with Stronghold Digital Hosting Inc., a subsidiary of Stronghold Digital Mining Inc. (together referred to as “Stronghold”), where the Company will deploy 11,600 S21 Pro Miners. Energization commenced in December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Raised $50.1 million in net proceeds through the Company’s 2024 at-the-market equity offering program (“2024 ATM Program”);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a deposit of $7.8 million (“Scrubgrass Refundable Deposit”) with Stronghold, which is refundable on December 31, 2025, in connection with the Scrubgrass Hosting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Appointed Andrew J. Chang as Independent Director of the Board of Directors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6"/>
        <w:gridCol w:w="10059"/>
      </w:tblGrid>
      <w:tr>
        <w:trPr/>
        <w:tc>
          <w:tcPr>
            <w:tcW w:w="146" w:type="dxa"/>
            <w:tcBorders>
              <w:bottom w:val="single" w:sz="8" w:space="0" w:color="000000"/>
            </w:tcBorders>
            <w:vAlign w:val="center"/>
          </w:tcPr>
          <w:p>
            <w:pPr>
              <w:pStyle w:val="TableContents"/>
              <w:bidi w:val="0"/>
              <w:spacing w:before="0" w:after="283"/>
              <w:jc w:val="left"/>
              <w:rPr>
                <w:position w:val="8"/>
                <w:sz w:val="19"/>
              </w:rPr>
            </w:pPr>
            <w:r>
              <w:rPr>
                <w:position w:val="8"/>
                <w:sz w:val="19"/>
              </w:rPr>
              <w:t> </w:t>
            </w:r>
          </w:p>
        </w:tc>
        <w:tc>
          <w:tcPr>
            <w:tcW w:w="10059" w:type="dxa"/>
            <w:tcBorders>
              <w:bottom w:val="single" w:sz="8" w:space="0" w:color="000000"/>
            </w:tcBorders>
            <w:vAlign w:val="center"/>
          </w:tcPr>
          <w:p>
            <w:pPr>
              <w:pStyle w:val="TableContents"/>
              <w:bidi w:val="0"/>
              <w:spacing w:before="0" w:after="283"/>
              <w:jc w:val="left"/>
              <w:rPr/>
            </w:pPr>
            <w:r>
              <w:rPr/>
              <w:t> </w:t>
            </w:r>
          </w:p>
        </w:tc>
      </w:tr>
      <w:tr>
        <w:trPr/>
        <w:tc>
          <w:tcPr>
            <w:tcW w:w="146"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1 </w:t>
            </w:r>
          </w:p>
        </w:tc>
        <w:tc>
          <w:tcPr>
            <w:tcW w:w="1005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Gross margin and Operating margin are supplemental financial ratios; refer to Section 10 - </w:t>
            </w:r>
            <w:r>
              <w:rPr>
                <w:rFonts w:ascii="Times New Roman;Times;Serif" w:hAnsi="Times New Roman;Times;Serif"/>
                <w:i/>
                <w:sz w:val="20"/>
              </w:rPr>
              <w:t>Non-IFRS and Other Financial Measures and Ratios</w:t>
            </w:r>
            <w:r>
              <w:rPr>
                <w:rFonts w:ascii="Times New Roman;Times;Serif" w:hAnsi="Times New Roman;Times;Serif"/>
                <w:sz w:val="20"/>
              </w:rPr>
              <w:t>.</w:t>
            </w:r>
          </w:p>
        </w:tc>
      </w:tr>
      <w:tr>
        <w:trPr/>
        <w:tc>
          <w:tcPr>
            <w:tcW w:w="146" w:type="dxa"/>
            <w:tcBorders/>
            <w:tcMar>
              <w:bottom w:w="0" w:type="dxa"/>
            </w:tcMar>
            <w:vAlign w:val="center"/>
          </w:tcPr>
          <w:p>
            <w:pPr>
              <w:pStyle w:val="TableContents"/>
              <w:bidi w:val="0"/>
              <w:spacing w:before="0" w:after="283"/>
              <w:jc w:val="left"/>
              <w:rPr/>
            </w:pPr>
            <w:r>
              <w:rPr/>
              <w:t> </w:t>
            </w:r>
          </w:p>
        </w:tc>
        <w:tc>
          <w:tcPr>
            <w:tcW w:w="10059" w:type="dxa"/>
            <w:tcBorders/>
            <w:tcMar>
              <w:bottom w:w="0" w:type="dxa"/>
            </w:tcMar>
            <w:vAlign w:val="center"/>
          </w:tcPr>
          <w:p>
            <w:pPr>
              <w:pStyle w:val="TableContents"/>
              <w:bidi w:val="0"/>
              <w:spacing w:before="0" w:after="283"/>
              <w:jc w:val="both"/>
              <w:rPr/>
            </w:pPr>
            <w:r>
              <w:rPr/>
              <w:t> </w:t>
            </w:r>
          </w:p>
        </w:tc>
      </w:tr>
      <w:tr>
        <w:trPr/>
        <w:tc>
          <w:tcPr>
            <w:tcW w:w="146"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2 </w:t>
            </w:r>
          </w:p>
        </w:tc>
        <w:tc>
          <w:tcPr>
            <w:tcW w:w="1005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Gross Mining profit, Gross Mining margin, Adjusted EBITDA, Adjusted EBITDA margin, Direct Cost per BTC and Total Cash Cost per BTC are non-IFRS measures or ratios; refer to Section 10 - </w:t>
            </w:r>
            <w:r>
              <w:rPr>
                <w:rFonts w:ascii="Times New Roman;Times;Serif" w:hAnsi="Times New Roman;Times;Serif"/>
                <w:i/>
                <w:sz w:val="20"/>
              </w:rPr>
              <w:t>Non-IFRS and Other Financial Measures and Ratios</w:t>
            </w:r>
            <w:r>
              <w:rPr>
                <w:rFonts w:ascii="Times New Roman;Times;Serif" w:hAnsi="Times New Roman;Times;Serif"/>
                <w:sz w:val="20"/>
              </w:rPr>
              <w:t>.</w:t>
            </w:r>
          </w:p>
        </w:tc>
      </w:tr>
      <w:tr>
        <w:trPr/>
        <w:tc>
          <w:tcPr>
            <w:tcW w:w="146" w:type="dxa"/>
            <w:tcBorders/>
            <w:tcMar>
              <w:bottom w:w="0" w:type="dxa"/>
            </w:tcMar>
            <w:vAlign w:val="center"/>
          </w:tcPr>
          <w:p>
            <w:pPr>
              <w:pStyle w:val="TableContents"/>
              <w:bidi w:val="0"/>
              <w:spacing w:before="0" w:after="283"/>
              <w:jc w:val="left"/>
              <w:rPr/>
            </w:pPr>
            <w:r>
              <w:rPr/>
              <w:t> </w:t>
            </w:r>
          </w:p>
        </w:tc>
        <w:tc>
          <w:tcPr>
            <w:tcW w:w="10059" w:type="dxa"/>
            <w:tcBorders/>
            <w:tcMar>
              <w:bottom w:w="0" w:type="dxa"/>
            </w:tcMar>
            <w:vAlign w:val="center"/>
          </w:tcPr>
          <w:p>
            <w:pPr>
              <w:pStyle w:val="TableContents"/>
              <w:bidi w:val="0"/>
              <w:spacing w:before="0" w:after="283"/>
              <w:jc w:val="both"/>
              <w:rPr/>
            </w:pPr>
            <w:r>
              <w:rPr/>
              <w:t> </w:t>
            </w:r>
          </w:p>
        </w:tc>
      </w:tr>
      <w:tr>
        <w:trPr/>
        <w:tc>
          <w:tcPr>
            <w:tcW w:w="146"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3 </w:t>
            </w:r>
          </w:p>
        </w:tc>
        <w:tc>
          <w:tcPr>
            <w:tcW w:w="1005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Refer to section 11B - </w:t>
            </w:r>
            <w:r>
              <w:rPr>
                <w:rFonts w:ascii="Times New Roman;Times;Serif" w:hAnsi="Times New Roman;Times;Serif"/>
                <w:i/>
                <w:sz w:val="20"/>
              </w:rPr>
              <w:t xml:space="preserve">Liquidity and Capital Resources - Synthetic HODL program for digital assets management. Synthetic HODL realized gains are included in </w:t>
            </w:r>
            <w:r>
              <w:rPr>
                <w:rFonts w:ascii="Times New Roman;Times;Serif" w:hAnsi="Times New Roman;Times;Serif"/>
                <w:sz w:val="20"/>
              </w:rPr>
              <w:t>Gain on derivative assets and liabilities within Net financial income (expenses).</w:t>
            </w:r>
          </w:p>
        </w:tc>
      </w:tr>
    </w:tbl>
    <w:p>
      <w:pPr>
        <w:pStyle w:val="TextBody"/>
        <w:bidi w:val="0"/>
        <w:spacing w:before="0" w:after="0"/>
        <w:ind w:left="0" w:right="0" w:hanging="0"/>
        <w:jc w:val="both"/>
        <w:rPr>
          <w:caps w:val="false"/>
          <w:smallCaps w:val="false"/>
        </w:rPr>
      </w:pPr>
      <w:r>
        <w:rPr>
          <w:caps w:val="false"/>
          <w:smallCaps w:val="false"/>
        </w:rPr>
        <w:t> </w:t>
      </w:r>
    </w:p>
    <w:tbl>
      <w:tblPr>
        <w:tblW w:w="670" w:type="dxa"/>
        <w:jc w:val="left"/>
        <w:tblInd w:w="0" w:type="dxa"/>
        <w:tblLayout w:type="fixed"/>
        <w:tblCellMar>
          <w:top w:w="28" w:type="dxa"/>
          <w:left w:w="0" w:type="dxa"/>
          <w:bottom w:w="0" w:type="dxa"/>
          <w:right w:w="0" w:type="dxa"/>
        </w:tblCellMar>
      </w:tblPr>
      <w:tblGrid>
        <w:gridCol w:w="185"/>
        <w:gridCol w:w="485"/>
      </w:tblGrid>
      <w:tr>
        <w:trPr/>
        <w:tc>
          <w:tcPr>
            <w:tcW w:w="185" w:type="dxa"/>
            <w:tcBorders>
              <w:top w:val="single" w:sz="12" w:space="0" w:color="000000"/>
            </w:tcBorders>
            <w:vAlign w:val="center"/>
          </w:tcPr>
          <w:p>
            <w:pPr>
              <w:pStyle w:val="TableContents"/>
              <w:bidi w:val="0"/>
              <w:spacing w:before="0" w:after="283"/>
              <w:jc w:val="right"/>
              <w:rPr>
                <w:sz w:val="20"/>
              </w:rPr>
            </w:pPr>
            <w:r>
              <w:rPr>
                <w:sz w:val="20"/>
              </w:rPr>
              <w:t>6 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3" w:name="m_005"/>
      <w:bookmarkEnd w:id="93"/>
      <w:r>
        <w:rPr>
          <w:rFonts w:ascii="Times New Roman;Times;Serif" w:hAnsi="Times New Roman;Times;Serif"/>
          <w:b/>
          <w:i w:val="false"/>
          <w:caps w:val="false"/>
          <w:smallCaps w:val="false"/>
          <w:sz w:val="20"/>
        </w:rPr>
        <w:t xml:space="preserve">5. FULL YEAR 2024 RESULTS AND OPERATIONAL HIGHLIGHTS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w:t>
      </w:r>
    </w:p>
    <w:tbl>
      <w:tblPr>
        <w:tblW w:w="5000" w:type="pct"/>
        <w:jc w:val="left"/>
        <w:tblInd w:w="0" w:type="dxa"/>
        <w:tblLayout w:type="fixed"/>
        <w:tblCellMar>
          <w:top w:w="0" w:type="dxa"/>
          <w:left w:w="0" w:type="dxa"/>
          <w:bottom w:w="0" w:type="dxa"/>
          <w:right w:w="0" w:type="dxa"/>
        </w:tblCellMar>
      </w:tblPr>
      <w:tblGrid>
        <w:gridCol w:w="132"/>
        <w:gridCol w:w="592"/>
        <w:gridCol w:w="9481"/>
      </w:tblGrid>
      <w:tr>
        <w:trPr/>
        <w:tc>
          <w:tcPr>
            <w:tcW w:w="13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pPr>
            <w:r>
              <w:rPr/>
              <w:t>●</w:t>
            </w:r>
          </w:p>
        </w:tc>
        <w:tc>
          <w:tcPr>
            <w:tcW w:w="9481" w:type="dxa"/>
            <w:tcBorders/>
            <w:vAlign w:val="center"/>
          </w:tcPr>
          <w:p>
            <w:pPr>
              <w:pStyle w:val="TableContents"/>
              <w:bidi w:val="0"/>
              <w:spacing w:before="0" w:after="283"/>
              <w:jc w:val="both"/>
              <w:rPr/>
            </w:pPr>
            <w:r>
              <w:rPr/>
              <w:t>Revenues of $192.9 million;</w:t>
            </w:r>
          </w:p>
        </w:tc>
      </w:tr>
    </w:tbl>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pPr>
            <w:r>
              <w:rPr/>
              <w:t>Gross Mining profit</w:t>
            </w:r>
            <w:r>
              <w:rPr>
                <w:position w:val="8"/>
                <w:sz w:val="19"/>
              </w:rPr>
              <w:t>2</w:t>
            </w:r>
            <w:r>
              <w:rPr/>
              <w:t xml:space="preserve"> of $94.5 million (50% Gross Mining margin</w:t>
            </w:r>
            <w:r>
              <w:rPr>
                <w:position w:val="8"/>
                <w:sz w:val="19"/>
              </w:rPr>
              <w:t>2</w:t>
            </w:r>
            <w:r>
              <w:rPr/>
              <w:t>);</w:t>
            </w:r>
          </w:p>
        </w:tc>
      </w:tr>
    </w:tbl>
    <w:tbl>
      <w:tblPr>
        <w:tblW w:w="5000" w:type="pct"/>
        <w:jc w:val="left"/>
        <w:tblInd w:w="0" w:type="dxa"/>
        <w:tblLayout w:type="fixed"/>
        <w:tblCellMar>
          <w:top w:w="0" w:type="dxa"/>
          <w:left w:w="0" w:type="dxa"/>
          <w:bottom w:w="0" w:type="dxa"/>
          <w:right w:w="0" w:type="dxa"/>
        </w:tblCellMar>
      </w:tblPr>
      <w:tblGrid>
        <w:gridCol w:w="54"/>
        <w:gridCol w:w="242"/>
        <w:gridCol w:w="9909"/>
      </w:tblGrid>
      <w:tr>
        <w:trPr/>
        <w:tc>
          <w:tcPr>
            <w:tcW w:w="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both"/>
              <w:rPr/>
            </w:pPr>
            <w:r>
              <w:rPr/>
              <w:t>Adjusted EBITDA</w:t>
            </w:r>
            <w:r>
              <w:rPr>
                <w:position w:val="8"/>
                <w:sz w:val="19"/>
              </w:rPr>
              <w:t>2</w:t>
            </w:r>
            <w:r>
              <w:rPr/>
              <w:t xml:space="preserve"> of $54.7 million (28% Adjusted EBITDA margin</w:t>
            </w:r>
            <w:r>
              <w:rPr>
                <w:position w:val="8"/>
                <w:sz w:val="19"/>
              </w:rPr>
              <w:t>2</w:t>
            </w:r>
            <w:r>
              <w:rPr/>
              <w: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Gross loss of $32.4 million (gross margin</w:t>
            </w:r>
            <w:r>
              <w:rPr>
                <w:position w:val="8"/>
                <w:sz w:val="19"/>
              </w:rPr>
              <w:t>1</w:t>
            </w:r>
            <w:r>
              <w:rPr/>
              <w:t xml:space="preserve"> of negative 17%) including non-cash depreciation and amortization expense of $141.0 million, operating loss of $107.6 million (operating margin</w:t>
            </w:r>
            <w:r>
              <w:rPr>
                <w:position w:val="8"/>
                <w:sz w:val="19"/>
              </w:rPr>
              <w:t>1</w:t>
            </w:r>
            <w:r>
              <w:rPr/>
              <w:t xml:space="preserve"> of negative 56%) including impairment loss of $3.6 million, and net loss of $54.1 million;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Strategically capitalized on BTC price near all-time highs to close out Synthetic HODL</w:t>
            </w:r>
            <w:r>
              <w:rPr>
                <w:position w:val="8"/>
                <w:sz w:val="19"/>
              </w:rPr>
              <w:t>3</w:t>
            </w:r>
            <w:r>
              <w:rPr/>
              <w:t xml:space="preserve"> positions, generating realized gains of approximately $17.6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Increased Hashrate from 6.5 EH/s to 12.8 EH/s, an increase of 97%, through the installation of approximately 56,200 more efficient Miners;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Improved ending energy efficiency from 35 Watts/TH to 21 Watts/TH, an improvement of 40%, through the energization of more efficient Miners;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Earned 2,914 BTC at an average direct cost of $30,500 per BTC</w:t>
            </w:r>
            <w:r>
              <w:rPr>
                <w:position w:val="8"/>
                <w:sz w:val="19"/>
              </w:rPr>
              <w:t>2</w:t>
            </w:r>
            <w:r>
              <w:rPr/>
              <w:t xml:space="preserve"> or an average total cash cost of $45,600 per BTC</w:t>
            </w:r>
            <w:r>
              <w:rPr>
                <w:position w:val="8"/>
                <w:sz w:val="19"/>
              </w:rPr>
              <w:t>2</w:t>
            </w:r>
            <w:r>
              <w:rPr/>
              <w: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Held 1,285 BTC valued at approximately $120.1 million as of December 31, 2024, compared to 804 BTC as of December 31, 2023, representing an increase in the quantity of BTC of 60%;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Sold 2,419 BTC at an average price of $62,900 per BTC for total proceeds of $152.1 million, a portion of which was used to repay equipment-related indebtedness and pay capital expenditures to support the Company’s growth and efficiency improvement objectives.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Expansions</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Strategically purchased an additional 47,280 Bitmain T21 Miners along with 3,888 Bitmain S21 Miners and 740 Bitmain S21 hydro Miners to maximize efficiency and power capacity utilization;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Upgraded 18,853 Bitmain T21 Miners to 18,853 more efficient Bitmain S21 Pro Miners for an additional cost of $33.2 million;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Deployed approximately 56,200 Miners across 13 data centers and (including two under hosting agreements) located in Canada, the US, Paraguay, and Argentina enabling the Company to achieve 12.8 EH/s at December 31, 2024.</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States</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Entered into a definitive merger agreement with Stronghold (the “Merger Agreement”), pursuant to which the Company acquired Stronghold on March 14 2025, which provides up to 307 MW of additional power capacity to the Company’s operations and 648 MW of long-term power applications that the Company believes are well suited for HPC/AI, Bitcoin Mining and energy trading;</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Executed a lease agreement in Sharon, Pennsylvania, United States, providing the Company with an immediate capacity of 12 MW of electricity with up to 98 MW of additional development capacity. Bitfarms also signed a letter of intent for a lease to an additional 10 MW site, which would bring total site capacity to 120 MW. Upon completion, the Sharon data center is expected to support an additional 6 EH/s of Miner capacity with the latest-generation Miners;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6"/>
        <w:gridCol w:w="10059"/>
      </w:tblGrid>
      <w:tr>
        <w:trPr/>
        <w:tc>
          <w:tcPr>
            <w:tcW w:w="146" w:type="dxa"/>
            <w:tcBorders>
              <w:bottom w:val="single" w:sz="8" w:space="0" w:color="000000"/>
            </w:tcBorders>
            <w:vAlign w:val="center"/>
          </w:tcPr>
          <w:p>
            <w:pPr>
              <w:pStyle w:val="TableContents"/>
              <w:bidi w:val="0"/>
              <w:spacing w:before="0" w:after="283"/>
              <w:jc w:val="left"/>
              <w:rPr>
                <w:position w:val="8"/>
                <w:sz w:val="19"/>
              </w:rPr>
            </w:pPr>
            <w:r>
              <w:rPr>
                <w:position w:val="8"/>
                <w:sz w:val="19"/>
              </w:rPr>
              <w:t> </w:t>
            </w:r>
          </w:p>
        </w:tc>
        <w:tc>
          <w:tcPr>
            <w:tcW w:w="10059" w:type="dxa"/>
            <w:tcBorders>
              <w:bottom w:val="single" w:sz="8" w:space="0" w:color="000000"/>
            </w:tcBorders>
            <w:vAlign w:val="center"/>
          </w:tcPr>
          <w:p>
            <w:pPr>
              <w:pStyle w:val="TableContents"/>
              <w:bidi w:val="0"/>
              <w:spacing w:before="0" w:after="283"/>
              <w:jc w:val="left"/>
              <w:rPr/>
            </w:pPr>
            <w:r>
              <w:rPr/>
              <w:t> </w:t>
            </w:r>
          </w:p>
        </w:tc>
      </w:tr>
      <w:tr>
        <w:trPr/>
        <w:tc>
          <w:tcPr>
            <w:tcW w:w="146"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1 </w:t>
            </w:r>
          </w:p>
        </w:tc>
        <w:tc>
          <w:tcPr>
            <w:tcW w:w="1005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Gross margin and Operating margin are supplemental financial ratios; refer to Section 10 - </w:t>
            </w:r>
            <w:r>
              <w:rPr>
                <w:rFonts w:ascii="Times New Roman;Times;Serif" w:hAnsi="Times New Roman;Times;Serif"/>
                <w:i/>
                <w:sz w:val="20"/>
              </w:rPr>
              <w:t>Non-IFRS and Other Financial Measures and Ratios</w:t>
            </w:r>
            <w:r>
              <w:rPr>
                <w:rFonts w:ascii="Times New Roman;Times;Serif" w:hAnsi="Times New Roman;Times;Serif"/>
                <w:sz w:val="20"/>
              </w:rPr>
              <w:t>.</w:t>
            </w:r>
          </w:p>
        </w:tc>
      </w:tr>
      <w:tr>
        <w:trPr/>
        <w:tc>
          <w:tcPr>
            <w:tcW w:w="146" w:type="dxa"/>
            <w:tcBorders/>
            <w:tcMar>
              <w:bottom w:w="0" w:type="dxa"/>
            </w:tcMar>
            <w:vAlign w:val="center"/>
          </w:tcPr>
          <w:p>
            <w:pPr>
              <w:pStyle w:val="TableContents"/>
              <w:bidi w:val="0"/>
              <w:spacing w:before="0" w:after="283"/>
              <w:jc w:val="left"/>
              <w:rPr/>
            </w:pPr>
            <w:r>
              <w:rPr/>
              <w:t> </w:t>
            </w:r>
          </w:p>
        </w:tc>
        <w:tc>
          <w:tcPr>
            <w:tcW w:w="10059" w:type="dxa"/>
            <w:tcBorders/>
            <w:tcMar>
              <w:bottom w:w="0" w:type="dxa"/>
            </w:tcMar>
            <w:vAlign w:val="center"/>
          </w:tcPr>
          <w:p>
            <w:pPr>
              <w:pStyle w:val="TableContents"/>
              <w:bidi w:val="0"/>
              <w:spacing w:before="0" w:after="283"/>
              <w:jc w:val="both"/>
              <w:rPr/>
            </w:pPr>
            <w:r>
              <w:rPr/>
              <w:t> </w:t>
            </w:r>
          </w:p>
        </w:tc>
      </w:tr>
      <w:tr>
        <w:trPr/>
        <w:tc>
          <w:tcPr>
            <w:tcW w:w="146"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2 </w:t>
            </w:r>
          </w:p>
        </w:tc>
        <w:tc>
          <w:tcPr>
            <w:tcW w:w="1005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Gross Mining profit, Gross Mining margin, Adjusted EBITDA, Adjusted EBITDA margin, Direct Cost per BTC and Total Cash Cost per BTC are non-IFRS measures or ratios; refer to Section 10 - </w:t>
            </w:r>
            <w:r>
              <w:rPr>
                <w:rFonts w:ascii="Times New Roman;Times;Serif" w:hAnsi="Times New Roman;Times;Serif"/>
                <w:i/>
                <w:sz w:val="20"/>
              </w:rPr>
              <w:t>Non-IFRS and Other Financial Measures and Ratios</w:t>
            </w:r>
            <w:r>
              <w:rPr>
                <w:rFonts w:ascii="Times New Roman;Times;Serif" w:hAnsi="Times New Roman;Times;Serif"/>
                <w:sz w:val="20"/>
              </w:rPr>
              <w:t>.</w:t>
            </w:r>
          </w:p>
        </w:tc>
      </w:tr>
      <w:tr>
        <w:trPr/>
        <w:tc>
          <w:tcPr>
            <w:tcW w:w="146" w:type="dxa"/>
            <w:tcBorders/>
            <w:tcMar>
              <w:bottom w:w="0" w:type="dxa"/>
            </w:tcMar>
            <w:vAlign w:val="center"/>
          </w:tcPr>
          <w:p>
            <w:pPr>
              <w:pStyle w:val="TableContents"/>
              <w:bidi w:val="0"/>
              <w:spacing w:before="0" w:after="283"/>
              <w:jc w:val="left"/>
              <w:rPr/>
            </w:pPr>
            <w:r>
              <w:rPr/>
              <w:t> </w:t>
            </w:r>
          </w:p>
        </w:tc>
        <w:tc>
          <w:tcPr>
            <w:tcW w:w="10059" w:type="dxa"/>
            <w:tcBorders/>
            <w:tcMar>
              <w:bottom w:w="0" w:type="dxa"/>
            </w:tcMar>
            <w:vAlign w:val="center"/>
          </w:tcPr>
          <w:p>
            <w:pPr>
              <w:pStyle w:val="TableContents"/>
              <w:bidi w:val="0"/>
              <w:spacing w:before="0" w:after="283"/>
              <w:jc w:val="both"/>
              <w:rPr/>
            </w:pPr>
            <w:r>
              <w:rPr/>
              <w:t> </w:t>
            </w:r>
          </w:p>
        </w:tc>
      </w:tr>
      <w:tr>
        <w:trPr/>
        <w:tc>
          <w:tcPr>
            <w:tcW w:w="146"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3 </w:t>
            </w:r>
          </w:p>
        </w:tc>
        <w:tc>
          <w:tcPr>
            <w:tcW w:w="1005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Refer to section 11B - </w:t>
            </w:r>
            <w:r>
              <w:rPr>
                <w:rFonts w:ascii="Times New Roman;Times;Serif" w:hAnsi="Times New Roman;Times;Serif"/>
                <w:i/>
                <w:sz w:val="20"/>
              </w:rPr>
              <w:t xml:space="preserve">Liquidity and Capital Resources - Synthetic HODL program for digital assets management. Synthetic HODL realized gains are included in </w:t>
            </w:r>
            <w:r>
              <w:rPr>
                <w:rFonts w:ascii="Times New Roman;Times;Serif" w:hAnsi="Times New Roman;Times;Serif"/>
                <w:sz w:val="20"/>
              </w:rPr>
              <w:t>Gain on derivative assets and liabilities within Net financial income (expenses).</w:t>
            </w:r>
          </w:p>
        </w:tc>
      </w:tr>
    </w:tbl>
    <w:p>
      <w:pPr>
        <w:pStyle w:val="TextBody"/>
        <w:bidi w:val="0"/>
        <w:spacing w:before="0" w:after="283"/>
        <w:jc w:val="left"/>
        <w:rPr/>
      </w:pPr>
      <w:r>
        <w:rPr/>
        <w:t> </w:t>
      </w:r>
    </w:p>
    <w:tbl>
      <w:tblPr>
        <w:tblW w:w="670" w:type="dxa"/>
        <w:jc w:val="left"/>
        <w:tblInd w:w="0" w:type="dxa"/>
        <w:tblLayout w:type="fixed"/>
        <w:tblCellMar>
          <w:top w:w="28" w:type="dxa"/>
          <w:left w:w="0" w:type="dxa"/>
          <w:bottom w:w="0" w:type="dxa"/>
          <w:right w:w="0" w:type="dxa"/>
        </w:tblCellMar>
      </w:tblPr>
      <w:tblGrid>
        <w:gridCol w:w="185"/>
        <w:gridCol w:w="485"/>
      </w:tblGrid>
      <w:tr>
        <w:trPr/>
        <w:tc>
          <w:tcPr>
            <w:tcW w:w="185" w:type="dxa"/>
            <w:tcBorders>
              <w:top w:val="single" w:sz="12" w:space="0" w:color="000000"/>
            </w:tcBorders>
            <w:vAlign w:val="center"/>
          </w:tcPr>
          <w:p>
            <w:pPr>
              <w:pStyle w:val="TableContents"/>
              <w:bidi w:val="0"/>
              <w:spacing w:before="0" w:after="283"/>
              <w:jc w:val="right"/>
              <w:rPr>
                <w:sz w:val="20"/>
              </w:rPr>
            </w:pPr>
            <w:r>
              <w:rPr>
                <w:sz w:val="20"/>
              </w:rPr>
              <w:t>7 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FULL YEAR 2024 RESULTS AND OPERATIONAL HIGHLIGHTS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Expansions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United States </w:t>
      </w:r>
      <w:r>
        <w:rPr>
          <w:rFonts w:ascii="Times New Roman;Times;Serif" w:hAnsi="Times New Roman;Times;Serif"/>
          <w:b w:val="false"/>
          <w:i w:val="false"/>
          <w:caps w:val="false"/>
          <w:smallCaps w:val="false"/>
          <w:sz w:val="20"/>
        </w:rPr>
        <w:t>(Continued)</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Entered into two Hosting agreements with Stronghold to accelerate the deployment of a mix of 21,600 Bitmain T21 and S21 Pro Miners. Energization began in November and December 2024 and brought 1.2 EH/s online at December 31,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Canada</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Installed approximately 26,100 Bitmain T21 Miners, 3,800 Bitmain S21 Miners and 100 MicroBT Whatsminer M53S Miners at the Company’s Quebec, Canada data centers.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Paraguay</w:t>
      </w:r>
    </w:p>
    <w:tbl>
      <w:tblPr>
        <w:tblW w:w="5000" w:type="pct"/>
        <w:jc w:val="left"/>
        <w:tblInd w:w="0" w:type="dxa"/>
        <w:tblLayout w:type="fixed"/>
        <w:tblCellMar>
          <w:top w:w="0" w:type="dxa"/>
          <w:left w:w="0" w:type="dxa"/>
          <w:bottom w:w="0" w:type="dxa"/>
          <w:right w:w="0" w:type="dxa"/>
        </w:tblCellMar>
      </w:tblPr>
      <w:tblGrid>
        <w:gridCol w:w="44"/>
        <w:gridCol w:w="199"/>
        <w:gridCol w:w="9962"/>
      </w:tblGrid>
      <w:tr>
        <w:trPr/>
        <w:tc>
          <w:tcPr>
            <w:tcW w:w="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62" w:type="dxa"/>
            <w:tcBorders/>
            <w:vAlign w:val="center"/>
          </w:tcPr>
          <w:p>
            <w:pPr>
              <w:pStyle w:val="TableContents"/>
              <w:bidi w:val="0"/>
              <w:spacing w:before="0" w:after="283"/>
              <w:jc w:val="both"/>
              <w:rPr/>
            </w:pPr>
            <w:r>
              <w:rPr/>
              <w:t>Received and installed the main 80 MW transformer at the Paso Pe, Paraguay data center;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Energized the Paso Pe data center and installed approximately 14,400 Bitmain T21 air-cooled Miners and 1,800 MicroBT M53S WhatsMiner Miners, completing the Paso Pe, Paraguay expansion;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Developed the Yguazu facility by purchasing land, signing the engineering procurement and construction contract for the high-voltage interconnection to the Administración Nacional de Electricidad (“ANDE”) substation and to the transmission line;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Amended the energy contract at the Yguazu data center for an additional 100 MW of energy capacity for a total capacity of 200 MW;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Started and progressed on the construction of the Yguazu data center. In March 2025, the Company sold its Yguazu facility to HIVE Digital Technologies Ltd. (“HIVE”) for $63.0 million in its current state of development.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Commenced the 2024 ATM Program on March 11, 2024 and raised $290.5 million in net proceeds;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Received confirmation from the Provincial tax authorities that Canadian sales taxes paid by the Company from February 5, 2022 onwards is refundable and collected the sales tax recovery of approximately $24.4 million for claims between February 5, 2022 and April 2024;</w:t>
            </w:r>
          </w:p>
        </w:tc>
      </w:tr>
    </w:tbl>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pPr>
            <w:r>
              <w:rPr/>
              <w:t>Paid off in full the remaining $4.0 million of equipment-related indebtedness;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Executed a sale and leaseback agreement to monetize the value of the Garlock (Quebec, Canada) facility and received net proceeds of $1.7 million to be allocated towards the Company’s expansion plans;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Deposited $15.6 million with Stronghold, which are refundable on December 31, 2025, in connection with the two Stronghold Hosting agreements (“Refundable Hosting Deposits”).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Appointed Ben Gagnon as Chief Executive Officer (“CEO”) and Director of the Board and Liam Wilson as Chief Operating Officer;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Appointed Lead Director Brian Howlett as Independent Chairman of the Board; appointed Fanny Philip, Amy Freedman and Andrew J. Chang as Independent Directors of the Board; nominated Fanny Philip as Chair of the Audit Committee; Emiliano Grodzki was not re-elected to the Board; and accepted the resignations of Nicolas Bonta and Andrés Finkielsztain from the Board;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Entered into the Settlement Agreement (as defined in Section 19 - </w:t>
            </w:r>
            <w:r>
              <w:rPr>
                <w:i/>
              </w:rPr>
              <w:t>Risk Factors (The Company’s business could be negatively impacted by unsolicited investor interest, takeover proposals, shareholder activism or proxy contests relating to the election of directors.</w:t>
            </w:r>
            <w:r>
              <w:rPr/>
              <w:t>)) with Riot Platforms, Inc. (“Riot”) on September 24, 2024;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Settled an employment dispute with the former CEO (refer to Section 8C - </w:t>
            </w:r>
            <w:r>
              <w:rPr>
                <w:i/>
              </w:rPr>
              <w:t xml:space="preserve">Financial Performance (General &amp; Administrative Expenses) </w:t>
            </w:r>
            <w:r>
              <w:rPr/>
              <w:t>for more details).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670" w:type="dxa"/>
        <w:jc w:val="left"/>
        <w:tblInd w:w="0" w:type="dxa"/>
        <w:tblLayout w:type="fixed"/>
        <w:tblCellMar>
          <w:top w:w="28" w:type="dxa"/>
          <w:left w:w="0" w:type="dxa"/>
          <w:bottom w:w="0" w:type="dxa"/>
          <w:right w:w="0" w:type="dxa"/>
        </w:tblCellMar>
      </w:tblPr>
      <w:tblGrid>
        <w:gridCol w:w="185"/>
        <w:gridCol w:w="485"/>
      </w:tblGrid>
      <w:tr>
        <w:trPr/>
        <w:tc>
          <w:tcPr>
            <w:tcW w:w="185" w:type="dxa"/>
            <w:tcBorders>
              <w:top w:val="single" w:sz="12" w:space="0" w:color="000000"/>
            </w:tcBorders>
            <w:vAlign w:val="center"/>
          </w:tcPr>
          <w:p>
            <w:pPr>
              <w:pStyle w:val="TableContents"/>
              <w:bidi w:val="0"/>
              <w:spacing w:before="0" w:after="283"/>
              <w:jc w:val="right"/>
              <w:rPr>
                <w:sz w:val="20"/>
              </w:rPr>
            </w:pPr>
            <w:r>
              <w:rPr>
                <w:sz w:val="20"/>
              </w:rPr>
              <w:t>8 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4" w:name="m_006"/>
      <w:bookmarkEnd w:id="94"/>
      <w:r>
        <w:rPr>
          <w:rFonts w:ascii="Times New Roman;Times;Serif" w:hAnsi="Times New Roman;Times;Serif"/>
          <w:b/>
          <w:i w:val="false"/>
          <w:caps w:val="false"/>
          <w:smallCaps w:val="false"/>
          <w:sz w:val="20"/>
        </w:rPr>
        <w:t>6. PRODUCTION AND MINING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1"/>
        <w:gridCol w:w="60"/>
        <w:gridCol w:w="124"/>
        <w:gridCol w:w="701"/>
        <w:gridCol w:w="110"/>
        <w:gridCol w:w="110"/>
        <w:gridCol w:w="110"/>
        <w:gridCol w:w="1034"/>
        <w:gridCol w:w="110"/>
        <w:gridCol w:w="110"/>
        <w:gridCol w:w="153"/>
        <w:gridCol w:w="857"/>
        <w:gridCol w:w="272"/>
        <w:gridCol w:w="60"/>
        <w:gridCol w:w="79"/>
        <w:gridCol w:w="738"/>
        <w:gridCol w:w="79"/>
        <w:gridCol w:w="79"/>
        <w:gridCol w:w="79"/>
        <w:gridCol w:w="738"/>
        <w:gridCol w:w="79"/>
        <w:gridCol w:w="79"/>
        <w:gridCol w:w="153"/>
        <w:gridCol w:w="857"/>
        <w:gridCol w:w="293"/>
      </w:tblGrid>
      <w:tr>
        <w:trPr/>
        <w:tc>
          <w:tcPr>
            <w:tcW w:w="3141"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3419" w:type="dxa"/>
            <w:gridSpan w:val="10"/>
            <w:tcBorders>
              <w:bottom w:val="single" w:sz="8" w:space="0" w:color="000000"/>
            </w:tcBorders>
            <w:vAlign w:val="center"/>
          </w:tcPr>
          <w:p>
            <w:pPr>
              <w:pStyle w:val="TableContents"/>
              <w:bidi w:val="0"/>
              <w:spacing w:before="0" w:after="283"/>
              <w:jc w:val="center"/>
              <w:rPr>
                <w:b/>
              </w:rPr>
            </w:pPr>
            <w:r>
              <w:rPr>
                <w:b/>
              </w:rPr>
              <w:t>Three months ended December 31,</w:t>
            </w:r>
          </w:p>
        </w:tc>
        <w:tc>
          <w:tcPr>
            <w:tcW w:w="272"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960" w:type="dxa"/>
            <w:gridSpan w:val="10"/>
            <w:tcBorders>
              <w:bottom w:val="single" w:sz="8" w:space="0" w:color="000000"/>
            </w:tcBorders>
            <w:vAlign w:val="center"/>
          </w:tcPr>
          <w:p>
            <w:pPr>
              <w:pStyle w:val="TableContents"/>
              <w:bidi w:val="0"/>
              <w:spacing w:before="0" w:after="283"/>
              <w:jc w:val="center"/>
              <w:rPr>
                <w:b/>
              </w:rPr>
            </w:pPr>
            <w:r>
              <w:rPr>
                <w:b/>
              </w:rPr>
              <w:t>Year ended December 31,</w:t>
            </w:r>
          </w:p>
        </w:tc>
        <w:tc>
          <w:tcPr>
            <w:tcW w:w="293" w:type="dxa"/>
            <w:tcBorders>
              <w:bottom w:val="single" w:sz="8" w:space="0" w:color="000000"/>
            </w:tcBorders>
            <w:vAlign w:val="center"/>
          </w:tcPr>
          <w:p>
            <w:pPr>
              <w:pStyle w:val="TableContents"/>
              <w:bidi w:val="0"/>
              <w:spacing w:before="0" w:after="283"/>
              <w:jc w:val="left"/>
              <w:rPr/>
            </w:pPr>
            <w:r>
              <w:rPr/>
              <w:t> </w:t>
            </w:r>
          </w:p>
        </w:tc>
      </w:tr>
      <w:tr>
        <w:trPr/>
        <w:tc>
          <w:tcPr>
            <w:tcW w:w="3141"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825" w:type="dxa"/>
            <w:gridSpan w:val="2"/>
            <w:tcBorders>
              <w:bottom w:val="single" w:sz="8" w:space="0" w:color="000000"/>
            </w:tcBorders>
            <w:vAlign w:val="center"/>
          </w:tcPr>
          <w:p>
            <w:pPr>
              <w:pStyle w:val="TableContents"/>
              <w:bidi w:val="0"/>
              <w:spacing w:before="0" w:after="283"/>
              <w:jc w:val="right"/>
              <w:rPr>
                <w:b/>
              </w:rPr>
            </w:pPr>
            <w:r>
              <w:rPr>
                <w:b/>
              </w:rPr>
              <w:t>2024</w:t>
            </w:r>
          </w:p>
        </w:tc>
        <w:tc>
          <w:tcPr>
            <w:tcW w:w="110" w:type="dxa"/>
            <w:tcBorders>
              <w:bottom w:val="single" w:sz="8" w:space="0" w:color="000000"/>
            </w:tcBorders>
            <w:vAlign w:val="center"/>
          </w:tcPr>
          <w:p>
            <w:pPr>
              <w:pStyle w:val="TableContents"/>
              <w:bidi w:val="0"/>
              <w:spacing w:before="0" w:after="283"/>
              <w:jc w:val="left"/>
              <w:rPr/>
            </w:pPr>
            <w:r>
              <w:rPr/>
              <w:t> </w:t>
            </w:r>
          </w:p>
        </w:tc>
        <w:tc>
          <w:tcPr>
            <w:tcW w:w="110" w:type="dxa"/>
            <w:tcBorders>
              <w:bottom w:val="single" w:sz="8" w:space="0" w:color="000000"/>
            </w:tcBorders>
            <w:vAlign w:val="center"/>
          </w:tcPr>
          <w:p>
            <w:pPr>
              <w:pStyle w:val="TableContents"/>
              <w:bidi w:val="0"/>
              <w:spacing w:before="0" w:after="283"/>
              <w:jc w:val="left"/>
              <w:rPr/>
            </w:pPr>
            <w:r>
              <w:rPr/>
              <w:t> </w:t>
            </w:r>
          </w:p>
        </w:tc>
        <w:tc>
          <w:tcPr>
            <w:tcW w:w="1144" w:type="dxa"/>
            <w:gridSpan w:val="2"/>
            <w:tcBorders>
              <w:bottom w:val="single" w:sz="8" w:space="0" w:color="000000"/>
            </w:tcBorders>
            <w:vAlign w:val="center"/>
          </w:tcPr>
          <w:p>
            <w:pPr>
              <w:pStyle w:val="TableContents"/>
              <w:bidi w:val="0"/>
              <w:spacing w:before="0" w:after="283"/>
              <w:jc w:val="right"/>
              <w:rPr/>
            </w:pPr>
            <w:r>
              <w:rPr/>
              <w:t>2023</w:t>
            </w:r>
          </w:p>
        </w:tc>
        <w:tc>
          <w:tcPr>
            <w:tcW w:w="110" w:type="dxa"/>
            <w:tcBorders>
              <w:bottom w:val="single" w:sz="8" w:space="0" w:color="000000"/>
            </w:tcBorders>
            <w:vAlign w:val="center"/>
          </w:tcPr>
          <w:p>
            <w:pPr>
              <w:pStyle w:val="TableContents"/>
              <w:bidi w:val="0"/>
              <w:spacing w:before="0" w:after="283"/>
              <w:jc w:val="left"/>
              <w:rPr/>
            </w:pPr>
            <w:r>
              <w:rPr/>
              <w:t> </w:t>
            </w:r>
          </w:p>
        </w:tc>
        <w:tc>
          <w:tcPr>
            <w:tcW w:w="110" w:type="dxa"/>
            <w:tcBorders>
              <w:bottom w:val="single" w:sz="8" w:space="0" w:color="000000"/>
            </w:tcBorders>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right"/>
              <w:rPr/>
            </w:pPr>
            <w:r>
              <w:rPr/>
              <w:t>% Change</w:t>
            </w:r>
          </w:p>
        </w:tc>
        <w:tc>
          <w:tcPr>
            <w:tcW w:w="272"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817" w:type="dxa"/>
            <w:gridSpan w:val="2"/>
            <w:tcBorders>
              <w:bottom w:val="single" w:sz="8" w:space="0" w:color="000000"/>
            </w:tcBorders>
            <w:vAlign w:val="center"/>
          </w:tcPr>
          <w:p>
            <w:pPr>
              <w:pStyle w:val="TableContents"/>
              <w:bidi w:val="0"/>
              <w:spacing w:before="0" w:after="283"/>
              <w:jc w:val="right"/>
              <w:rPr>
                <w:b/>
              </w:rPr>
            </w:pPr>
            <w:r>
              <w:rPr>
                <w:b/>
              </w:rPr>
              <w:t>2024</w:t>
            </w:r>
          </w:p>
        </w:tc>
        <w:tc>
          <w:tcPr>
            <w:tcW w:w="79" w:type="dxa"/>
            <w:tcBorders>
              <w:bottom w:val="single" w:sz="8" w:space="0" w:color="000000"/>
            </w:tcBorders>
            <w:vAlign w:val="center"/>
          </w:tcPr>
          <w:p>
            <w:pPr>
              <w:pStyle w:val="TableContents"/>
              <w:bidi w:val="0"/>
              <w:spacing w:before="0" w:after="283"/>
              <w:jc w:val="left"/>
              <w:rPr/>
            </w:pPr>
            <w:r>
              <w:rPr/>
              <w:t> </w:t>
            </w:r>
          </w:p>
        </w:tc>
        <w:tc>
          <w:tcPr>
            <w:tcW w:w="79" w:type="dxa"/>
            <w:tcBorders>
              <w:bottom w:val="single" w:sz="8" w:space="0" w:color="000000"/>
            </w:tcBorders>
            <w:vAlign w:val="center"/>
          </w:tcPr>
          <w:p>
            <w:pPr>
              <w:pStyle w:val="TableContents"/>
              <w:bidi w:val="0"/>
              <w:spacing w:before="0" w:after="283"/>
              <w:jc w:val="left"/>
              <w:rPr/>
            </w:pPr>
            <w:r>
              <w:rPr/>
              <w:t> </w:t>
            </w:r>
          </w:p>
        </w:tc>
        <w:tc>
          <w:tcPr>
            <w:tcW w:w="817" w:type="dxa"/>
            <w:gridSpan w:val="2"/>
            <w:tcBorders>
              <w:bottom w:val="single" w:sz="8" w:space="0" w:color="000000"/>
            </w:tcBorders>
            <w:vAlign w:val="center"/>
          </w:tcPr>
          <w:p>
            <w:pPr>
              <w:pStyle w:val="TableContents"/>
              <w:bidi w:val="0"/>
              <w:spacing w:before="0" w:after="283"/>
              <w:jc w:val="right"/>
              <w:rPr/>
            </w:pPr>
            <w:r>
              <w:rPr/>
              <w:t>2023</w:t>
            </w:r>
          </w:p>
        </w:tc>
        <w:tc>
          <w:tcPr>
            <w:tcW w:w="79" w:type="dxa"/>
            <w:tcBorders>
              <w:bottom w:val="single" w:sz="8" w:space="0" w:color="000000"/>
            </w:tcBorders>
            <w:vAlign w:val="center"/>
          </w:tcPr>
          <w:p>
            <w:pPr>
              <w:pStyle w:val="TableContents"/>
              <w:bidi w:val="0"/>
              <w:spacing w:before="0" w:after="283"/>
              <w:jc w:val="left"/>
              <w:rPr/>
            </w:pPr>
            <w:r>
              <w:rPr/>
              <w:t> </w:t>
            </w:r>
          </w:p>
        </w:tc>
        <w:tc>
          <w:tcPr>
            <w:tcW w:w="79" w:type="dxa"/>
            <w:tcBorders>
              <w:bottom w:val="single" w:sz="8" w:space="0" w:color="000000"/>
            </w:tcBorders>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right"/>
              <w:rPr/>
            </w:pPr>
            <w:r>
              <w:rPr/>
              <w:t>% Change</w:t>
            </w:r>
          </w:p>
        </w:tc>
        <w:tc>
          <w:tcPr>
            <w:tcW w:w="293" w:type="dxa"/>
            <w:tcBorders>
              <w:bottom w:val="single" w:sz="8" w:space="0" w:color="000000"/>
            </w:tcBorders>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Total BTC earned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701" w:type="dxa"/>
            <w:tcBorders/>
            <w:shd w:fill="CCEEFF" w:val="clear"/>
            <w:tcMar>
              <w:bottom w:w="0" w:type="dxa"/>
            </w:tcMar>
            <w:vAlign w:val="center"/>
          </w:tcPr>
          <w:p>
            <w:pPr>
              <w:pStyle w:val="TableContents"/>
              <w:bidi w:val="0"/>
              <w:spacing w:before="0" w:after="283"/>
              <w:jc w:val="right"/>
              <w:rPr>
                <w:b/>
              </w:rPr>
            </w:pPr>
            <w:r>
              <w:rPr>
                <w:b/>
              </w:rPr>
              <w:t>654</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1,236</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(47</w:t>
            </w:r>
          </w:p>
        </w:tc>
        <w:tc>
          <w:tcPr>
            <w:tcW w:w="272"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738" w:type="dxa"/>
            <w:tcBorders/>
            <w:shd w:fill="CCEEFF" w:val="clear"/>
            <w:tcMar>
              <w:bottom w:w="0" w:type="dxa"/>
            </w:tcMar>
            <w:vAlign w:val="center"/>
          </w:tcPr>
          <w:p>
            <w:pPr>
              <w:pStyle w:val="TableContents"/>
              <w:bidi w:val="0"/>
              <w:spacing w:before="0" w:after="283"/>
              <w:jc w:val="right"/>
              <w:rPr>
                <w:b/>
              </w:rPr>
            </w:pPr>
            <w:r>
              <w:rPr>
                <w:b/>
              </w:rPr>
              <w:t>2,914</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738" w:type="dxa"/>
            <w:tcBorders/>
            <w:shd w:fill="CCEEFF" w:val="clear"/>
            <w:tcMar>
              <w:bottom w:w="0" w:type="dxa"/>
            </w:tcMar>
            <w:vAlign w:val="center"/>
          </w:tcPr>
          <w:p>
            <w:pPr>
              <w:pStyle w:val="TableContents"/>
              <w:bidi w:val="0"/>
              <w:spacing w:before="0" w:after="283"/>
              <w:jc w:val="right"/>
              <w:rPr/>
            </w:pPr>
            <w:r>
              <w:rPr/>
              <w:t>4,928</w:t>
            </w:r>
          </w:p>
        </w:tc>
        <w:tc>
          <w:tcPr>
            <w:tcW w:w="79"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(41</w:t>
            </w:r>
          </w:p>
        </w:tc>
        <w:tc>
          <w:tcPr>
            <w:tcW w:w="293" w:type="dxa"/>
            <w:tcBorders/>
            <w:shd w:fill="CCEEFF" w:val="clear"/>
            <w:tcMar>
              <w:bottom w:w="0" w:type="dxa"/>
            </w:tcMar>
            <w:vAlign w:val="center"/>
          </w:tcPr>
          <w:p>
            <w:pPr>
              <w:pStyle w:val="TableContents"/>
              <w:bidi w:val="0"/>
              <w:spacing w:before="0" w:after="283"/>
              <w:jc w:val="left"/>
              <w:rPr/>
            </w:pPr>
            <w:r>
              <w:rPr/>
              <w:t>)%</w:t>
            </w:r>
          </w:p>
        </w:tc>
      </w:tr>
      <w:tr>
        <w:trPr/>
        <w:tc>
          <w:tcPr>
            <w:tcW w:w="3141" w:type="dxa"/>
            <w:tcBorders/>
            <w:shd w:fill="FFFFFF" w:val="clear"/>
            <w:tcMar>
              <w:bottom w:w="0" w:type="dxa"/>
            </w:tcMar>
            <w:vAlign w:val="center"/>
          </w:tcPr>
          <w:p>
            <w:pPr>
              <w:pStyle w:val="TableContents"/>
              <w:bidi w:val="0"/>
              <w:spacing w:before="0" w:after="283"/>
              <w:jc w:val="left"/>
              <w:rPr/>
            </w:pPr>
            <w:r>
              <w:rPr/>
              <w:t>Average Watts/Average TH efficiency*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701" w:type="dxa"/>
            <w:tcBorders/>
            <w:shd w:fill="FFFFFF" w:val="clear"/>
            <w:tcMar>
              <w:bottom w:w="0" w:type="dxa"/>
            </w:tcMar>
            <w:vAlign w:val="center"/>
          </w:tcPr>
          <w:p>
            <w:pPr>
              <w:pStyle w:val="TableContents"/>
              <w:bidi w:val="0"/>
              <w:spacing w:before="0" w:after="283"/>
              <w:jc w:val="right"/>
              <w:rPr>
                <w:b/>
              </w:rPr>
            </w:pPr>
            <w:r>
              <w:rPr>
                <w:b/>
              </w:rPr>
              <w:t>22</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pPr>
            <w:r>
              <w:rPr/>
              <w:t>35</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right"/>
              <w:rPr/>
            </w:pPr>
            <w:r>
              <w:rPr/>
              <w:t>(37</w:t>
            </w:r>
          </w:p>
        </w:tc>
        <w:tc>
          <w:tcPr>
            <w:tcW w:w="272"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738" w:type="dxa"/>
            <w:tcBorders/>
            <w:shd w:fill="FFFFFF" w:val="clear"/>
            <w:tcMar>
              <w:bottom w:w="0" w:type="dxa"/>
            </w:tcMar>
            <w:vAlign w:val="center"/>
          </w:tcPr>
          <w:p>
            <w:pPr>
              <w:pStyle w:val="TableContents"/>
              <w:bidi w:val="0"/>
              <w:spacing w:before="0" w:after="283"/>
              <w:jc w:val="right"/>
              <w:rPr>
                <w:b/>
              </w:rPr>
            </w:pPr>
            <w:r>
              <w:rPr>
                <w:b/>
              </w:rPr>
              <w:t>26</w:t>
            </w:r>
          </w:p>
        </w:tc>
        <w:tc>
          <w:tcPr>
            <w:tcW w:w="79"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738" w:type="dxa"/>
            <w:tcBorders/>
            <w:shd w:fill="FFFFFF" w:val="clear"/>
            <w:tcMar>
              <w:bottom w:w="0" w:type="dxa"/>
            </w:tcMar>
            <w:vAlign w:val="center"/>
          </w:tcPr>
          <w:p>
            <w:pPr>
              <w:pStyle w:val="TableContents"/>
              <w:bidi w:val="0"/>
              <w:spacing w:before="0" w:after="283"/>
              <w:jc w:val="right"/>
              <w:rPr/>
            </w:pPr>
            <w:r>
              <w:rPr/>
              <w:t>36</w:t>
            </w:r>
          </w:p>
        </w:tc>
        <w:tc>
          <w:tcPr>
            <w:tcW w:w="79"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right"/>
              <w:rPr/>
            </w:pPr>
            <w:r>
              <w:rPr/>
              <w:t>(28</w:t>
            </w:r>
          </w:p>
        </w:tc>
        <w:tc>
          <w:tcPr>
            <w:tcW w:w="29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4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pPr>
            <w:r>
              <w:rPr/>
              <w:t>Average Watts represents the average energy consumption of deployed Miners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Q4 2024 v</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Q4 2023</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654 BTC earned in Q4 2024, compared to 1,236 BTC earned in Q4 2023, representing a decrease of 47% as a result of reduced Block Rewards following the April 2024 halving event and a 56% increase in average Network Difficulty, partially offset by an increase in Hashrate from the Company’s expansions and upgrades to its Miner fleet with additional and higher efficiency Miners;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Improved ending energy efficiency to 21 Watts/TH on December 31, 2024 compared to 35 Watts/TH on December 31, 2023, as a result of the Company upgrading its fleet with more efficient Miners. This improvement resulted in a 22 average Watts/Average TH efficiency during Q4 2024, compared to 35 average Watts/Average TH efficiency during Q4 2023, representing an improvement of 37%.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2,914 BTC earned during FY 2024, compared to 4,928 BTC earned during FY 2023, representing a decrease of 41% from the previous year as a result of reduced Block Rewards following the April 2024 halving event and a 68% increase in average Network Difficulty, partially offset by an increase in Hashrate from the Company’s expansions and upgrades to its Miner fleet with higher efficiency Miners;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Improved ending energy efficiency to 21 Watts/TH on December 31, 2024, compared to 35 Watts/TH on December 31, 2023, with the Company upgrading its Mining fleet. This improvement resulted in a 26 average Watts/Average TH efficiency during FY 2024, compared to 36 average Watts/Average TH efficiency during FY 2023, representing an improvement of 28%.</w:t>
            </w:r>
          </w:p>
        </w:tc>
      </w:tr>
    </w:tbl>
    <w:p>
      <w:pPr>
        <w:pStyle w:val="TextBody"/>
        <w:bidi w:val="0"/>
        <w:spacing w:before="0" w:after="0"/>
        <w:ind w:left="0" w:right="0" w:hanging="0"/>
        <w:jc w:val="both"/>
        <w:rPr>
          <w:caps w:val="false"/>
          <w:smallCaps w:val="false"/>
        </w:rPr>
      </w:pPr>
      <w:r>
        <w:rPr>
          <w:caps w:val="false"/>
          <w:smallCaps w:val="false"/>
        </w:rPr>
        <w:t> </w:t>
      </w:r>
    </w:p>
    <w:tbl>
      <w:tblPr>
        <w:tblW w:w="6701" w:type="dxa"/>
        <w:jc w:val="left"/>
        <w:tblInd w:w="0" w:type="dxa"/>
        <w:tblLayout w:type="fixed"/>
        <w:tblCellMar>
          <w:top w:w="0" w:type="dxa"/>
          <w:left w:w="0" w:type="dxa"/>
          <w:bottom w:w="0" w:type="dxa"/>
          <w:right w:w="0" w:type="dxa"/>
        </w:tblCellMar>
      </w:tblPr>
      <w:tblGrid>
        <w:gridCol w:w="3830"/>
        <w:gridCol w:w="60"/>
        <w:gridCol w:w="76"/>
        <w:gridCol w:w="558"/>
        <w:gridCol w:w="76"/>
        <w:gridCol w:w="76"/>
        <w:gridCol w:w="76"/>
        <w:gridCol w:w="482"/>
        <w:gridCol w:w="76"/>
        <w:gridCol w:w="76"/>
        <w:gridCol w:w="153"/>
        <w:gridCol w:w="857"/>
        <w:gridCol w:w="30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6" w:type="dxa"/>
            <w:gridSpan w:val="10"/>
            <w:tcBorders/>
            <w:vAlign w:val="center"/>
          </w:tcPr>
          <w:p>
            <w:pPr>
              <w:pStyle w:val="TableContents"/>
              <w:bidi w:val="0"/>
              <w:spacing w:before="0" w:after="283"/>
              <w:jc w:val="center"/>
              <w:rPr>
                <w:b/>
              </w:rPr>
            </w:pPr>
            <w:r>
              <w:rPr>
                <w:b/>
              </w:rPr>
              <w:t>As of December 31,</w:t>
            </w:r>
          </w:p>
        </w:tc>
        <w:tc>
          <w:tcPr>
            <w:tcW w:w="305" w:type="dxa"/>
            <w:tcBorders/>
            <w:vAlign w:val="center"/>
          </w:tcPr>
          <w:p>
            <w:pPr>
              <w:pStyle w:val="TableContents"/>
              <w:bidi w:val="0"/>
              <w:spacing w:before="0" w:after="283"/>
              <w:jc w:val="left"/>
              <w:rPr/>
            </w:pPr>
            <w:r>
              <w:rPr/>
              <w:t> </w:t>
            </w:r>
          </w:p>
        </w:tc>
      </w:tr>
      <w:tr>
        <w:trPr/>
        <w:tc>
          <w:tcPr>
            <w:tcW w:w="383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3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rPr>
            </w:pPr>
            <w:r>
              <w:rPr>
                <w:b/>
              </w:rPr>
              <w:t>2024</w:t>
            </w:r>
          </w:p>
        </w:tc>
        <w:tc>
          <w:tcPr>
            <w:tcW w:w="7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558"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2023</w:t>
            </w:r>
          </w:p>
        </w:tc>
        <w:tc>
          <w:tcPr>
            <w:tcW w:w="7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1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 Change</w:t>
            </w:r>
          </w:p>
        </w:tc>
        <w:tc>
          <w:tcPr>
            <w:tcW w:w="30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Period-end operating EH/s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b/>
              </w:rPr>
            </w:pPr>
            <w:r>
              <w:rPr>
                <w:b/>
              </w:rPr>
              <w:t>12.8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right"/>
              <w:rPr/>
            </w:pPr>
            <w:r>
              <w:rPr/>
              <w:t>6.5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97</w:t>
            </w:r>
          </w:p>
        </w:tc>
        <w:tc>
          <w:tcPr>
            <w:tcW w:w="305"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Watts/TH efficiency*</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b/>
              </w:rPr>
            </w:pPr>
            <w:r>
              <w:rPr>
                <w:b/>
              </w:rPr>
              <w:t>21</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pPr>
            <w:r>
              <w:rPr/>
              <w:t>35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(40</w:t>
            </w:r>
          </w:p>
        </w:tc>
        <w:tc>
          <w:tcPr>
            <w:tcW w:w="305"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Period-end energized capacity (MW)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b/>
              </w:rPr>
            </w:pPr>
            <w:r>
              <w:rPr>
                <w:b/>
              </w:rPr>
              <w:t>394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right"/>
              <w:rPr/>
            </w:pPr>
            <w:r>
              <w:rPr/>
              <w:t>240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4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pPr>
            <w:r>
              <w:rPr/>
              <w:t>Watts represents the energy consumption of deployed Miners</w:t>
            </w:r>
          </w:p>
        </w:tc>
      </w:tr>
    </w:tbl>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Includes 36 MW and 43 MW period-end energized capacity from Panther Creek and Scrubgrass hosted facilities, respectively (as of December 31, 2023: nil)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of December 31, 2024 v. as of December 31, 2023</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12.8 EH/s online as of December 31, 2024, compared to 6.5 EH/s online as of December 31, 2023, an increase of 97%, as a result of the Company’s expansions in Paso Pe (Paraguay), the Stronghold Hosting Agreements in the Pennsylvania, United States, as well as the upgrade of its Miner fleet with higher efficiency Miners;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Ending energy efficiency of 21 Watts/TH on December 31, 2024 compared to 35 Watts/TH on December 31, 2023, an improvement of 40% as a result of the Company upgrading its fleet with more efficient Miners;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394 MW energized capacity as of December 31, 2024, compared to 240 MW energized capacity as of December 31, 2023, an increase of 64%, mainly due to the expansion in Paso Pe (resulting in an additional 70 MW) and the hosted facilities (resulting in an additional 79 MW).</w:t>
            </w:r>
          </w:p>
        </w:tc>
      </w:tr>
    </w:tbl>
    <w:p>
      <w:pPr>
        <w:pStyle w:val="TextBody"/>
        <w:bidi w:val="0"/>
        <w:spacing w:before="0" w:after="0"/>
        <w:ind w:left="0" w:right="0" w:hanging="0"/>
        <w:jc w:val="both"/>
        <w:rPr>
          <w:caps w:val="false"/>
          <w:smallCaps w:val="false"/>
        </w:rPr>
      </w:pPr>
      <w:r>
        <w:rPr>
          <w:caps w:val="false"/>
          <w:smallCaps w:val="false"/>
        </w:rPr>
        <w:t> </w:t>
      </w:r>
    </w:p>
    <w:tbl>
      <w:tblPr>
        <w:tblW w:w="670" w:type="dxa"/>
        <w:jc w:val="left"/>
        <w:tblInd w:w="0" w:type="dxa"/>
        <w:tblLayout w:type="fixed"/>
        <w:tblCellMar>
          <w:top w:w="28" w:type="dxa"/>
          <w:left w:w="0" w:type="dxa"/>
          <w:bottom w:w="0" w:type="dxa"/>
          <w:right w:w="0" w:type="dxa"/>
        </w:tblCellMar>
      </w:tblPr>
      <w:tblGrid>
        <w:gridCol w:w="185"/>
        <w:gridCol w:w="485"/>
      </w:tblGrid>
      <w:tr>
        <w:trPr/>
        <w:tc>
          <w:tcPr>
            <w:tcW w:w="185" w:type="dxa"/>
            <w:tcBorders>
              <w:top w:val="single" w:sz="12" w:space="0" w:color="000000"/>
            </w:tcBorders>
            <w:vAlign w:val="center"/>
          </w:tcPr>
          <w:p>
            <w:pPr>
              <w:pStyle w:val="TableContents"/>
              <w:bidi w:val="0"/>
              <w:spacing w:before="0" w:after="283"/>
              <w:jc w:val="right"/>
              <w:rPr>
                <w:sz w:val="20"/>
              </w:rPr>
            </w:pPr>
            <w:r>
              <w:rPr>
                <w:sz w:val="20"/>
              </w:rPr>
              <w:t>9 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 w:name="m_007"/>
      <w:bookmarkEnd w:id="95"/>
      <w:r>
        <w:rPr>
          <w:rFonts w:ascii="Times New Roman;Times;Serif" w:hAnsi="Times New Roman;Times;Serif"/>
          <w:b/>
          <w:i w:val="false"/>
          <w:caps w:val="false"/>
          <w:smallCaps w:val="false"/>
          <w:sz w:val="20"/>
        </w:rPr>
        <w:t>7. EXPANSION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describes its expansion plans below under the sections entitled “United States Expansion”, “Paraguay Expansion”, and “Canada Expansion”. These expansion projects do not include updates from 2023 or earlier.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operated 12.8 EH/s across its facilities, an increase of 6.3 EH/s, or 97%, compared to December 31, 2023. The increase is attributed to the installation of additional Miners in Paso Pe, Paraguay; Baie-Comeau, Quebec, Canada; and Rio Cuarto, Argentina, the Stronghold Hosting Agreements in Pennsylvania, United States, and the Company upgrading its overall fleet with more efficient Miners. In January 2025 the Company achieved 15.2 EH/s, and in February 2025 the Company achieved 16.1 EH/s, mainly due to fleet-wide operational excellence initiatives. Through its expansion projects and the investment in its transformative fleet upgrade, the Company achieved its target of 21 w/TH before the end of 2024 and is executing towards its revised targets of 18 EH/s operational and 21 EH/s and 19 w/TH installed by June 30, 2025. With the closing of the Stronghold transaction on March 14, 2025, the Company added approximately 1.4 EH/s, bringing the total EH under Management to 18.6 EH/s, including Stronghold’s existing hosting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revised target reflects the underperformance of some of the Company’s Bitmain T21 Miners. To address this, the Company upgraded 18,853 Bitmain T21 Miners remaining in its Purchase Option and March 2024 Purchase Order, as defined below, to more efficient Bitmain S21 Pro Miners. The Company also returned 4,160 Bitmain T21 Miners and ordered 3,660 Bitmain S21+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recent BTC halving event occurred on April 19, 2024, and the Company continues to prudently explore further opportunities to expand its infrastructure and improve its Mining hardware to increase the Company’s Hashrate, Miner efficiency and to monetize the Company’s infrastructure to create long-term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costs and timelines to achieve these expansion plans may change based on, among other factors, the cost and supply of Bitcoin Mining equipment, the ability to import equipment into countries where it operates in a cost-effective and timely manner, the supply of electrical and other supporting infrastructure equipment, the availability of construction materials, currency exchange rates and the impact of geopolitical events on the supply chains described above. The Company’s expansion plans rely on a consistent supply of electricity at cost-effective rates; refer to Section 19 -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(Section </w:t>
      </w:r>
      <w:r>
        <w:rPr>
          <w:rFonts w:ascii="Times New Roman;Times;Serif" w:hAnsi="Times New Roman;Times;Serif"/>
          <w:b w:val="false"/>
          <w:i/>
          <w:caps w:val="false"/>
          <w:smallCaps w:val="false"/>
          <w:sz w:val="20"/>
        </w:rPr>
        <w:t>Economic Dependence on Regulated Terms of Service and Electricity Rates Risks)</w:t>
      </w:r>
      <w:r>
        <w:rPr>
          <w:rFonts w:ascii="Times New Roman;Times;Serif" w:hAnsi="Times New Roman;Times;Serif"/>
          <w:b w:val="false"/>
          <w:i w:val="false"/>
          <w:caps w:val="false"/>
          <w:smallCaps w:val="false"/>
          <w:sz w:val="20"/>
        </w:rPr>
        <w:t xml:space="preserve"> of this MD&amp;A for further details, including a description of these and other factors.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10 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EXPANSION PROJECTS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Transformative Fleet Upgrade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transformative fleet upgrade plan described above underpins the Company’s 2024 expansion strategy. Securing additional Miners was anticipated to benefit the Company by capitalizing on elevated Bitcoin prices and drive rapid and meaningful improvements across three key operating metrics: Hashrate, energy efficiency and operating costs per TH.</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On November 27, 2023, the Company placed a firm purchase order for 35,888 Bitmain T21 Miners (the “Purchase Order”) totaling $95.5 million, or $14/TH, which were delivered in 2024.</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On November 27, 2023, the Company secured a purchase option for an additional 28,000 Bitmain T21 Miners (the “Purchase Option”) for an aggregate purchase price of $74.5 million, or $14/TH. On March 11, 2024, the Company exercised the Purchase Option.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pPr>
            <w:r>
              <w:rPr/>
              <w:t>On March 11, 2024, the Company also purchased an additional 19,280 Bitmain T21 Miners for $14/TH, and 3,888 Bitmain S21 Miners and 740 Bitmain S21 hydro Miners for $17.50/TH, for an aggregate purchase price of $69.2 million (collectively defined as the “March 2024 Purchase Order”).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both"/>
              <w:rPr/>
            </w:pPr>
            <w:r>
              <w:rPr/>
              <w:t>On November 12, 2024, the Company amended the Purchase Option and the March 2024 Purchase Order (“Supplementary Agreements”) and upgraded 18,853 Bitmain T21 Miners with more efficient Bitmain S21 Pro Miners for an additional consideration of $33.2 million which was paid in BTC and can be redeemed in 4 installments as described in Note 9 to the Financial Statements. The amended aggregate purchase price for the Purchase Option is $85.1 million and the March 2024 Purchase Order is $91.9 million.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8" w:type="dxa"/>
            <w:tcBorders/>
            <w:vAlign w:val="center"/>
          </w:tcPr>
          <w:p>
            <w:pPr>
              <w:pStyle w:val="TableContents"/>
              <w:bidi w:val="0"/>
              <w:spacing w:before="0" w:after="283"/>
              <w:jc w:val="both"/>
              <w:rPr/>
            </w:pPr>
            <w:r>
              <w:rPr/>
              <w:t>On March 12, 2025, in connection with the Purchase Order, an exchange agreement was signed to return 4,160 Bitmain T21 Miners. In consideration for the returned Miners, Bitmain will refund the Company with a $9.5 million credit. Simultaneously, the Company placed another purchase order (“2025 Miners Swap”) for 3,660 Bitmain S21+ Miners at a purchase price of $11.9 million. On March 13, 2025, the net $2.4 million was paid in BTC and can be repurchased in four quarterly installments resulting in an embedded derivative.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2024 Purchase Order, combined with the Purchase Order and Purchase Option, is expected to enable the Company to reach 18 EH/s operating capacity and 19 w/TH efficiency in 2025. The Company intends to continue liquidating older Miners to offset the cost of capital expenditure. During FY 2024, the Company sold 16,056 older generation Miners to third parties for approximately $2.5 million. Refer to Note 10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paid the full amount of $239.2 million, of which $33.2 million was made in BTC towards these new orders. The Company has the option to repurchase the BTC resulting in an embedded derivative. See Note 9 to the Financial Statements for more details. The Company commenced the 2024 ATM Program on March 11, 2024, enabling the Company to access liquidity of up to $375.0 million, with the intention to use the proceeds primarily for capital expenditures to support the Company’s growth and development. Refer to Section 11A -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11 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EXPANSION PROJECTS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Transformative Fleet Upgrade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status of the new Miner orders as of March 26,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535"/>
        <w:gridCol w:w="60"/>
        <w:gridCol w:w="2011"/>
        <w:gridCol w:w="60"/>
        <w:gridCol w:w="297"/>
        <w:gridCol w:w="60"/>
        <w:gridCol w:w="69"/>
        <w:gridCol w:w="791"/>
        <w:gridCol w:w="95"/>
        <w:gridCol w:w="60"/>
        <w:gridCol w:w="1089"/>
        <w:gridCol w:w="60"/>
        <w:gridCol w:w="103"/>
        <w:gridCol w:w="1188"/>
        <w:gridCol w:w="60"/>
        <w:gridCol w:w="60"/>
        <w:gridCol w:w="120"/>
        <w:gridCol w:w="884"/>
        <w:gridCol w:w="60"/>
        <w:gridCol w:w="60"/>
        <w:gridCol w:w="109"/>
        <w:gridCol w:w="1257"/>
        <w:gridCol w:w="117"/>
      </w:tblGrid>
      <w:tr>
        <w:trPr/>
        <w:tc>
          <w:tcPr>
            <w:tcW w:w="1535" w:type="dxa"/>
            <w:tcBorders>
              <w:top w:val="single" w:sz="8" w:space="0" w:color="000000"/>
            </w:tcBorders>
            <w:vAlign w:val="center"/>
          </w:tcPr>
          <w:p>
            <w:pPr>
              <w:pStyle w:val="TableContents"/>
              <w:bidi w:val="0"/>
              <w:spacing w:before="0" w:after="283"/>
              <w:jc w:val="center"/>
              <w:rPr>
                <w:b/>
              </w:rPr>
            </w:pPr>
            <w:r>
              <w:rPr>
                <w:b/>
              </w:rPr>
              <w:t>Date</w:t>
            </w:r>
          </w:p>
        </w:tc>
        <w:tc>
          <w:tcPr>
            <w:tcW w:w="60" w:type="dxa"/>
            <w:tcBorders>
              <w:top w:val="single" w:sz="8" w:space="0" w:color="000000"/>
            </w:tcBorders>
            <w:vAlign w:val="center"/>
          </w:tcPr>
          <w:p>
            <w:pPr>
              <w:pStyle w:val="TableContents"/>
              <w:bidi w:val="0"/>
              <w:spacing w:before="0" w:after="283"/>
              <w:jc w:val="left"/>
              <w:rPr/>
            </w:pPr>
            <w:r>
              <w:rPr/>
              <w:t> </w:t>
            </w:r>
          </w:p>
        </w:tc>
        <w:tc>
          <w:tcPr>
            <w:tcW w:w="2011" w:type="dxa"/>
            <w:tcBorders>
              <w:top w:val="single" w:sz="8" w:space="0" w:color="000000"/>
            </w:tcBorders>
            <w:vAlign w:val="center"/>
          </w:tcPr>
          <w:p>
            <w:pPr>
              <w:pStyle w:val="TableContents"/>
              <w:bidi w:val="0"/>
              <w:spacing w:before="0" w:after="283"/>
              <w:jc w:val="center"/>
              <w:rPr>
                <w:b/>
              </w:rPr>
            </w:pPr>
            <w:r>
              <w:rPr>
                <w:b/>
              </w:rPr>
              <w:t>Order</w:t>
            </w:r>
          </w:p>
        </w:tc>
        <w:tc>
          <w:tcPr>
            <w:tcW w:w="60" w:type="dxa"/>
            <w:tcBorders>
              <w:top w:val="single" w:sz="8" w:space="0" w:color="000000"/>
            </w:tcBorders>
            <w:vAlign w:val="center"/>
          </w:tcPr>
          <w:p>
            <w:pPr>
              <w:pStyle w:val="TableContents"/>
              <w:bidi w:val="0"/>
              <w:spacing w:before="0" w:after="283"/>
              <w:jc w:val="left"/>
              <w:rPr/>
            </w:pPr>
            <w:r>
              <w:rPr/>
              <w:t> </w:t>
            </w:r>
          </w:p>
        </w:tc>
        <w:tc>
          <w:tcPr>
            <w:tcW w:w="297" w:type="dxa"/>
            <w:tcBorders>
              <w:top w:val="single" w:sz="8" w:space="0" w:color="000000"/>
            </w:tcBorders>
            <w:vAlign w:val="center"/>
          </w:tcPr>
          <w:p>
            <w:pPr>
              <w:pStyle w:val="TableContents"/>
              <w:bidi w:val="0"/>
              <w:spacing w:before="0" w:after="283"/>
              <w:jc w:val="center"/>
              <w:rPr/>
            </w:pPr>
            <w:r>
              <w:rPr/>
              <w:t> </w:t>
            </w:r>
          </w:p>
        </w:tc>
        <w:tc>
          <w:tcPr>
            <w:tcW w:w="60" w:type="dxa"/>
            <w:tcBorders>
              <w:top w:val="single" w:sz="8" w:space="0" w:color="000000"/>
            </w:tcBorders>
            <w:vAlign w:val="center"/>
          </w:tcPr>
          <w:p>
            <w:pPr>
              <w:pStyle w:val="TableContents"/>
              <w:bidi w:val="0"/>
              <w:spacing w:before="0" w:after="283"/>
              <w:jc w:val="left"/>
              <w:rPr/>
            </w:pPr>
            <w:r>
              <w:rPr/>
              <w:t> </w:t>
            </w:r>
          </w:p>
        </w:tc>
        <w:tc>
          <w:tcPr>
            <w:tcW w:w="860" w:type="dxa"/>
            <w:gridSpan w:val="2"/>
            <w:tcBorders>
              <w:top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Quantity</w:t>
            </w:r>
            <w:r>
              <w:rPr>
                <w:rFonts w:ascii="Times New Roman;Times;Serif" w:hAnsi="Times New Roman;Times;Serif"/>
                <w:b/>
                <w:position w:val="7"/>
                <w:sz w:val="16"/>
                <w:sz w:val="20"/>
              </w:rPr>
              <w:t>1</w:t>
            </w:r>
          </w:p>
        </w:tc>
        <w:tc>
          <w:tcPr>
            <w:tcW w:w="95" w:type="dxa"/>
            <w:tcBorders>
              <w:top w:val="single" w:sz="8" w:space="0" w:color="000000"/>
            </w:tcBorders>
            <w:vAlign w:val="center"/>
          </w:tcPr>
          <w:p>
            <w:pPr>
              <w:pStyle w:val="TableContents"/>
              <w:bidi w:val="0"/>
              <w:spacing w:before="0" w:after="283"/>
              <w:jc w:val="left"/>
              <w:rPr/>
            </w:pPr>
            <w:r>
              <w:rPr/>
              <w:t> </w:t>
            </w:r>
          </w:p>
        </w:tc>
        <w:tc>
          <w:tcPr>
            <w:tcW w:w="60" w:type="dxa"/>
            <w:tcBorders>
              <w:top w:val="single" w:sz="8" w:space="0" w:color="000000"/>
            </w:tcBorders>
            <w:vAlign w:val="center"/>
          </w:tcPr>
          <w:p>
            <w:pPr>
              <w:pStyle w:val="TableContents"/>
              <w:bidi w:val="0"/>
              <w:spacing w:before="0" w:after="283"/>
              <w:jc w:val="left"/>
              <w:rPr/>
            </w:pPr>
            <w:r>
              <w:rPr/>
              <w:t> </w:t>
            </w:r>
          </w:p>
        </w:tc>
        <w:tc>
          <w:tcPr>
            <w:tcW w:w="1089" w:type="dxa"/>
            <w:tcBorders>
              <w:top w:val="single" w:sz="8" w:space="0" w:color="000000"/>
            </w:tcBorders>
            <w:vAlign w:val="center"/>
          </w:tcPr>
          <w:p>
            <w:pPr>
              <w:pStyle w:val="TableContents"/>
              <w:bidi w:val="0"/>
              <w:spacing w:before="0" w:after="283"/>
              <w:jc w:val="center"/>
              <w:rPr>
                <w:b/>
              </w:rPr>
            </w:pPr>
            <w:r>
              <w:rPr>
                <w:b/>
              </w:rPr>
              <w:t>Miner Model</w:t>
            </w:r>
          </w:p>
        </w:tc>
        <w:tc>
          <w:tcPr>
            <w:tcW w:w="60" w:type="dxa"/>
            <w:tcBorders>
              <w:top w:val="single" w:sz="8" w:space="0" w:color="000000"/>
            </w:tcBorders>
            <w:vAlign w:val="center"/>
          </w:tcPr>
          <w:p>
            <w:pPr>
              <w:pStyle w:val="TableContents"/>
              <w:bidi w:val="0"/>
              <w:spacing w:before="0" w:after="283"/>
              <w:jc w:val="left"/>
              <w:rPr/>
            </w:pPr>
            <w:r>
              <w:rPr/>
              <w:t> </w:t>
            </w:r>
          </w:p>
        </w:tc>
        <w:tc>
          <w:tcPr>
            <w:tcW w:w="1291" w:type="dxa"/>
            <w:gridSpan w:val="2"/>
            <w:tcBorders>
              <w:top w:val="single" w:sz="8" w:space="0" w:color="000000"/>
            </w:tcBorders>
            <w:vAlign w:val="center"/>
          </w:tcPr>
          <w:p>
            <w:pPr>
              <w:pStyle w:val="TableContents"/>
              <w:bidi w:val="0"/>
              <w:spacing w:before="0" w:after="283"/>
              <w:jc w:val="center"/>
              <w:rPr>
                <w:b/>
              </w:rPr>
            </w:pPr>
            <w:r>
              <w:rPr>
                <w:b/>
              </w:rPr>
              <w:t>Miners Energized</w:t>
            </w:r>
          </w:p>
        </w:tc>
        <w:tc>
          <w:tcPr>
            <w:tcW w:w="60" w:type="dxa"/>
            <w:tcBorders>
              <w:top w:val="single" w:sz="8" w:space="0" w:color="000000"/>
            </w:tcBorders>
            <w:vAlign w:val="center"/>
          </w:tcPr>
          <w:p>
            <w:pPr>
              <w:pStyle w:val="TableContents"/>
              <w:bidi w:val="0"/>
              <w:spacing w:before="0" w:after="283"/>
              <w:jc w:val="left"/>
              <w:rPr/>
            </w:pPr>
            <w:r>
              <w:rPr/>
              <w:t> </w:t>
            </w:r>
          </w:p>
        </w:tc>
        <w:tc>
          <w:tcPr>
            <w:tcW w:w="60" w:type="dxa"/>
            <w:tcBorders>
              <w:top w:val="single" w:sz="8" w:space="0" w:color="000000"/>
            </w:tcBorders>
            <w:vAlign w:val="center"/>
          </w:tcPr>
          <w:p>
            <w:pPr>
              <w:pStyle w:val="TableContents"/>
              <w:bidi w:val="0"/>
              <w:spacing w:before="0" w:after="283"/>
              <w:jc w:val="left"/>
              <w:rPr/>
            </w:pPr>
            <w:r>
              <w:rPr/>
              <w:t> </w:t>
            </w:r>
          </w:p>
        </w:tc>
        <w:tc>
          <w:tcPr>
            <w:tcW w:w="1004" w:type="dxa"/>
            <w:gridSpan w:val="2"/>
            <w:tcBorders>
              <w:top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Hashrate (EH/s)</w:t>
            </w:r>
            <w:r>
              <w:rPr>
                <w:rFonts w:ascii="Times New Roman;Times;Serif" w:hAnsi="Times New Roman;Times;Serif"/>
                <w:b/>
                <w:position w:val="7"/>
                <w:sz w:val="16"/>
                <w:sz w:val="20"/>
              </w:rPr>
              <w:t>2</w:t>
            </w:r>
          </w:p>
        </w:tc>
        <w:tc>
          <w:tcPr>
            <w:tcW w:w="60" w:type="dxa"/>
            <w:tcBorders>
              <w:top w:val="single" w:sz="8" w:space="0" w:color="000000"/>
            </w:tcBorders>
            <w:vAlign w:val="center"/>
          </w:tcPr>
          <w:p>
            <w:pPr>
              <w:pStyle w:val="TableContents"/>
              <w:bidi w:val="0"/>
              <w:spacing w:before="0" w:after="283"/>
              <w:jc w:val="left"/>
              <w:rPr/>
            </w:pPr>
            <w:r>
              <w:rPr/>
              <w:t> </w:t>
            </w:r>
          </w:p>
        </w:tc>
        <w:tc>
          <w:tcPr>
            <w:tcW w:w="60" w:type="dxa"/>
            <w:tcBorders>
              <w:top w:val="single" w:sz="8" w:space="0" w:color="000000"/>
            </w:tcBorders>
            <w:vAlign w:val="center"/>
          </w:tcPr>
          <w:p>
            <w:pPr>
              <w:pStyle w:val="TableContents"/>
              <w:bidi w:val="0"/>
              <w:spacing w:before="0" w:after="283"/>
              <w:jc w:val="left"/>
              <w:rPr/>
            </w:pPr>
            <w:r>
              <w:rPr/>
              <w:t> </w:t>
            </w:r>
          </w:p>
        </w:tc>
        <w:tc>
          <w:tcPr>
            <w:tcW w:w="1366" w:type="dxa"/>
            <w:gridSpan w:val="2"/>
            <w:tcBorders>
              <w:top w:val="single" w:sz="8" w:space="0" w:color="000000"/>
            </w:tcBorders>
            <w:vAlign w:val="center"/>
          </w:tcPr>
          <w:p>
            <w:pPr>
              <w:pStyle w:val="TableContents"/>
              <w:bidi w:val="0"/>
              <w:spacing w:before="0" w:after="283"/>
              <w:jc w:val="center"/>
              <w:rPr>
                <w:b/>
              </w:rPr>
            </w:pPr>
            <w:r>
              <w:rPr>
                <w:b/>
              </w:rPr>
              <w:t>Remaining Miners</w:t>
            </w:r>
          </w:p>
        </w:tc>
        <w:tc>
          <w:tcPr>
            <w:tcW w:w="117" w:type="dxa"/>
            <w:tcBorders>
              <w:top w:val="single" w:sz="8" w:space="0" w:color="000000"/>
            </w:tcBorders>
            <w:vAlign w:val="center"/>
          </w:tcPr>
          <w:p>
            <w:pPr>
              <w:pStyle w:val="TableContents"/>
              <w:bidi w:val="0"/>
              <w:spacing w:before="0" w:after="283"/>
              <w:jc w:val="left"/>
              <w:rPr/>
            </w:pPr>
            <w:r>
              <w:rPr/>
              <w:t> </w:t>
            </w:r>
          </w:p>
        </w:tc>
      </w:tr>
      <w:tr>
        <w:trPr/>
        <w:tc>
          <w:tcPr>
            <w:tcW w:w="1535"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Q4 2023</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11"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Purchase Order</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97"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center"/>
              <w:rPr/>
            </w:pPr>
            <w:r>
              <w:rPr/>
              <w:t>(i)</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pPr>
            <w:r>
              <w:rPr/>
              <w:t>35,898</w:t>
            </w:r>
          </w:p>
        </w:tc>
        <w:tc>
          <w:tcPr>
            <w:tcW w:w="95"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Bitmain T21</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b/>
              </w:rPr>
            </w:pPr>
            <w:r>
              <w:rPr>
                <w:b/>
              </w:rPr>
              <w:t>35,898</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b/>
              </w:rPr>
            </w:pPr>
            <w:r>
              <w:rPr>
                <w:b/>
              </w:rPr>
              <w:t>6.8</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7"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shd w:fill="FFFFFF" w:val="clear"/>
            <w:tcMar>
              <w:top w:w="0" w:type="dxa"/>
            </w:tcMar>
            <w:vAlign w:val="center"/>
          </w:tcPr>
          <w:p>
            <w:pPr>
              <w:pStyle w:val="TableContents"/>
              <w:bidi w:val="0"/>
              <w:spacing w:before="0" w:after="283"/>
              <w:jc w:val="left"/>
              <w:rPr/>
            </w:pPr>
            <w:r>
              <w:rPr/>
              <w:t>Q1 2024 (amended Q4 2024)</w:t>
            </w:r>
          </w:p>
        </w:tc>
        <w:tc>
          <w:tcPr>
            <w:tcW w:w="60" w:type="dxa"/>
            <w:tcBorders/>
            <w:shd w:fill="FFFFFF" w:val="clear"/>
            <w:tcMar>
              <w:top w:w="0" w:type="dxa"/>
            </w:tcMar>
            <w:vAlign w:val="center"/>
          </w:tcPr>
          <w:p>
            <w:pPr>
              <w:pStyle w:val="TableContents"/>
              <w:bidi w:val="0"/>
              <w:spacing w:before="0" w:after="283"/>
              <w:jc w:val="left"/>
              <w:rPr/>
            </w:pPr>
            <w:r>
              <w:rPr/>
              <w:t> </w:t>
            </w:r>
          </w:p>
        </w:tc>
        <w:tc>
          <w:tcPr>
            <w:tcW w:w="2011" w:type="dxa"/>
            <w:tcBorders/>
            <w:shd w:fill="FFFFFF" w:val="clear"/>
            <w:tcMar>
              <w:top w:w="0" w:type="dxa"/>
            </w:tcMar>
            <w:vAlign w:val="center"/>
          </w:tcPr>
          <w:p>
            <w:pPr>
              <w:pStyle w:val="TableContents"/>
              <w:bidi w:val="0"/>
              <w:spacing w:before="0" w:after="283"/>
              <w:jc w:val="left"/>
              <w:rPr/>
            </w:pPr>
            <w:r>
              <w:rPr/>
              <w:t>Purchase Option (amended November 2024)</w:t>
            </w:r>
          </w:p>
        </w:tc>
        <w:tc>
          <w:tcPr>
            <w:tcW w:w="60" w:type="dxa"/>
            <w:tcBorders/>
            <w:shd w:fill="FFFFFF" w:val="clear"/>
            <w:tcMar>
              <w:top w:w="0" w:type="dxa"/>
            </w:tcMar>
            <w:vAlign w:val="center"/>
          </w:tcPr>
          <w:p>
            <w:pPr>
              <w:pStyle w:val="TableContents"/>
              <w:bidi w:val="0"/>
              <w:spacing w:before="0" w:after="283"/>
              <w:jc w:val="left"/>
              <w:rPr/>
            </w:pPr>
            <w:r>
              <w:rPr/>
              <w:t> </w:t>
            </w:r>
          </w:p>
        </w:tc>
        <w:tc>
          <w:tcPr>
            <w:tcW w:w="297" w:type="dxa"/>
            <w:tcBorders/>
            <w:shd w:fill="FFFFFF" w:val="clear"/>
            <w:tcMar>
              <w:top w:w="0" w:type="dxa"/>
            </w:tcMar>
            <w:vAlign w:val="center"/>
          </w:tcPr>
          <w:p>
            <w:pPr>
              <w:pStyle w:val="TableContents"/>
              <w:bidi w:val="0"/>
              <w:spacing w:before="0" w:after="283"/>
              <w:jc w:val="center"/>
              <w:rPr/>
            </w:pPr>
            <w:r>
              <w:rPr/>
              <w:t>(ii)</w:t>
            </w:r>
          </w:p>
        </w:tc>
        <w:tc>
          <w:tcPr>
            <w:tcW w:w="60" w:type="dxa"/>
            <w:tcBorders/>
            <w:shd w:fill="FFFFFF" w:val="clear"/>
            <w:tcMar>
              <w:top w:w="0" w:type="dxa"/>
            </w:tcMar>
            <w:vAlign w:val="center"/>
          </w:tcPr>
          <w:p>
            <w:pPr>
              <w:pStyle w:val="TableContents"/>
              <w:bidi w:val="0"/>
              <w:spacing w:before="0" w:after="283"/>
              <w:jc w:val="left"/>
              <w:rPr/>
            </w:pPr>
            <w:r>
              <w:rPr/>
              <w:t> </w:t>
            </w:r>
          </w:p>
        </w:tc>
        <w:tc>
          <w:tcPr>
            <w:tcW w:w="69" w:type="dxa"/>
            <w:tcBorders/>
            <w:shd w:fill="FFFFFF" w:val="clear"/>
            <w:tcMar>
              <w:top w:w="0" w:type="dxa"/>
            </w:tcMar>
            <w:vAlign w:val="center"/>
          </w:tcPr>
          <w:p>
            <w:pPr>
              <w:pStyle w:val="TableContents"/>
              <w:bidi w:val="0"/>
              <w:spacing w:before="0" w:after="283"/>
              <w:jc w:val="left"/>
              <w:rPr/>
            </w:pPr>
            <w:r>
              <w:rPr/>
              <w:t> </w:t>
            </w:r>
          </w:p>
        </w:tc>
        <w:tc>
          <w:tcPr>
            <w:tcW w:w="791" w:type="dxa"/>
            <w:tcBorders/>
            <w:shd w:fill="FFFFFF" w:val="clear"/>
            <w:tcMar>
              <w:top w:w="0" w:type="dxa"/>
            </w:tcMar>
            <w:vAlign w:val="center"/>
          </w:tcPr>
          <w:p>
            <w:pPr>
              <w:pStyle w:val="TableContents"/>
              <w:bidi w:val="0"/>
              <w:spacing w:before="0" w:after="283"/>
              <w:jc w:val="right"/>
              <w:rPr/>
            </w:pPr>
            <w:r>
              <w:rPr/>
              <w:t>22,234</w:t>
            </w:r>
          </w:p>
        </w:tc>
        <w:tc>
          <w:tcPr>
            <w:tcW w:w="9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089" w:type="dxa"/>
            <w:tcBorders/>
            <w:shd w:fill="FFFFFF" w:val="clear"/>
            <w:tcMar>
              <w:top w:w="0" w:type="dxa"/>
            </w:tcMar>
            <w:vAlign w:val="center"/>
          </w:tcPr>
          <w:p>
            <w:pPr>
              <w:pStyle w:val="TableContents"/>
              <w:bidi w:val="0"/>
              <w:spacing w:before="0" w:after="283"/>
              <w:jc w:val="left"/>
              <w:rPr/>
            </w:pPr>
            <w:r>
              <w:rPr/>
              <w:t>Bitmain T21</w:t>
            </w:r>
          </w:p>
        </w:tc>
        <w:tc>
          <w:tcPr>
            <w:tcW w:w="60" w:type="dxa"/>
            <w:tcBorders/>
            <w:shd w:fill="FFFFFF" w:val="clear"/>
            <w:tcMar>
              <w:top w:w="0" w:type="dxa"/>
            </w:tcMar>
            <w:vAlign w:val="center"/>
          </w:tcPr>
          <w:p>
            <w:pPr>
              <w:pStyle w:val="TableContents"/>
              <w:bidi w:val="0"/>
              <w:spacing w:before="0" w:after="283"/>
              <w:jc w:val="left"/>
              <w:rPr/>
            </w:pPr>
            <w:r>
              <w:rPr/>
              <w:t> </w:t>
            </w:r>
          </w:p>
        </w:tc>
        <w:tc>
          <w:tcPr>
            <w:tcW w:w="103" w:type="dxa"/>
            <w:tcBorders/>
            <w:shd w:fill="FFFFFF" w:val="clear"/>
            <w:tcMar>
              <w:top w:w="0" w:type="dxa"/>
            </w:tcMar>
            <w:vAlign w:val="center"/>
          </w:tcPr>
          <w:p>
            <w:pPr>
              <w:pStyle w:val="TableContents"/>
              <w:bidi w:val="0"/>
              <w:spacing w:before="0" w:after="283"/>
              <w:jc w:val="left"/>
              <w:rPr/>
            </w:pPr>
            <w:r>
              <w:rPr/>
              <w:t> </w:t>
            </w:r>
          </w:p>
        </w:tc>
        <w:tc>
          <w:tcPr>
            <w:tcW w:w="1188" w:type="dxa"/>
            <w:tcBorders/>
            <w:shd w:fill="FFFFFF" w:val="clear"/>
            <w:tcMar>
              <w:top w:w="0" w:type="dxa"/>
            </w:tcMar>
            <w:vAlign w:val="center"/>
          </w:tcPr>
          <w:p>
            <w:pPr>
              <w:pStyle w:val="TableContents"/>
              <w:bidi w:val="0"/>
              <w:spacing w:before="0" w:after="283"/>
              <w:jc w:val="right"/>
              <w:rPr>
                <w:b/>
              </w:rPr>
            </w:pPr>
            <w:r>
              <w:rPr>
                <w:b/>
              </w:rPr>
              <w:t>20,701</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20" w:type="dxa"/>
            <w:tcBorders/>
            <w:shd w:fill="FFFFFF" w:val="clear"/>
            <w:tcMar>
              <w:top w:w="0" w:type="dxa"/>
            </w:tcMar>
            <w:vAlign w:val="center"/>
          </w:tcPr>
          <w:p>
            <w:pPr>
              <w:pStyle w:val="TableContents"/>
              <w:bidi w:val="0"/>
              <w:spacing w:before="0" w:after="283"/>
              <w:jc w:val="left"/>
              <w:rPr/>
            </w:pPr>
            <w:r>
              <w:rPr/>
              <w:t> </w:t>
            </w:r>
          </w:p>
        </w:tc>
        <w:tc>
          <w:tcPr>
            <w:tcW w:w="884" w:type="dxa"/>
            <w:tcBorders/>
            <w:shd w:fill="FFFFFF" w:val="clear"/>
            <w:tcMar>
              <w:top w:w="0" w:type="dxa"/>
            </w:tcMar>
            <w:vAlign w:val="center"/>
          </w:tcPr>
          <w:p>
            <w:pPr>
              <w:pStyle w:val="TableContents"/>
              <w:bidi w:val="0"/>
              <w:spacing w:before="0" w:after="283"/>
              <w:jc w:val="right"/>
              <w:rPr>
                <w:b/>
              </w:rPr>
            </w:pPr>
            <w:r>
              <w:rPr>
                <w:b/>
              </w:rPr>
              <w:t>3.9</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09" w:type="dxa"/>
            <w:tcBorders/>
            <w:shd w:fill="FFFFFF" w:val="clear"/>
            <w:tcMar>
              <w:top w:w="0" w:type="dxa"/>
            </w:tcMar>
            <w:vAlign w:val="center"/>
          </w:tcPr>
          <w:p>
            <w:pPr>
              <w:pStyle w:val="TableContents"/>
              <w:bidi w:val="0"/>
              <w:spacing w:before="0" w:after="283"/>
              <w:jc w:val="left"/>
              <w:rPr/>
            </w:pPr>
            <w:r>
              <w:rPr/>
              <w:t> </w:t>
            </w:r>
          </w:p>
        </w:tc>
        <w:tc>
          <w:tcPr>
            <w:tcW w:w="1257" w:type="dxa"/>
            <w:tcBorders/>
            <w:shd w:fill="FFFFFF" w:val="clear"/>
            <w:tcMar>
              <w:top w:w="0" w:type="dxa"/>
            </w:tcMar>
            <w:vAlign w:val="center"/>
          </w:tcPr>
          <w:p>
            <w:pPr>
              <w:pStyle w:val="TableContents"/>
              <w:bidi w:val="0"/>
              <w:spacing w:before="0" w:after="283"/>
              <w:jc w:val="right"/>
              <w:rPr>
                <w:b/>
              </w:rPr>
            </w:pPr>
            <w:r>
              <w:rPr>
                <w:b/>
              </w:rPr>
              <w:t>1,533</w:t>
            </w:r>
          </w:p>
        </w:tc>
        <w:tc>
          <w:tcPr>
            <w:tcW w:w="117" w:type="dxa"/>
            <w:tcBorders/>
            <w:shd w:fill="FFFFFF" w:val="clear"/>
            <w:tcMar>
              <w:top w:w="0" w:type="dxa"/>
            </w:tcMar>
            <w:vAlign w:val="center"/>
          </w:tcPr>
          <w:p>
            <w:pPr>
              <w:pStyle w:val="TableContents"/>
              <w:bidi w:val="0"/>
              <w:spacing w:before="0" w:after="283"/>
              <w:jc w:val="left"/>
              <w:rPr/>
            </w:pPr>
            <w:r>
              <w:rPr/>
              <w:t> </w:t>
            </w:r>
          </w:p>
        </w:tc>
      </w:tr>
      <w:tr>
        <w:trPr/>
        <w:tc>
          <w:tcPr>
            <w:tcW w:w="153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011"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97" w:type="dxa"/>
            <w:tcBorders/>
            <w:shd w:fill="CCEEFF" w:val="clear"/>
            <w:tcMar>
              <w:top w:w="0" w:type="dxa"/>
            </w:tcMar>
            <w:vAlign w:val="center"/>
          </w:tcPr>
          <w:p>
            <w:pPr>
              <w:pStyle w:val="TableContents"/>
              <w:bidi w:val="0"/>
              <w:spacing w:before="0" w:after="283"/>
              <w:jc w:val="center"/>
              <w:rPr/>
            </w:pPr>
            <w:r>
              <w:rPr/>
              <w:t>(iv)</w:t>
            </w:r>
          </w:p>
        </w:tc>
        <w:tc>
          <w:tcPr>
            <w:tcW w:w="60" w:type="dxa"/>
            <w:tcBorders/>
            <w:shd w:fill="CCEEFF" w:val="clear"/>
            <w:tcMar>
              <w:top w:w="0" w:type="dxa"/>
            </w:tcMar>
            <w:vAlign w:val="center"/>
          </w:tcPr>
          <w:p>
            <w:pPr>
              <w:pStyle w:val="TableContents"/>
              <w:bidi w:val="0"/>
              <w:spacing w:before="0" w:after="283"/>
              <w:jc w:val="left"/>
              <w:rPr/>
            </w:pPr>
            <w:r>
              <w:rPr/>
              <w:t> </w:t>
            </w:r>
          </w:p>
        </w:tc>
        <w:tc>
          <w:tcPr>
            <w:tcW w:w="69" w:type="dxa"/>
            <w:tcBorders/>
            <w:shd w:fill="CCEEFF" w:val="clear"/>
            <w:tcMar>
              <w:top w:w="0" w:type="dxa"/>
            </w:tcMar>
            <w:vAlign w:val="center"/>
          </w:tcPr>
          <w:p>
            <w:pPr>
              <w:pStyle w:val="TableContents"/>
              <w:bidi w:val="0"/>
              <w:spacing w:before="0" w:after="283"/>
              <w:jc w:val="left"/>
              <w:rPr/>
            </w:pPr>
            <w:r>
              <w:rPr/>
              <w:t> </w:t>
            </w:r>
          </w:p>
        </w:tc>
        <w:tc>
          <w:tcPr>
            <w:tcW w:w="791" w:type="dxa"/>
            <w:tcBorders/>
            <w:shd w:fill="CCEEFF" w:val="clear"/>
            <w:tcMar>
              <w:top w:w="0" w:type="dxa"/>
            </w:tcMar>
            <w:vAlign w:val="center"/>
          </w:tcPr>
          <w:p>
            <w:pPr>
              <w:pStyle w:val="TableContents"/>
              <w:bidi w:val="0"/>
              <w:spacing w:before="0" w:after="283"/>
              <w:jc w:val="right"/>
              <w:rPr/>
            </w:pPr>
            <w:r>
              <w:rPr/>
              <w:t>6,000</w:t>
            </w:r>
          </w:p>
        </w:tc>
        <w:tc>
          <w:tcPr>
            <w:tcW w:w="9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89" w:type="dxa"/>
            <w:tcBorders/>
            <w:shd w:fill="CCEEFF" w:val="clear"/>
            <w:tcMar>
              <w:top w:w="0" w:type="dxa"/>
            </w:tcMar>
            <w:vAlign w:val="center"/>
          </w:tcPr>
          <w:p>
            <w:pPr>
              <w:pStyle w:val="TableContents"/>
              <w:bidi w:val="0"/>
              <w:spacing w:before="0" w:after="283"/>
              <w:jc w:val="left"/>
              <w:rPr/>
            </w:pPr>
            <w:r>
              <w:rPr/>
              <w:t>Bitmain S21 Pro</w:t>
            </w:r>
          </w:p>
        </w:tc>
        <w:tc>
          <w:tcPr>
            <w:tcW w:w="60" w:type="dxa"/>
            <w:tcBorders/>
            <w:shd w:fill="CCEEFF" w:val="clear"/>
            <w:tcMar>
              <w:top w:w="0" w:type="dxa"/>
            </w:tcMar>
            <w:vAlign w:val="center"/>
          </w:tcPr>
          <w:p>
            <w:pPr>
              <w:pStyle w:val="TableContents"/>
              <w:bidi w:val="0"/>
              <w:spacing w:before="0" w:after="283"/>
              <w:jc w:val="left"/>
              <w:rPr/>
            </w:pPr>
            <w:r>
              <w:rPr/>
              <w:t> </w:t>
            </w:r>
          </w:p>
        </w:tc>
        <w:tc>
          <w:tcPr>
            <w:tcW w:w="103" w:type="dxa"/>
            <w:tcBorders/>
            <w:shd w:fill="CCEEFF" w:val="clear"/>
            <w:tcMar>
              <w:top w:w="0" w:type="dxa"/>
            </w:tcMar>
            <w:vAlign w:val="center"/>
          </w:tcPr>
          <w:p>
            <w:pPr>
              <w:pStyle w:val="TableContents"/>
              <w:bidi w:val="0"/>
              <w:spacing w:before="0" w:after="283"/>
              <w:jc w:val="left"/>
              <w:rPr/>
            </w:pPr>
            <w:r>
              <w:rPr/>
              <w:t> </w:t>
            </w:r>
          </w:p>
        </w:tc>
        <w:tc>
          <w:tcPr>
            <w:tcW w:w="1188" w:type="dxa"/>
            <w:tcBorders/>
            <w:shd w:fill="CCEEFF" w:val="clear"/>
            <w:tcMar>
              <w:top w:w="0" w:type="dxa"/>
            </w:tcMar>
            <w:vAlign w:val="center"/>
          </w:tcPr>
          <w:p>
            <w:pPr>
              <w:pStyle w:val="TableContents"/>
              <w:bidi w:val="0"/>
              <w:spacing w:before="0" w:after="283"/>
              <w:jc w:val="right"/>
              <w:rPr>
                <w:b/>
              </w:rPr>
            </w:pPr>
            <w:r>
              <w:rPr>
                <w:b/>
              </w:rPr>
              <w:t>6,000</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20" w:type="dxa"/>
            <w:tcBorders/>
            <w:shd w:fill="CCEEFF" w:val="clear"/>
            <w:tcMar>
              <w:top w:w="0" w:type="dxa"/>
            </w:tcMar>
            <w:vAlign w:val="center"/>
          </w:tcPr>
          <w:p>
            <w:pPr>
              <w:pStyle w:val="TableContents"/>
              <w:bidi w:val="0"/>
              <w:spacing w:before="0" w:after="283"/>
              <w:jc w:val="left"/>
              <w:rPr/>
            </w:pPr>
            <w:r>
              <w:rPr/>
              <w:t> </w:t>
            </w:r>
          </w:p>
        </w:tc>
        <w:tc>
          <w:tcPr>
            <w:tcW w:w="884" w:type="dxa"/>
            <w:tcBorders/>
            <w:shd w:fill="CCEEFF" w:val="clear"/>
            <w:tcMar>
              <w:top w:w="0" w:type="dxa"/>
            </w:tcMar>
            <w:vAlign w:val="center"/>
          </w:tcPr>
          <w:p>
            <w:pPr>
              <w:pStyle w:val="TableContents"/>
              <w:bidi w:val="0"/>
              <w:spacing w:before="0" w:after="283"/>
              <w:jc w:val="right"/>
              <w:rPr>
                <w:b/>
              </w:rPr>
            </w:pPr>
            <w:r>
              <w:rPr>
                <w:b/>
              </w:rPr>
              <w:t>1.4</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9" w:type="dxa"/>
            <w:tcBorders/>
            <w:shd w:fill="CCEEFF" w:val="clear"/>
            <w:tcMar>
              <w:top w:w="0" w:type="dxa"/>
            </w:tcMar>
            <w:vAlign w:val="center"/>
          </w:tcPr>
          <w:p>
            <w:pPr>
              <w:pStyle w:val="TableContents"/>
              <w:bidi w:val="0"/>
              <w:spacing w:before="0" w:after="283"/>
              <w:jc w:val="left"/>
              <w:rPr/>
            </w:pPr>
            <w:r>
              <w:rPr/>
              <w:t> </w:t>
            </w:r>
          </w:p>
        </w:tc>
        <w:tc>
          <w:tcPr>
            <w:tcW w:w="1257" w:type="dxa"/>
            <w:tcBorders/>
            <w:shd w:fill="CCEEFF" w:val="clear"/>
            <w:tcMar>
              <w:top w:w="0" w:type="dxa"/>
            </w:tcMar>
            <w:vAlign w:val="center"/>
          </w:tcPr>
          <w:p>
            <w:pPr>
              <w:pStyle w:val="TableContents"/>
              <w:bidi w:val="0"/>
              <w:spacing w:before="0" w:after="283"/>
              <w:jc w:val="right"/>
              <w:rPr/>
            </w:pPr>
            <w:r>
              <w:rPr/>
              <w:t>—</w:t>
            </w:r>
          </w:p>
        </w:tc>
        <w:tc>
          <w:tcPr>
            <w:tcW w:w="117" w:type="dxa"/>
            <w:tcBorders/>
            <w:shd w:fill="CCEEFF" w:val="clear"/>
            <w:tcMar>
              <w:top w:w="0" w:type="dxa"/>
            </w:tcMar>
            <w:vAlign w:val="center"/>
          </w:tcPr>
          <w:p>
            <w:pPr>
              <w:pStyle w:val="TableContents"/>
              <w:bidi w:val="0"/>
              <w:spacing w:before="0" w:after="283"/>
              <w:jc w:val="left"/>
              <w:rPr/>
            </w:pPr>
            <w:r>
              <w:rPr/>
              <w:t> </w:t>
            </w:r>
          </w:p>
        </w:tc>
      </w:tr>
      <w:tr>
        <w:trPr/>
        <w:tc>
          <w:tcPr>
            <w:tcW w:w="1535"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11"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97"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right"/>
              <w:rPr/>
            </w:pPr>
            <w:r>
              <w:rPr/>
              <w:t>28,234</w:t>
            </w:r>
          </w:p>
        </w:tc>
        <w:tc>
          <w:tcPr>
            <w:tcW w:w="95"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right"/>
              <w:rPr>
                <w:b/>
              </w:rPr>
            </w:pPr>
            <w:r>
              <w:rPr>
                <w:b/>
              </w:rPr>
              <w:t>26,701</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right"/>
              <w:rPr>
                <w:b/>
              </w:rPr>
            </w:pPr>
            <w:r>
              <w:rPr>
                <w:b/>
              </w:rPr>
              <w:t>5.3</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right"/>
              <w:rPr>
                <w:b/>
              </w:rPr>
            </w:pPr>
            <w:r>
              <w:rPr>
                <w:b/>
              </w:rPr>
              <w:t>1,533</w:t>
            </w:r>
          </w:p>
        </w:tc>
        <w:tc>
          <w:tcPr>
            <w:tcW w:w="117"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1535" w:type="dxa"/>
            <w:tcBorders/>
            <w:shd w:fill="CCEEFF" w:val="clear"/>
            <w:tcMar>
              <w:top w:w="0" w:type="dxa"/>
            </w:tcMar>
            <w:vAlign w:val="center"/>
          </w:tcPr>
          <w:p>
            <w:pPr>
              <w:pStyle w:val="TableContents"/>
              <w:bidi w:val="0"/>
              <w:spacing w:before="0" w:after="283"/>
              <w:jc w:val="left"/>
              <w:rPr/>
            </w:pPr>
            <w:r>
              <w:rPr/>
              <w:t>Q1 2024 (amended Q4 2024)</w:t>
            </w:r>
          </w:p>
        </w:tc>
        <w:tc>
          <w:tcPr>
            <w:tcW w:w="60" w:type="dxa"/>
            <w:tcBorders/>
            <w:shd w:fill="CCEEFF" w:val="clear"/>
            <w:tcMar>
              <w:top w:w="0" w:type="dxa"/>
            </w:tcMar>
            <w:vAlign w:val="center"/>
          </w:tcPr>
          <w:p>
            <w:pPr>
              <w:pStyle w:val="TableContents"/>
              <w:bidi w:val="0"/>
              <w:spacing w:before="0" w:after="283"/>
              <w:jc w:val="left"/>
              <w:rPr/>
            </w:pPr>
            <w:r>
              <w:rPr/>
              <w:t> </w:t>
            </w:r>
          </w:p>
        </w:tc>
        <w:tc>
          <w:tcPr>
            <w:tcW w:w="2011" w:type="dxa"/>
            <w:tcBorders/>
            <w:shd w:fill="CCEEFF" w:val="clear"/>
            <w:tcMar>
              <w:top w:w="0" w:type="dxa"/>
            </w:tcMar>
            <w:vAlign w:val="center"/>
          </w:tcPr>
          <w:p>
            <w:pPr>
              <w:pStyle w:val="TableContents"/>
              <w:bidi w:val="0"/>
              <w:spacing w:before="0" w:after="283"/>
              <w:jc w:val="left"/>
              <w:rPr/>
            </w:pPr>
            <w:r>
              <w:rPr/>
              <w:t>March 2024</w:t>
            </w:r>
          </w:p>
        </w:tc>
        <w:tc>
          <w:tcPr>
            <w:tcW w:w="60" w:type="dxa"/>
            <w:tcBorders/>
            <w:shd w:fill="CCEEFF" w:val="clear"/>
            <w:tcMar>
              <w:top w:w="0" w:type="dxa"/>
            </w:tcMar>
            <w:vAlign w:val="center"/>
          </w:tcPr>
          <w:p>
            <w:pPr>
              <w:pStyle w:val="TableContents"/>
              <w:bidi w:val="0"/>
              <w:spacing w:before="0" w:after="283"/>
              <w:jc w:val="left"/>
              <w:rPr/>
            </w:pPr>
            <w:r>
              <w:rPr/>
              <w:t> </w:t>
            </w:r>
          </w:p>
        </w:tc>
        <w:tc>
          <w:tcPr>
            <w:tcW w:w="297" w:type="dxa"/>
            <w:tcBorders/>
            <w:shd w:fill="CCEEFF" w:val="clear"/>
            <w:tcMar>
              <w:top w:w="0" w:type="dxa"/>
            </w:tcMar>
            <w:vAlign w:val="center"/>
          </w:tcPr>
          <w:p>
            <w:pPr>
              <w:pStyle w:val="TableContents"/>
              <w:bidi w:val="0"/>
              <w:spacing w:before="0" w:after="283"/>
              <w:jc w:val="center"/>
              <w:rPr/>
            </w:pPr>
            <w:r>
              <w:rPr/>
              <w:t>(iii)</w:t>
            </w:r>
          </w:p>
        </w:tc>
        <w:tc>
          <w:tcPr>
            <w:tcW w:w="60" w:type="dxa"/>
            <w:tcBorders/>
            <w:shd w:fill="CCEEFF" w:val="clear"/>
            <w:tcMar>
              <w:top w:w="0" w:type="dxa"/>
            </w:tcMar>
            <w:vAlign w:val="center"/>
          </w:tcPr>
          <w:p>
            <w:pPr>
              <w:pStyle w:val="TableContents"/>
              <w:bidi w:val="0"/>
              <w:spacing w:before="0" w:after="283"/>
              <w:jc w:val="left"/>
              <w:rPr/>
            </w:pPr>
            <w:r>
              <w:rPr/>
              <w:t> </w:t>
            </w:r>
          </w:p>
        </w:tc>
        <w:tc>
          <w:tcPr>
            <w:tcW w:w="69" w:type="dxa"/>
            <w:tcBorders/>
            <w:shd w:fill="CCEEFF" w:val="clear"/>
            <w:tcMar>
              <w:top w:w="0" w:type="dxa"/>
            </w:tcMar>
            <w:vAlign w:val="center"/>
          </w:tcPr>
          <w:p>
            <w:pPr>
              <w:pStyle w:val="TableContents"/>
              <w:bidi w:val="0"/>
              <w:spacing w:before="0" w:after="283"/>
              <w:jc w:val="left"/>
              <w:rPr/>
            </w:pPr>
            <w:r>
              <w:rPr/>
              <w:t> </w:t>
            </w:r>
          </w:p>
        </w:tc>
        <w:tc>
          <w:tcPr>
            <w:tcW w:w="791" w:type="dxa"/>
            <w:tcBorders/>
            <w:shd w:fill="CCEEFF" w:val="clear"/>
            <w:tcMar>
              <w:top w:w="0" w:type="dxa"/>
            </w:tcMar>
            <w:vAlign w:val="center"/>
          </w:tcPr>
          <w:p>
            <w:pPr>
              <w:pStyle w:val="TableContents"/>
              <w:bidi w:val="0"/>
              <w:spacing w:before="0" w:after="283"/>
              <w:jc w:val="right"/>
              <w:rPr/>
            </w:pPr>
            <w:r>
              <w:rPr/>
              <w:t>6,475</w:t>
            </w:r>
          </w:p>
        </w:tc>
        <w:tc>
          <w:tcPr>
            <w:tcW w:w="9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89" w:type="dxa"/>
            <w:tcBorders/>
            <w:shd w:fill="CCEEFF" w:val="clear"/>
            <w:tcMar>
              <w:top w:w="0" w:type="dxa"/>
            </w:tcMar>
            <w:vAlign w:val="center"/>
          </w:tcPr>
          <w:p>
            <w:pPr>
              <w:pStyle w:val="TableContents"/>
              <w:bidi w:val="0"/>
              <w:spacing w:before="0" w:after="283"/>
              <w:jc w:val="left"/>
              <w:rPr/>
            </w:pPr>
            <w:r>
              <w:rPr/>
              <w:t>Bitmain T21</w:t>
            </w:r>
          </w:p>
        </w:tc>
        <w:tc>
          <w:tcPr>
            <w:tcW w:w="60" w:type="dxa"/>
            <w:tcBorders/>
            <w:shd w:fill="CCEEFF" w:val="clear"/>
            <w:tcMar>
              <w:top w:w="0" w:type="dxa"/>
            </w:tcMar>
            <w:vAlign w:val="center"/>
          </w:tcPr>
          <w:p>
            <w:pPr>
              <w:pStyle w:val="TableContents"/>
              <w:bidi w:val="0"/>
              <w:spacing w:before="0" w:after="283"/>
              <w:jc w:val="left"/>
              <w:rPr/>
            </w:pPr>
            <w:r>
              <w:rPr/>
              <w:t> </w:t>
            </w:r>
          </w:p>
        </w:tc>
        <w:tc>
          <w:tcPr>
            <w:tcW w:w="103" w:type="dxa"/>
            <w:tcBorders/>
            <w:shd w:fill="CCEEFF" w:val="clear"/>
            <w:tcMar>
              <w:top w:w="0" w:type="dxa"/>
            </w:tcMar>
            <w:vAlign w:val="center"/>
          </w:tcPr>
          <w:p>
            <w:pPr>
              <w:pStyle w:val="TableContents"/>
              <w:bidi w:val="0"/>
              <w:spacing w:before="0" w:after="283"/>
              <w:jc w:val="left"/>
              <w:rPr/>
            </w:pPr>
            <w:r>
              <w:rPr/>
              <w:t> </w:t>
            </w:r>
          </w:p>
        </w:tc>
        <w:tc>
          <w:tcPr>
            <w:tcW w:w="1188" w:type="dxa"/>
            <w:tcBorders/>
            <w:shd w:fill="CCEEFF" w:val="clear"/>
            <w:tcMar>
              <w:top w:w="0" w:type="dxa"/>
            </w:tcMar>
            <w:vAlign w:val="center"/>
          </w:tcPr>
          <w:p>
            <w:pPr>
              <w:pStyle w:val="TableContents"/>
              <w:bidi w:val="0"/>
              <w:spacing w:before="0" w:after="283"/>
              <w:jc w:val="right"/>
              <w:rPr/>
            </w:pPr>
            <w:r>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20" w:type="dxa"/>
            <w:tcBorders/>
            <w:shd w:fill="CCEEFF" w:val="clear"/>
            <w:tcMar>
              <w:top w:w="0" w:type="dxa"/>
            </w:tcMar>
            <w:vAlign w:val="center"/>
          </w:tcPr>
          <w:p>
            <w:pPr>
              <w:pStyle w:val="TableContents"/>
              <w:bidi w:val="0"/>
              <w:spacing w:before="0" w:after="283"/>
              <w:jc w:val="left"/>
              <w:rPr/>
            </w:pPr>
            <w:r>
              <w:rPr/>
              <w:t> </w:t>
            </w:r>
          </w:p>
        </w:tc>
        <w:tc>
          <w:tcPr>
            <w:tcW w:w="884" w:type="dxa"/>
            <w:tcBorders/>
            <w:shd w:fill="CCEEFF" w:val="clear"/>
            <w:tcMar>
              <w:top w:w="0" w:type="dxa"/>
            </w:tcMar>
            <w:vAlign w:val="center"/>
          </w:tcPr>
          <w:p>
            <w:pPr>
              <w:pStyle w:val="TableContents"/>
              <w:bidi w:val="0"/>
              <w:spacing w:before="0" w:after="283"/>
              <w:jc w:val="right"/>
              <w:rPr/>
            </w:pPr>
            <w:r>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9" w:type="dxa"/>
            <w:tcBorders/>
            <w:shd w:fill="CCEEFF" w:val="clear"/>
            <w:tcMar>
              <w:top w:w="0" w:type="dxa"/>
            </w:tcMar>
            <w:vAlign w:val="center"/>
          </w:tcPr>
          <w:p>
            <w:pPr>
              <w:pStyle w:val="TableContents"/>
              <w:bidi w:val="0"/>
              <w:spacing w:before="0" w:after="283"/>
              <w:jc w:val="left"/>
              <w:rPr/>
            </w:pPr>
            <w:r>
              <w:rPr/>
              <w:t> </w:t>
            </w:r>
          </w:p>
        </w:tc>
        <w:tc>
          <w:tcPr>
            <w:tcW w:w="1257" w:type="dxa"/>
            <w:tcBorders/>
            <w:shd w:fill="CCEEFF" w:val="clear"/>
            <w:tcMar>
              <w:top w:w="0" w:type="dxa"/>
            </w:tcMar>
            <w:vAlign w:val="center"/>
          </w:tcPr>
          <w:p>
            <w:pPr>
              <w:pStyle w:val="TableContents"/>
              <w:bidi w:val="0"/>
              <w:spacing w:before="0" w:after="283"/>
              <w:jc w:val="right"/>
              <w:rPr>
                <w:b/>
              </w:rPr>
            </w:pPr>
            <w:r>
              <w:rPr>
                <w:b/>
              </w:rPr>
              <w:t>6,475</w:t>
            </w:r>
          </w:p>
        </w:tc>
        <w:tc>
          <w:tcPr>
            <w:tcW w:w="117" w:type="dxa"/>
            <w:tcBorders/>
            <w:shd w:fill="CCEEFF" w:val="clear"/>
            <w:tcMar>
              <w:top w:w="0" w:type="dxa"/>
            </w:tcMar>
            <w:vAlign w:val="center"/>
          </w:tcPr>
          <w:p>
            <w:pPr>
              <w:pStyle w:val="TableContents"/>
              <w:bidi w:val="0"/>
              <w:spacing w:before="0" w:after="283"/>
              <w:jc w:val="left"/>
              <w:rPr/>
            </w:pPr>
            <w:r>
              <w:rPr/>
              <w:t> </w:t>
            </w:r>
          </w:p>
        </w:tc>
      </w:tr>
      <w:tr>
        <w:trPr/>
        <w:tc>
          <w:tcPr>
            <w:tcW w:w="153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011" w:type="dxa"/>
            <w:tcBorders/>
            <w:shd w:fill="FFFFFF" w:val="clear"/>
            <w:tcMar>
              <w:top w:w="0" w:type="dxa"/>
            </w:tcMar>
            <w:vAlign w:val="center"/>
          </w:tcPr>
          <w:p>
            <w:pPr>
              <w:pStyle w:val="TableContents"/>
              <w:bidi w:val="0"/>
              <w:spacing w:before="0" w:after="283"/>
              <w:jc w:val="left"/>
              <w:rPr/>
            </w:pPr>
            <w:r>
              <w:rPr/>
              <w:t>Purchase Order</w:t>
            </w:r>
          </w:p>
        </w:tc>
        <w:tc>
          <w:tcPr>
            <w:tcW w:w="60" w:type="dxa"/>
            <w:tcBorders/>
            <w:shd w:fill="FFFFFF" w:val="clear"/>
            <w:tcMar>
              <w:top w:w="0" w:type="dxa"/>
            </w:tcMar>
            <w:vAlign w:val="center"/>
          </w:tcPr>
          <w:p>
            <w:pPr>
              <w:pStyle w:val="TableContents"/>
              <w:bidi w:val="0"/>
              <w:spacing w:before="0" w:after="283"/>
              <w:jc w:val="left"/>
              <w:rPr/>
            </w:pPr>
            <w:r>
              <w:rPr/>
              <w:t> </w:t>
            </w:r>
          </w:p>
        </w:tc>
        <w:tc>
          <w:tcPr>
            <w:tcW w:w="297" w:type="dxa"/>
            <w:tcBorders/>
            <w:shd w:fill="FFFFFF" w:val="clear"/>
            <w:tcMar>
              <w:top w:w="0" w:type="dxa"/>
            </w:tcMar>
            <w:vAlign w:val="center"/>
          </w:tcPr>
          <w:p>
            <w:pPr>
              <w:pStyle w:val="TableContents"/>
              <w:bidi w:val="0"/>
              <w:spacing w:before="0" w:after="283"/>
              <w:jc w:val="center"/>
              <w:rPr/>
            </w:pPr>
            <w:r>
              <w:rPr/>
              <w:t>(iv)</w:t>
            </w:r>
          </w:p>
        </w:tc>
        <w:tc>
          <w:tcPr>
            <w:tcW w:w="60" w:type="dxa"/>
            <w:tcBorders/>
            <w:shd w:fill="FFFFFF" w:val="clear"/>
            <w:tcMar>
              <w:top w:w="0" w:type="dxa"/>
            </w:tcMar>
            <w:vAlign w:val="center"/>
          </w:tcPr>
          <w:p>
            <w:pPr>
              <w:pStyle w:val="TableContents"/>
              <w:bidi w:val="0"/>
              <w:spacing w:before="0" w:after="283"/>
              <w:jc w:val="left"/>
              <w:rPr/>
            </w:pPr>
            <w:r>
              <w:rPr/>
              <w:t> </w:t>
            </w:r>
          </w:p>
        </w:tc>
        <w:tc>
          <w:tcPr>
            <w:tcW w:w="69" w:type="dxa"/>
            <w:tcBorders/>
            <w:shd w:fill="FFFFFF" w:val="clear"/>
            <w:tcMar>
              <w:top w:w="0" w:type="dxa"/>
            </w:tcMar>
            <w:vAlign w:val="center"/>
          </w:tcPr>
          <w:p>
            <w:pPr>
              <w:pStyle w:val="TableContents"/>
              <w:bidi w:val="0"/>
              <w:spacing w:before="0" w:after="283"/>
              <w:jc w:val="left"/>
              <w:rPr/>
            </w:pPr>
            <w:r>
              <w:rPr/>
              <w:t> </w:t>
            </w:r>
          </w:p>
        </w:tc>
        <w:tc>
          <w:tcPr>
            <w:tcW w:w="791" w:type="dxa"/>
            <w:tcBorders/>
            <w:shd w:fill="FFFFFF" w:val="clear"/>
            <w:tcMar>
              <w:top w:w="0" w:type="dxa"/>
            </w:tcMar>
            <w:vAlign w:val="center"/>
          </w:tcPr>
          <w:p>
            <w:pPr>
              <w:pStyle w:val="TableContents"/>
              <w:bidi w:val="0"/>
              <w:spacing w:before="0" w:after="283"/>
              <w:jc w:val="right"/>
              <w:rPr/>
            </w:pPr>
            <w:r>
              <w:rPr/>
              <w:t>12,805</w:t>
            </w:r>
          </w:p>
        </w:tc>
        <w:tc>
          <w:tcPr>
            <w:tcW w:w="9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089" w:type="dxa"/>
            <w:tcBorders/>
            <w:shd w:fill="FFFFFF" w:val="clear"/>
            <w:tcMar>
              <w:top w:w="0" w:type="dxa"/>
            </w:tcMar>
            <w:vAlign w:val="center"/>
          </w:tcPr>
          <w:p>
            <w:pPr>
              <w:pStyle w:val="TableContents"/>
              <w:bidi w:val="0"/>
              <w:spacing w:before="0" w:after="283"/>
              <w:jc w:val="left"/>
              <w:rPr/>
            </w:pPr>
            <w:r>
              <w:rPr/>
              <w:t>Bitmain S21 Pro</w:t>
            </w:r>
          </w:p>
        </w:tc>
        <w:tc>
          <w:tcPr>
            <w:tcW w:w="60" w:type="dxa"/>
            <w:tcBorders/>
            <w:shd w:fill="FFFFFF" w:val="clear"/>
            <w:tcMar>
              <w:top w:w="0" w:type="dxa"/>
            </w:tcMar>
            <w:vAlign w:val="center"/>
          </w:tcPr>
          <w:p>
            <w:pPr>
              <w:pStyle w:val="TableContents"/>
              <w:bidi w:val="0"/>
              <w:spacing w:before="0" w:after="283"/>
              <w:jc w:val="left"/>
              <w:rPr/>
            </w:pPr>
            <w:r>
              <w:rPr/>
              <w:t> </w:t>
            </w:r>
          </w:p>
        </w:tc>
        <w:tc>
          <w:tcPr>
            <w:tcW w:w="103" w:type="dxa"/>
            <w:tcBorders/>
            <w:shd w:fill="FFFFFF" w:val="clear"/>
            <w:tcMar>
              <w:top w:w="0" w:type="dxa"/>
            </w:tcMar>
            <w:vAlign w:val="center"/>
          </w:tcPr>
          <w:p>
            <w:pPr>
              <w:pStyle w:val="TableContents"/>
              <w:bidi w:val="0"/>
              <w:spacing w:before="0" w:after="283"/>
              <w:jc w:val="left"/>
              <w:rPr/>
            </w:pPr>
            <w:r>
              <w:rPr/>
              <w:t> </w:t>
            </w:r>
          </w:p>
        </w:tc>
        <w:tc>
          <w:tcPr>
            <w:tcW w:w="1188" w:type="dxa"/>
            <w:tcBorders/>
            <w:shd w:fill="FFFFFF" w:val="clear"/>
            <w:tcMar>
              <w:top w:w="0" w:type="dxa"/>
            </w:tcMar>
            <w:vAlign w:val="center"/>
          </w:tcPr>
          <w:p>
            <w:pPr>
              <w:pStyle w:val="TableContents"/>
              <w:bidi w:val="0"/>
              <w:spacing w:before="0" w:after="283"/>
              <w:jc w:val="right"/>
              <w:rPr>
                <w:b/>
              </w:rPr>
            </w:pPr>
            <w:r>
              <w:rPr>
                <w:b/>
              </w:rPr>
              <w:t>6,538</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20" w:type="dxa"/>
            <w:tcBorders/>
            <w:shd w:fill="FFFFFF" w:val="clear"/>
            <w:tcMar>
              <w:top w:w="0" w:type="dxa"/>
            </w:tcMar>
            <w:vAlign w:val="center"/>
          </w:tcPr>
          <w:p>
            <w:pPr>
              <w:pStyle w:val="TableContents"/>
              <w:bidi w:val="0"/>
              <w:spacing w:before="0" w:after="283"/>
              <w:jc w:val="left"/>
              <w:rPr/>
            </w:pPr>
            <w:r>
              <w:rPr/>
              <w:t> </w:t>
            </w:r>
          </w:p>
        </w:tc>
        <w:tc>
          <w:tcPr>
            <w:tcW w:w="884" w:type="dxa"/>
            <w:tcBorders/>
            <w:shd w:fill="FFFFFF" w:val="clear"/>
            <w:tcMar>
              <w:top w:w="0" w:type="dxa"/>
            </w:tcMar>
            <w:vAlign w:val="center"/>
          </w:tcPr>
          <w:p>
            <w:pPr>
              <w:pStyle w:val="TableContents"/>
              <w:bidi w:val="0"/>
              <w:spacing w:before="0" w:after="283"/>
              <w:jc w:val="right"/>
              <w:rPr>
                <w:b/>
              </w:rPr>
            </w:pPr>
            <w:r>
              <w:rPr>
                <w:b/>
              </w:rPr>
              <w:t>1.5</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09" w:type="dxa"/>
            <w:tcBorders/>
            <w:shd w:fill="FFFFFF" w:val="clear"/>
            <w:tcMar>
              <w:top w:w="0" w:type="dxa"/>
            </w:tcMar>
            <w:vAlign w:val="center"/>
          </w:tcPr>
          <w:p>
            <w:pPr>
              <w:pStyle w:val="TableContents"/>
              <w:bidi w:val="0"/>
              <w:spacing w:before="0" w:after="283"/>
              <w:jc w:val="left"/>
              <w:rPr/>
            </w:pPr>
            <w:r>
              <w:rPr/>
              <w:t> </w:t>
            </w:r>
          </w:p>
        </w:tc>
        <w:tc>
          <w:tcPr>
            <w:tcW w:w="1257" w:type="dxa"/>
            <w:tcBorders/>
            <w:shd w:fill="FFFFFF" w:val="clear"/>
            <w:tcMar>
              <w:top w:w="0" w:type="dxa"/>
            </w:tcMar>
            <w:vAlign w:val="center"/>
          </w:tcPr>
          <w:p>
            <w:pPr>
              <w:pStyle w:val="TableContents"/>
              <w:bidi w:val="0"/>
              <w:spacing w:before="0" w:after="283"/>
              <w:jc w:val="right"/>
              <w:rPr>
                <w:b/>
              </w:rPr>
            </w:pPr>
            <w:r>
              <w:rPr>
                <w:b/>
              </w:rPr>
              <w:t>6,267</w:t>
            </w:r>
          </w:p>
        </w:tc>
        <w:tc>
          <w:tcPr>
            <w:tcW w:w="117" w:type="dxa"/>
            <w:tcBorders/>
            <w:shd w:fill="FFFFFF" w:val="clear"/>
            <w:tcMar>
              <w:top w:w="0" w:type="dxa"/>
            </w:tcMar>
            <w:vAlign w:val="center"/>
          </w:tcPr>
          <w:p>
            <w:pPr>
              <w:pStyle w:val="TableContents"/>
              <w:bidi w:val="0"/>
              <w:spacing w:before="0" w:after="283"/>
              <w:jc w:val="left"/>
              <w:rPr/>
            </w:pPr>
            <w:r>
              <w:rPr/>
              <w:t> </w:t>
            </w:r>
          </w:p>
        </w:tc>
      </w:tr>
      <w:tr>
        <w:trPr/>
        <w:tc>
          <w:tcPr>
            <w:tcW w:w="153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011" w:type="dxa"/>
            <w:tcBorders/>
            <w:shd w:fill="CCEEFF" w:val="clear"/>
            <w:tcMar>
              <w:top w:w="0" w:type="dxa"/>
            </w:tcMar>
            <w:vAlign w:val="center"/>
          </w:tcPr>
          <w:p>
            <w:pPr>
              <w:pStyle w:val="TableContents"/>
              <w:bidi w:val="0"/>
              <w:spacing w:before="0" w:after="283"/>
              <w:jc w:val="left"/>
              <w:rPr/>
            </w:pPr>
            <w:r>
              <w:rPr/>
              <w:t>(amended November 2024)</w:t>
            </w:r>
          </w:p>
        </w:tc>
        <w:tc>
          <w:tcPr>
            <w:tcW w:w="60" w:type="dxa"/>
            <w:tcBorders/>
            <w:shd w:fill="CCEEFF" w:val="clear"/>
            <w:tcMar>
              <w:top w:w="0" w:type="dxa"/>
            </w:tcMar>
            <w:vAlign w:val="center"/>
          </w:tcPr>
          <w:p>
            <w:pPr>
              <w:pStyle w:val="TableContents"/>
              <w:bidi w:val="0"/>
              <w:spacing w:before="0" w:after="283"/>
              <w:jc w:val="left"/>
              <w:rPr/>
            </w:pPr>
            <w:r>
              <w:rPr/>
              <w:t> </w:t>
            </w:r>
          </w:p>
        </w:tc>
        <w:tc>
          <w:tcPr>
            <w:tcW w:w="297" w:type="dxa"/>
            <w:tcBorders/>
            <w:shd w:fill="CCEEFF" w:val="clear"/>
            <w:tcMar>
              <w:top w:w="0" w:type="dxa"/>
            </w:tcMar>
            <w:vAlign w:val="center"/>
          </w:tcPr>
          <w:p>
            <w:pPr>
              <w:pStyle w:val="TableContents"/>
              <w:bidi w:val="0"/>
              <w:spacing w:before="0" w:after="283"/>
              <w:jc w:val="center"/>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9" w:type="dxa"/>
            <w:tcBorders/>
            <w:shd w:fill="CCEEFF" w:val="clear"/>
            <w:tcMar>
              <w:top w:w="0" w:type="dxa"/>
            </w:tcMar>
            <w:vAlign w:val="center"/>
          </w:tcPr>
          <w:p>
            <w:pPr>
              <w:pStyle w:val="TableContents"/>
              <w:bidi w:val="0"/>
              <w:spacing w:before="0" w:after="283"/>
              <w:jc w:val="left"/>
              <w:rPr/>
            </w:pPr>
            <w:r>
              <w:rPr/>
              <w:t> </w:t>
            </w:r>
          </w:p>
        </w:tc>
        <w:tc>
          <w:tcPr>
            <w:tcW w:w="791" w:type="dxa"/>
            <w:tcBorders/>
            <w:shd w:fill="CCEEFF" w:val="clear"/>
            <w:tcMar>
              <w:top w:w="0" w:type="dxa"/>
            </w:tcMar>
            <w:vAlign w:val="center"/>
          </w:tcPr>
          <w:p>
            <w:pPr>
              <w:pStyle w:val="TableContents"/>
              <w:bidi w:val="0"/>
              <w:spacing w:before="0" w:after="283"/>
              <w:jc w:val="right"/>
              <w:rPr/>
            </w:pPr>
            <w:r>
              <w:rPr/>
              <w:t>3,975</w:t>
            </w:r>
          </w:p>
        </w:tc>
        <w:tc>
          <w:tcPr>
            <w:tcW w:w="9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89" w:type="dxa"/>
            <w:tcBorders/>
            <w:shd w:fill="CCEEFF" w:val="clear"/>
            <w:tcMar>
              <w:top w:w="0" w:type="dxa"/>
            </w:tcMar>
            <w:vAlign w:val="center"/>
          </w:tcPr>
          <w:p>
            <w:pPr>
              <w:pStyle w:val="TableContents"/>
              <w:bidi w:val="0"/>
              <w:spacing w:before="0" w:after="283"/>
              <w:jc w:val="left"/>
              <w:rPr/>
            </w:pPr>
            <w:r>
              <w:rPr/>
              <w:t>Bitmain S21</w:t>
            </w:r>
          </w:p>
        </w:tc>
        <w:tc>
          <w:tcPr>
            <w:tcW w:w="60" w:type="dxa"/>
            <w:tcBorders/>
            <w:shd w:fill="CCEEFF" w:val="clear"/>
            <w:tcMar>
              <w:top w:w="0" w:type="dxa"/>
            </w:tcMar>
            <w:vAlign w:val="center"/>
          </w:tcPr>
          <w:p>
            <w:pPr>
              <w:pStyle w:val="TableContents"/>
              <w:bidi w:val="0"/>
              <w:spacing w:before="0" w:after="283"/>
              <w:jc w:val="left"/>
              <w:rPr/>
            </w:pPr>
            <w:r>
              <w:rPr/>
              <w:t> </w:t>
            </w:r>
          </w:p>
        </w:tc>
        <w:tc>
          <w:tcPr>
            <w:tcW w:w="103" w:type="dxa"/>
            <w:tcBorders/>
            <w:shd w:fill="CCEEFF" w:val="clear"/>
            <w:tcMar>
              <w:top w:w="0" w:type="dxa"/>
            </w:tcMar>
            <w:vAlign w:val="center"/>
          </w:tcPr>
          <w:p>
            <w:pPr>
              <w:pStyle w:val="TableContents"/>
              <w:bidi w:val="0"/>
              <w:spacing w:before="0" w:after="283"/>
              <w:jc w:val="left"/>
              <w:rPr/>
            </w:pPr>
            <w:r>
              <w:rPr/>
              <w:t> </w:t>
            </w:r>
          </w:p>
        </w:tc>
        <w:tc>
          <w:tcPr>
            <w:tcW w:w="1188" w:type="dxa"/>
            <w:tcBorders/>
            <w:shd w:fill="CCEEFF" w:val="clear"/>
            <w:tcMar>
              <w:top w:w="0" w:type="dxa"/>
            </w:tcMar>
            <w:vAlign w:val="center"/>
          </w:tcPr>
          <w:p>
            <w:pPr>
              <w:pStyle w:val="TableContents"/>
              <w:bidi w:val="0"/>
              <w:spacing w:before="0" w:after="283"/>
              <w:jc w:val="right"/>
              <w:rPr>
                <w:b/>
              </w:rPr>
            </w:pPr>
            <w:r>
              <w:rPr>
                <w:b/>
              </w:rPr>
              <w:t>3,975</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20" w:type="dxa"/>
            <w:tcBorders/>
            <w:shd w:fill="CCEEFF" w:val="clear"/>
            <w:tcMar>
              <w:top w:w="0" w:type="dxa"/>
            </w:tcMar>
            <w:vAlign w:val="center"/>
          </w:tcPr>
          <w:p>
            <w:pPr>
              <w:pStyle w:val="TableContents"/>
              <w:bidi w:val="0"/>
              <w:spacing w:before="0" w:after="283"/>
              <w:jc w:val="left"/>
              <w:rPr/>
            </w:pPr>
            <w:r>
              <w:rPr/>
              <w:t> </w:t>
            </w:r>
          </w:p>
        </w:tc>
        <w:tc>
          <w:tcPr>
            <w:tcW w:w="884" w:type="dxa"/>
            <w:tcBorders/>
            <w:shd w:fill="CCEEFF" w:val="clear"/>
            <w:tcMar>
              <w:top w:w="0" w:type="dxa"/>
            </w:tcMar>
            <w:vAlign w:val="center"/>
          </w:tcPr>
          <w:p>
            <w:pPr>
              <w:pStyle w:val="TableContents"/>
              <w:bidi w:val="0"/>
              <w:spacing w:before="0" w:after="283"/>
              <w:jc w:val="right"/>
              <w:rPr>
                <w:b/>
              </w:rPr>
            </w:pPr>
            <w:r>
              <w:rPr>
                <w:b/>
              </w:rPr>
              <w:t>0.9</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9" w:type="dxa"/>
            <w:tcBorders/>
            <w:shd w:fill="CCEEFF" w:val="clear"/>
            <w:tcMar>
              <w:top w:w="0" w:type="dxa"/>
            </w:tcMar>
            <w:vAlign w:val="center"/>
          </w:tcPr>
          <w:p>
            <w:pPr>
              <w:pStyle w:val="TableContents"/>
              <w:bidi w:val="0"/>
              <w:spacing w:before="0" w:after="283"/>
              <w:jc w:val="left"/>
              <w:rPr/>
            </w:pPr>
            <w:r>
              <w:rPr/>
              <w:t> </w:t>
            </w:r>
          </w:p>
        </w:tc>
        <w:tc>
          <w:tcPr>
            <w:tcW w:w="1257" w:type="dxa"/>
            <w:tcBorders/>
            <w:shd w:fill="CCEEFF" w:val="clear"/>
            <w:tcMar>
              <w:top w:w="0" w:type="dxa"/>
            </w:tcMar>
            <w:vAlign w:val="center"/>
          </w:tcPr>
          <w:p>
            <w:pPr>
              <w:pStyle w:val="TableContents"/>
              <w:bidi w:val="0"/>
              <w:spacing w:before="0" w:after="283"/>
              <w:jc w:val="right"/>
              <w:rPr/>
            </w:pPr>
            <w:r>
              <w:rPr/>
              <w:t>—</w:t>
            </w:r>
          </w:p>
        </w:tc>
        <w:tc>
          <w:tcPr>
            <w:tcW w:w="117" w:type="dxa"/>
            <w:tcBorders/>
            <w:shd w:fill="CCEEFF" w:val="clear"/>
            <w:tcMar>
              <w:top w:w="0" w:type="dxa"/>
            </w:tcMar>
            <w:vAlign w:val="center"/>
          </w:tcPr>
          <w:p>
            <w:pPr>
              <w:pStyle w:val="TableContents"/>
              <w:bidi w:val="0"/>
              <w:spacing w:before="0" w:after="283"/>
              <w:jc w:val="left"/>
              <w:rPr/>
            </w:pPr>
            <w:r>
              <w:rPr/>
              <w:t> </w:t>
            </w:r>
          </w:p>
        </w:tc>
      </w:tr>
      <w:tr>
        <w:trPr/>
        <w:tc>
          <w:tcPr>
            <w:tcW w:w="153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011"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97" w:type="dxa"/>
            <w:tcBorders/>
            <w:shd w:fill="FFFFFF" w:val="clear"/>
            <w:tcMar>
              <w:top w:w="0" w:type="dxa"/>
            </w:tcMar>
            <w:vAlign w:val="center"/>
          </w:tcPr>
          <w:p>
            <w:pPr>
              <w:pStyle w:val="TableContents"/>
              <w:bidi w:val="0"/>
              <w:spacing w:before="0" w:after="283"/>
              <w:jc w:val="center"/>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9" w:type="dxa"/>
            <w:tcBorders/>
            <w:shd w:fill="FFFFFF" w:val="clear"/>
            <w:tcMar>
              <w:top w:w="0" w:type="dxa"/>
            </w:tcMar>
            <w:vAlign w:val="center"/>
          </w:tcPr>
          <w:p>
            <w:pPr>
              <w:pStyle w:val="TableContents"/>
              <w:bidi w:val="0"/>
              <w:spacing w:before="0" w:after="283"/>
              <w:jc w:val="left"/>
              <w:rPr/>
            </w:pPr>
            <w:r>
              <w:rPr/>
              <w:t> </w:t>
            </w:r>
          </w:p>
        </w:tc>
        <w:tc>
          <w:tcPr>
            <w:tcW w:w="791" w:type="dxa"/>
            <w:tcBorders/>
            <w:shd w:fill="FFFFFF" w:val="clear"/>
            <w:tcMar>
              <w:top w:w="0" w:type="dxa"/>
            </w:tcMar>
            <w:vAlign w:val="center"/>
          </w:tcPr>
          <w:p>
            <w:pPr>
              <w:pStyle w:val="TableContents"/>
              <w:bidi w:val="0"/>
              <w:spacing w:before="0" w:after="283"/>
              <w:jc w:val="right"/>
              <w:rPr/>
            </w:pPr>
            <w:r>
              <w:rPr/>
              <w:t>762</w:t>
            </w:r>
          </w:p>
        </w:tc>
        <w:tc>
          <w:tcPr>
            <w:tcW w:w="9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089" w:type="dxa"/>
            <w:tcBorders/>
            <w:shd w:fill="FFFFFF" w:val="clear"/>
            <w:tcMar>
              <w:top w:w="0" w:type="dxa"/>
            </w:tcMar>
            <w:vAlign w:val="center"/>
          </w:tcPr>
          <w:p>
            <w:pPr>
              <w:pStyle w:val="TableContents"/>
              <w:bidi w:val="0"/>
              <w:spacing w:before="0" w:after="283"/>
              <w:jc w:val="left"/>
              <w:rPr/>
            </w:pPr>
            <w:r>
              <w:rPr/>
              <w:t>Bitmain S21 hydro</w:t>
            </w:r>
          </w:p>
        </w:tc>
        <w:tc>
          <w:tcPr>
            <w:tcW w:w="60" w:type="dxa"/>
            <w:tcBorders/>
            <w:shd w:fill="FFFFFF" w:val="clear"/>
            <w:tcMar>
              <w:top w:w="0" w:type="dxa"/>
            </w:tcMar>
            <w:vAlign w:val="center"/>
          </w:tcPr>
          <w:p>
            <w:pPr>
              <w:pStyle w:val="TableContents"/>
              <w:bidi w:val="0"/>
              <w:spacing w:before="0" w:after="283"/>
              <w:jc w:val="left"/>
              <w:rPr/>
            </w:pPr>
            <w:r>
              <w:rPr/>
              <w:t> </w:t>
            </w:r>
          </w:p>
        </w:tc>
        <w:tc>
          <w:tcPr>
            <w:tcW w:w="103" w:type="dxa"/>
            <w:tcBorders/>
            <w:shd w:fill="FFFFFF" w:val="clear"/>
            <w:tcMar>
              <w:top w:w="0" w:type="dxa"/>
            </w:tcMar>
            <w:vAlign w:val="center"/>
          </w:tcPr>
          <w:p>
            <w:pPr>
              <w:pStyle w:val="TableContents"/>
              <w:bidi w:val="0"/>
              <w:spacing w:before="0" w:after="283"/>
              <w:jc w:val="left"/>
              <w:rPr/>
            </w:pPr>
            <w:r>
              <w:rPr/>
              <w:t> </w:t>
            </w:r>
          </w:p>
        </w:tc>
        <w:tc>
          <w:tcPr>
            <w:tcW w:w="1188" w:type="dxa"/>
            <w:tcBorders/>
            <w:shd w:fill="FFFFFF" w:val="clear"/>
            <w:tcMar>
              <w:top w:w="0" w:type="dxa"/>
            </w:tcMar>
            <w:vAlign w:val="center"/>
          </w:tcPr>
          <w:p>
            <w:pPr>
              <w:pStyle w:val="TableContents"/>
              <w:bidi w:val="0"/>
              <w:spacing w:before="0" w:after="283"/>
              <w:jc w:val="right"/>
              <w:rPr>
                <w:b/>
              </w:rPr>
            </w:pPr>
            <w:r>
              <w:rPr>
                <w:b/>
              </w:rPr>
              <w:t>762</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20" w:type="dxa"/>
            <w:tcBorders/>
            <w:shd w:fill="FFFFFF" w:val="clear"/>
            <w:tcMar>
              <w:top w:w="0" w:type="dxa"/>
            </w:tcMar>
            <w:vAlign w:val="center"/>
          </w:tcPr>
          <w:p>
            <w:pPr>
              <w:pStyle w:val="TableContents"/>
              <w:bidi w:val="0"/>
              <w:spacing w:before="0" w:after="283"/>
              <w:jc w:val="left"/>
              <w:rPr/>
            </w:pPr>
            <w:r>
              <w:rPr/>
              <w:t> </w:t>
            </w:r>
          </w:p>
        </w:tc>
        <w:tc>
          <w:tcPr>
            <w:tcW w:w="884" w:type="dxa"/>
            <w:tcBorders/>
            <w:shd w:fill="FFFFFF" w:val="clear"/>
            <w:tcMar>
              <w:top w:w="0" w:type="dxa"/>
            </w:tcMar>
            <w:vAlign w:val="center"/>
          </w:tcPr>
          <w:p>
            <w:pPr>
              <w:pStyle w:val="TableContents"/>
              <w:bidi w:val="0"/>
              <w:spacing w:before="0" w:after="283"/>
              <w:jc w:val="right"/>
              <w:rPr>
                <w:b/>
              </w:rPr>
            </w:pPr>
            <w:r>
              <w:rPr>
                <w:b/>
              </w:rPr>
              <w:t>0.3</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09" w:type="dxa"/>
            <w:tcBorders/>
            <w:shd w:fill="FFFFFF" w:val="clear"/>
            <w:tcMar>
              <w:top w:w="0" w:type="dxa"/>
            </w:tcMar>
            <w:vAlign w:val="center"/>
          </w:tcPr>
          <w:p>
            <w:pPr>
              <w:pStyle w:val="TableContents"/>
              <w:bidi w:val="0"/>
              <w:spacing w:before="0" w:after="283"/>
              <w:jc w:val="left"/>
              <w:rPr/>
            </w:pPr>
            <w:r>
              <w:rPr/>
              <w:t> </w:t>
            </w:r>
          </w:p>
        </w:tc>
        <w:tc>
          <w:tcPr>
            <w:tcW w:w="1257" w:type="dxa"/>
            <w:tcBorders/>
            <w:shd w:fill="FFFFFF" w:val="clear"/>
            <w:tcMar>
              <w:top w:w="0" w:type="dxa"/>
            </w:tcMar>
            <w:vAlign w:val="center"/>
          </w:tcPr>
          <w:p>
            <w:pPr>
              <w:pStyle w:val="TableContents"/>
              <w:bidi w:val="0"/>
              <w:spacing w:before="0" w:after="283"/>
              <w:jc w:val="right"/>
              <w:rPr/>
            </w:pPr>
            <w:r>
              <w:rPr/>
              <w:t>—</w:t>
            </w:r>
          </w:p>
        </w:tc>
        <w:tc>
          <w:tcPr>
            <w:tcW w:w="117" w:type="dxa"/>
            <w:tcBorders/>
            <w:shd w:fill="FFFFFF" w:val="clear"/>
            <w:tcMar>
              <w:top w:w="0" w:type="dxa"/>
            </w:tcMar>
            <w:vAlign w:val="center"/>
          </w:tcPr>
          <w:p>
            <w:pPr>
              <w:pStyle w:val="TableContents"/>
              <w:bidi w:val="0"/>
              <w:spacing w:before="0" w:after="283"/>
              <w:jc w:val="left"/>
              <w:rPr/>
            </w:pPr>
            <w:r>
              <w:rPr/>
              <w:t> </w:t>
            </w:r>
          </w:p>
        </w:tc>
      </w:tr>
      <w:tr>
        <w:trPr/>
        <w:tc>
          <w:tcPr>
            <w:tcW w:w="1535"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11"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97"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center"/>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pPr>
            <w:r>
              <w:rPr/>
              <w:t>24,017</w:t>
            </w:r>
          </w:p>
        </w:tc>
        <w:tc>
          <w:tcPr>
            <w:tcW w:w="95"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b/>
              </w:rPr>
            </w:pPr>
            <w:r>
              <w:rPr>
                <w:b/>
              </w:rPr>
              <w:t>11,275</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b/>
              </w:rPr>
            </w:pPr>
            <w:r>
              <w:rPr>
                <w:b/>
              </w:rPr>
              <w:t>2.7</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b/>
              </w:rPr>
            </w:pPr>
            <w:r>
              <w:rPr>
                <w:b/>
              </w:rPr>
              <w:t>12,742</w:t>
            </w:r>
          </w:p>
        </w:tc>
        <w:tc>
          <w:tcPr>
            <w:tcW w:w="117"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535" w:type="dxa"/>
            <w:tcBorders/>
            <w:shd w:fill="FFFFFF" w:val="clear"/>
            <w:tcMar>
              <w:top w:w="0" w:type="dxa"/>
            </w:tcMar>
            <w:vAlign w:val="center"/>
          </w:tcPr>
          <w:p>
            <w:pPr>
              <w:pStyle w:val="TableContents"/>
              <w:bidi w:val="0"/>
              <w:spacing w:before="0" w:after="283"/>
              <w:jc w:val="left"/>
              <w:rPr/>
            </w:pPr>
            <w:r>
              <w:rPr/>
              <w:t>Q1 2025</w:t>
            </w:r>
          </w:p>
        </w:tc>
        <w:tc>
          <w:tcPr>
            <w:tcW w:w="60" w:type="dxa"/>
            <w:tcBorders/>
            <w:shd w:fill="FFFFFF" w:val="clear"/>
            <w:tcMar>
              <w:top w:w="0" w:type="dxa"/>
            </w:tcMar>
            <w:vAlign w:val="center"/>
          </w:tcPr>
          <w:p>
            <w:pPr>
              <w:pStyle w:val="TableContents"/>
              <w:bidi w:val="0"/>
              <w:spacing w:before="0" w:after="283"/>
              <w:jc w:val="left"/>
              <w:rPr/>
            </w:pPr>
            <w:r>
              <w:rPr/>
              <w:t> </w:t>
            </w:r>
          </w:p>
        </w:tc>
        <w:tc>
          <w:tcPr>
            <w:tcW w:w="2011" w:type="dxa"/>
            <w:tcBorders/>
            <w:shd w:fill="FFFFFF" w:val="clear"/>
            <w:tcMar>
              <w:top w:w="0" w:type="dxa"/>
            </w:tcMar>
            <w:vAlign w:val="center"/>
          </w:tcPr>
          <w:p>
            <w:pPr>
              <w:pStyle w:val="TableContents"/>
              <w:bidi w:val="0"/>
              <w:spacing w:before="0" w:after="283"/>
              <w:jc w:val="left"/>
              <w:rPr/>
            </w:pPr>
            <w:r>
              <w:rPr/>
              <w:t>2025 Miners Swap</w:t>
            </w:r>
          </w:p>
        </w:tc>
        <w:tc>
          <w:tcPr>
            <w:tcW w:w="60" w:type="dxa"/>
            <w:tcBorders/>
            <w:shd w:fill="FFFFFF" w:val="clear"/>
            <w:tcMar>
              <w:top w:w="0" w:type="dxa"/>
            </w:tcMar>
            <w:vAlign w:val="center"/>
          </w:tcPr>
          <w:p>
            <w:pPr>
              <w:pStyle w:val="TableContents"/>
              <w:bidi w:val="0"/>
              <w:spacing w:before="0" w:after="283"/>
              <w:jc w:val="left"/>
              <w:rPr/>
            </w:pPr>
            <w:r>
              <w:rPr/>
              <w:t> </w:t>
            </w:r>
          </w:p>
        </w:tc>
        <w:tc>
          <w:tcPr>
            <w:tcW w:w="297" w:type="dxa"/>
            <w:tcBorders/>
            <w:shd w:fill="FFFFFF" w:val="clear"/>
            <w:tcMar>
              <w:top w:w="0" w:type="dxa"/>
            </w:tcMar>
            <w:vAlign w:val="center"/>
          </w:tcPr>
          <w:p>
            <w:pPr>
              <w:pStyle w:val="TableContents"/>
              <w:bidi w:val="0"/>
              <w:spacing w:before="0" w:after="283"/>
              <w:jc w:val="center"/>
              <w:rPr/>
            </w:pPr>
            <w:r>
              <w:rPr/>
              <w:t>(v)</w:t>
            </w:r>
          </w:p>
        </w:tc>
        <w:tc>
          <w:tcPr>
            <w:tcW w:w="60" w:type="dxa"/>
            <w:tcBorders/>
            <w:shd w:fill="FFFFFF" w:val="clear"/>
            <w:tcMar>
              <w:top w:w="0" w:type="dxa"/>
            </w:tcMar>
            <w:vAlign w:val="center"/>
          </w:tcPr>
          <w:p>
            <w:pPr>
              <w:pStyle w:val="TableContents"/>
              <w:bidi w:val="0"/>
              <w:spacing w:before="0" w:after="283"/>
              <w:jc w:val="left"/>
              <w:rPr/>
            </w:pPr>
            <w:r>
              <w:rPr/>
              <w:t> </w:t>
            </w:r>
          </w:p>
        </w:tc>
        <w:tc>
          <w:tcPr>
            <w:tcW w:w="69" w:type="dxa"/>
            <w:tcBorders/>
            <w:shd w:fill="FFFFFF" w:val="clear"/>
            <w:tcMar>
              <w:top w:w="0" w:type="dxa"/>
            </w:tcMar>
            <w:vAlign w:val="center"/>
          </w:tcPr>
          <w:p>
            <w:pPr>
              <w:pStyle w:val="TableContents"/>
              <w:bidi w:val="0"/>
              <w:spacing w:before="0" w:after="283"/>
              <w:jc w:val="left"/>
              <w:rPr/>
            </w:pPr>
            <w:r>
              <w:rPr/>
              <w:t> </w:t>
            </w:r>
          </w:p>
        </w:tc>
        <w:tc>
          <w:tcPr>
            <w:tcW w:w="791" w:type="dxa"/>
            <w:tcBorders/>
            <w:shd w:fill="FFFFFF" w:val="clear"/>
            <w:tcMar>
              <w:top w:w="0" w:type="dxa"/>
            </w:tcMar>
            <w:vAlign w:val="center"/>
          </w:tcPr>
          <w:p>
            <w:pPr>
              <w:pStyle w:val="TableContents"/>
              <w:bidi w:val="0"/>
              <w:spacing w:before="0" w:after="283"/>
              <w:jc w:val="right"/>
              <w:rPr/>
            </w:pPr>
            <w:r>
              <w:rPr/>
              <w:t>(4,160</w:t>
            </w:r>
          </w:p>
        </w:tc>
        <w:tc>
          <w:tcPr>
            <w:tcW w:w="95" w:type="dxa"/>
            <w:tcBorders/>
            <w:shd w:fill="FFFFFF" w:val="clear"/>
            <w:tcMar>
              <w:top w:w="0" w:type="dxa"/>
            </w:tcMar>
            <w:vAlign w:val="center"/>
          </w:tcPr>
          <w:p>
            <w:pPr>
              <w:pStyle w:val="TableContents"/>
              <w:bidi w:val="0"/>
              <w:spacing w:before="0" w:after="283"/>
              <w:jc w:val="left"/>
              <w:rPr/>
            </w:pPr>
            <w:r>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089" w:type="dxa"/>
            <w:tcBorders/>
            <w:shd w:fill="FFFFFF" w:val="clear"/>
            <w:tcMar>
              <w:top w:w="0" w:type="dxa"/>
            </w:tcMar>
            <w:vAlign w:val="center"/>
          </w:tcPr>
          <w:p>
            <w:pPr>
              <w:pStyle w:val="TableContents"/>
              <w:bidi w:val="0"/>
              <w:spacing w:before="0" w:after="283"/>
              <w:jc w:val="left"/>
              <w:rPr/>
            </w:pPr>
            <w:r>
              <w:rPr/>
              <w:t>Bitmain T21</w:t>
            </w:r>
          </w:p>
        </w:tc>
        <w:tc>
          <w:tcPr>
            <w:tcW w:w="60" w:type="dxa"/>
            <w:tcBorders/>
            <w:shd w:fill="FFFFFF" w:val="clear"/>
            <w:tcMar>
              <w:top w:w="0" w:type="dxa"/>
            </w:tcMar>
            <w:vAlign w:val="center"/>
          </w:tcPr>
          <w:p>
            <w:pPr>
              <w:pStyle w:val="TableContents"/>
              <w:bidi w:val="0"/>
              <w:spacing w:before="0" w:after="283"/>
              <w:jc w:val="left"/>
              <w:rPr/>
            </w:pPr>
            <w:r>
              <w:rPr/>
              <w:t> </w:t>
            </w:r>
          </w:p>
        </w:tc>
        <w:tc>
          <w:tcPr>
            <w:tcW w:w="103" w:type="dxa"/>
            <w:tcBorders/>
            <w:shd w:fill="FFFFFF" w:val="clear"/>
            <w:tcMar>
              <w:top w:w="0" w:type="dxa"/>
            </w:tcMar>
            <w:vAlign w:val="center"/>
          </w:tcPr>
          <w:p>
            <w:pPr>
              <w:pStyle w:val="TableContents"/>
              <w:bidi w:val="0"/>
              <w:spacing w:before="0" w:after="283"/>
              <w:jc w:val="left"/>
              <w:rPr/>
            </w:pPr>
            <w:r>
              <w:rPr/>
              <w:t> </w:t>
            </w:r>
          </w:p>
        </w:tc>
        <w:tc>
          <w:tcPr>
            <w:tcW w:w="1188" w:type="dxa"/>
            <w:tcBorders/>
            <w:shd w:fill="FFFFFF" w:val="clear"/>
            <w:tcMar>
              <w:top w:w="0" w:type="dxa"/>
            </w:tcMar>
            <w:vAlign w:val="center"/>
          </w:tcPr>
          <w:p>
            <w:pPr>
              <w:pStyle w:val="TableContents"/>
              <w:bidi w:val="0"/>
              <w:spacing w:before="0" w:after="283"/>
              <w:jc w:val="right"/>
              <w:rPr/>
            </w:pPr>
            <w:r>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20" w:type="dxa"/>
            <w:tcBorders/>
            <w:shd w:fill="FFFFFF" w:val="clear"/>
            <w:tcMar>
              <w:top w:w="0" w:type="dxa"/>
            </w:tcMar>
            <w:vAlign w:val="center"/>
          </w:tcPr>
          <w:p>
            <w:pPr>
              <w:pStyle w:val="TableContents"/>
              <w:bidi w:val="0"/>
              <w:spacing w:before="0" w:after="283"/>
              <w:jc w:val="left"/>
              <w:rPr/>
            </w:pPr>
            <w:r>
              <w:rPr/>
              <w:t> </w:t>
            </w:r>
          </w:p>
        </w:tc>
        <w:tc>
          <w:tcPr>
            <w:tcW w:w="884" w:type="dxa"/>
            <w:tcBorders/>
            <w:shd w:fill="FFFFFF" w:val="clear"/>
            <w:tcMar>
              <w:top w:w="0" w:type="dxa"/>
            </w:tcMar>
            <w:vAlign w:val="center"/>
          </w:tcPr>
          <w:p>
            <w:pPr>
              <w:pStyle w:val="TableContents"/>
              <w:bidi w:val="0"/>
              <w:spacing w:before="0" w:after="283"/>
              <w:jc w:val="right"/>
              <w:rPr/>
            </w:pPr>
            <w:r>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09" w:type="dxa"/>
            <w:tcBorders/>
            <w:shd w:fill="FFFFFF" w:val="clear"/>
            <w:tcMar>
              <w:top w:w="0" w:type="dxa"/>
            </w:tcMar>
            <w:vAlign w:val="center"/>
          </w:tcPr>
          <w:p>
            <w:pPr>
              <w:pStyle w:val="TableContents"/>
              <w:bidi w:val="0"/>
              <w:spacing w:before="0" w:after="283"/>
              <w:jc w:val="left"/>
              <w:rPr/>
            </w:pPr>
            <w:r>
              <w:rPr/>
              <w:t> </w:t>
            </w:r>
          </w:p>
        </w:tc>
        <w:tc>
          <w:tcPr>
            <w:tcW w:w="1257" w:type="dxa"/>
            <w:tcBorders/>
            <w:shd w:fill="FFFFFF" w:val="clear"/>
            <w:tcMar>
              <w:top w:w="0" w:type="dxa"/>
            </w:tcMar>
            <w:vAlign w:val="center"/>
          </w:tcPr>
          <w:p>
            <w:pPr>
              <w:pStyle w:val="TableContents"/>
              <w:bidi w:val="0"/>
              <w:spacing w:before="0" w:after="283"/>
              <w:jc w:val="right"/>
              <w:rPr>
                <w:b/>
              </w:rPr>
            </w:pPr>
            <w:r>
              <w:rPr>
                <w:b/>
              </w:rPr>
              <w:t>(4,160</w:t>
            </w:r>
          </w:p>
        </w:tc>
        <w:tc>
          <w:tcPr>
            <w:tcW w:w="117" w:type="dxa"/>
            <w:tcBorders/>
            <w:shd w:fill="FFFFFF" w:val="clear"/>
            <w:tcMar>
              <w:top w:w="0" w:type="dxa"/>
            </w:tcMar>
            <w:vAlign w:val="center"/>
          </w:tcPr>
          <w:p>
            <w:pPr>
              <w:pStyle w:val="TableContents"/>
              <w:bidi w:val="0"/>
              <w:spacing w:before="0" w:after="283"/>
              <w:jc w:val="left"/>
              <w:rPr>
                <w:b/>
              </w:rPr>
            </w:pPr>
            <w:r>
              <w:rPr>
                <w:b/>
              </w:rPr>
              <w:t>)</w:t>
            </w:r>
          </w:p>
        </w:tc>
      </w:tr>
      <w:tr>
        <w:trPr/>
        <w:tc>
          <w:tcPr>
            <w:tcW w:w="153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011"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97" w:type="dxa"/>
            <w:tcBorders/>
            <w:shd w:fill="CCEEFF" w:val="clear"/>
            <w:tcMar>
              <w:top w:w="0" w:type="dxa"/>
            </w:tcMar>
            <w:vAlign w:val="center"/>
          </w:tcPr>
          <w:p>
            <w:pPr>
              <w:pStyle w:val="TableContents"/>
              <w:bidi w:val="0"/>
              <w:spacing w:before="0" w:after="283"/>
              <w:jc w:val="center"/>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9" w:type="dxa"/>
            <w:tcBorders/>
            <w:shd w:fill="CCEEFF" w:val="clear"/>
            <w:tcMar>
              <w:top w:w="0" w:type="dxa"/>
            </w:tcMar>
            <w:vAlign w:val="center"/>
          </w:tcPr>
          <w:p>
            <w:pPr>
              <w:pStyle w:val="TableContents"/>
              <w:bidi w:val="0"/>
              <w:spacing w:before="0" w:after="283"/>
              <w:jc w:val="left"/>
              <w:rPr/>
            </w:pPr>
            <w:r>
              <w:rPr/>
              <w:t> </w:t>
            </w:r>
          </w:p>
        </w:tc>
        <w:tc>
          <w:tcPr>
            <w:tcW w:w="791" w:type="dxa"/>
            <w:tcBorders/>
            <w:shd w:fill="CCEEFF" w:val="clear"/>
            <w:tcMar>
              <w:top w:w="0" w:type="dxa"/>
            </w:tcMar>
            <w:vAlign w:val="center"/>
          </w:tcPr>
          <w:p>
            <w:pPr>
              <w:pStyle w:val="TableContents"/>
              <w:bidi w:val="0"/>
              <w:spacing w:before="0" w:after="283"/>
              <w:jc w:val="right"/>
              <w:rPr/>
            </w:pPr>
            <w:r>
              <w:rPr/>
              <w:t>3,660</w:t>
            </w:r>
          </w:p>
        </w:tc>
        <w:tc>
          <w:tcPr>
            <w:tcW w:w="9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89" w:type="dxa"/>
            <w:tcBorders/>
            <w:shd w:fill="CCEEFF" w:val="clear"/>
            <w:tcMar>
              <w:top w:w="0" w:type="dxa"/>
            </w:tcMar>
            <w:vAlign w:val="center"/>
          </w:tcPr>
          <w:p>
            <w:pPr>
              <w:pStyle w:val="TableContents"/>
              <w:bidi w:val="0"/>
              <w:spacing w:before="0" w:after="283"/>
              <w:jc w:val="left"/>
              <w:rPr/>
            </w:pPr>
            <w:r>
              <w:rPr/>
              <w:t>Bitmain S21 Pro</w:t>
            </w:r>
          </w:p>
        </w:tc>
        <w:tc>
          <w:tcPr>
            <w:tcW w:w="60" w:type="dxa"/>
            <w:tcBorders/>
            <w:shd w:fill="CCEEFF" w:val="clear"/>
            <w:tcMar>
              <w:top w:w="0" w:type="dxa"/>
            </w:tcMar>
            <w:vAlign w:val="center"/>
          </w:tcPr>
          <w:p>
            <w:pPr>
              <w:pStyle w:val="TableContents"/>
              <w:bidi w:val="0"/>
              <w:spacing w:before="0" w:after="283"/>
              <w:jc w:val="left"/>
              <w:rPr/>
            </w:pPr>
            <w:r>
              <w:rPr/>
              <w:t> </w:t>
            </w:r>
          </w:p>
        </w:tc>
        <w:tc>
          <w:tcPr>
            <w:tcW w:w="103" w:type="dxa"/>
            <w:tcBorders/>
            <w:shd w:fill="CCEEFF" w:val="clear"/>
            <w:tcMar>
              <w:top w:w="0" w:type="dxa"/>
            </w:tcMar>
            <w:vAlign w:val="center"/>
          </w:tcPr>
          <w:p>
            <w:pPr>
              <w:pStyle w:val="TableContents"/>
              <w:bidi w:val="0"/>
              <w:spacing w:before="0" w:after="283"/>
              <w:jc w:val="left"/>
              <w:rPr/>
            </w:pPr>
            <w:r>
              <w:rPr/>
              <w:t> </w:t>
            </w:r>
          </w:p>
        </w:tc>
        <w:tc>
          <w:tcPr>
            <w:tcW w:w="1188" w:type="dxa"/>
            <w:tcBorders/>
            <w:shd w:fill="CCEEFF" w:val="clear"/>
            <w:tcMar>
              <w:top w:w="0" w:type="dxa"/>
            </w:tcMar>
            <w:vAlign w:val="center"/>
          </w:tcPr>
          <w:p>
            <w:pPr>
              <w:pStyle w:val="TableContents"/>
              <w:bidi w:val="0"/>
              <w:spacing w:before="0" w:after="283"/>
              <w:jc w:val="right"/>
              <w:rPr/>
            </w:pPr>
            <w:r>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20" w:type="dxa"/>
            <w:tcBorders/>
            <w:shd w:fill="CCEEFF" w:val="clear"/>
            <w:tcMar>
              <w:top w:w="0" w:type="dxa"/>
            </w:tcMar>
            <w:vAlign w:val="center"/>
          </w:tcPr>
          <w:p>
            <w:pPr>
              <w:pStyle w:val="TableContents"/>
              <w:bidi w:val="0"/>
              <w:spacing w:before="0" w:after="283"/>
              <w:jc w:val="left"/>
              <w:rPr/>
            </w:pPr>
            <w:r>
              <w:rPr/>
              <w:t> </w:t>
            </w:r>
          </w:p>
        </w:tc>
        <w:tc>
          <w:tcPr>
            <w:tcW w:w="884" w:type="dxa"/>
            <w:tcBorders/>
            <w:shd w:fill="CCEEFF" w:val="clear"/>
            <w:tcMar>
              <w:top w:w="0" w:type="dxa"/>
            </w:tcMar>
            <w:vAlign w:val="center"/>
          </w:tcPr>
          <w:p>
            <w:pPr>
              <w:pStyle w:val="TableContents"/>
              <w:bidi w:val="0"/>
              <w:spacing w:before="0" w:after="283"/>
              <w:jc w:val="right"/>
              <w:rPr/>
            </w:pPr>
            <w:r>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09" w:type="dxa"/>
            <w:tcBorders/>
            <w:shd w:fill="CCEEFF" w:val="clear"/>
            <w:tcMar>
              <w:top w:w="0" w:type="dxa"/>
            </w:tcMar>
            <w:vAlign w:val="center"/>
          </w:tcPr>
          <w:p>
            <w:pPr>
              <w:pStyle w:val="TableContents"/>
              <w:bidi w:val="0"/>
              <w:spacing w:before="0" w:after="283"/>
              <w:jc w:val="left"/>
              <w:rPr/>
            </w:pPr>
            <w:r>
              <w:rPr/>
              <w:t> </w:t>
            </w:r>
          </w:p>
        </w:tc>
        <w:tc>
          <w:tcPr>
            <w:tcW w:w="1257" w:type="dxa"/>
            <w:tcBorders/>
            <w:shd w:fill="CCEEFF" w:val="clear"/>
            <w:tcMar>
              <w:top w:w="0" w:type="dxa"/>
            </w:tcMar>
            <w:vAlign w:val="center"/>
          </w:tcPr>
          <w:p>
            <w:pPr>
              <w:pStyle w:val="TableContents"/>
              <w:bidi w:val="0"/>
              <w:spacing w:before="0" w:after="283"/>
              <w:jc w:val="right"/>
              <w:rPr>
                <w:b/>
              </w:rPr>
            </w:pPr>
            <w:r>
              <w:rPr>
                <w:b/>
              </w:rPr>
              <w:t>3,660</w:t>
            </w:r>
          </w:p>
        </w:tc>
        <w:tc>
          <w:tcPr>
            <w:tcW w:w="117" w:type="dxa"/>
            <w:tcBorders/>
            <w:shd w:fill="CCEEFF" w:val="clear"/>
            <w:tcMar>
              <w:top w:w="0" w:type="dxa"/>
            </w:tcMar>
            <w:vAlign w:val="center"/>
          </w:tcPr>
          <w:p>
            <w:pPr>
              <w:pStyle w:val="TableContents"/>
              <w:bidi w:val="0"/>
              <w:spacing w:before="0" w:after="283"/>
              <w:jc w:val="left"/>
              <w:rPr/>
            </w:pPr>
            <w:r>
              <w:rPr/>
              <w:t> </w:t>
            </w:r>
          </w:p>
        </w:tc>
      </w:tr>
      <w:tr>
        <w:trPr/>
        <w:tc>
          <w:tcPr>
            <w:tcW w:w="1535"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11"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97"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right"/>
              <w:rPr/>
            </w:pPr>
            <w:r>
              <w:rPr/>
              <w:t>(500</w:t>
            </w:r>
          </w:p>
        </w:tc>
        <w:tc>
          <w:tcPr>
            <w:tcW w:w="95"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right"/>
              <w:rPr>
                <w:b/>
              </w:rPr>
            </w:pPr>
            <w:r>
              <w:rPr>
                <w:b/>
              </w:rPr>
              <w:t>(500</w:t>
            </w:r>
          </w:p>
        </w:tc>
        <w:tc>
          <w:tcPr>
            <w:tcW w:w="117" w:type="dxa"/>
            <w:tcBorders>
              <w:top w:val="single" w:sz="8" w:space="0" w:color="000000"/>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r>
      <w:tr>
        <w:trPr/>
        <w:tc>
          <w:tcPr>
            <w:tcW w:w="1535"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2011"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top w:w="0" w:type="dxa"/>
              <w:bottom w:w="28" w:type="dxa"/>
            </w:tcMar>
            <w:vAlign w:val="center"/>
          </w:tcPr>
          <w:p>
            <w:pPr>
              <w:pStyle w:val="TableContents"/>
              <w:bidi w:val="0"/>
              <w:spacing w:before="0" w:after="283"/>
              <w:jc w:val="center"/>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top w:w="0" w:type="dxa"/>
              <w:bottom w:w="28" w:type="dxa"/>
            </w:tcMar>
            <w:vAlign w:val="center"/>
          </w:tcPr>
          <w:p>
            <w:pPr>
              <w:pStyle w:val="TableContents"/>
              <w:bidi w:val="0"/>
              <w:spacing w:before="0" w:after="283"/>
              <w:jc w:val="right"/>
              <w:rPr/>
            </w:pPr>
            <w:r>
              <w:rPr/>
              <w:t>87,649</w:t>
            </w:r>
          </w:p>
        </w:tc>
        <w:tc>
          <w:tcPr>
            <w:tcW w:w="95"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top w:w="0" w:type="dxa"/>
              <w:bottom w:w="28" w:type="dxa"/>
            </w:tcMar>
            <w:vAlign w:val="center"/>
          </w:tcPr>
          <w:p>
            <w:pPr>
              <w:pStyle w:val="TableContents"/>
              <w:bidi w:val="0"/>
              <w:spacing w:before="0" w:after="283"/>
              <w:jc w:val="right"/>
              <w:rPr>
                <w:b/>
              </w:rPr>
            </w:pPr>
            <w:r>
              <w:rPr>
                <w:b/>
              </w:rPr>
              <w:t>73,874</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top w:w="0" w:type="dxa"/>
              <w:bottom w:w="28" w:type="dxa"/>
            </w:tcMar>
            <w:vAlign w:val="center"/>
          </w:tcPr>
          <w:p>
            <w:pPr>
              <w:pStyle w:val="TableContents"/>
              <w:bidi w:val="0"/>
              <w:spacing w:before="0" w:after="283"/>
              <w:jc w:val="right"/>
              <w:rPr>
                <w:b/>
              </w:rPr>
            </w:pPr>
            <w:r>
              <w:rPr>
                <w:b/>
              </w:rPr>
              <w:t>14.8</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top w:w="0" w:type="dxa"/>
              <w:bottom w:w="28" w:type="dxa"/>
            </w:tcMar>
            <w:vAlign w:val="center"/>
          </w:tcPr>
          <w:p>
            <w:pPr>
              <w:pStyle w:val="TableContents"/>
              <w:bidi w:val="0"/>
              <w:spacing w:before="0" w:after="283"/>
              <w:jc w:val="right"/>
              <w:rPr>
                <w:b/>
              </w:rPr>
            </w:pPr>
            <w:r>
              <w:rPr>
                <w:b/>
              </w:rPr>
              <w:t>13,775</w:t>
            </w:r>
          </w:p>
        </w:tc>
        <w:tc>
          <w:tcPr>
            <w:tcW w:w="117" w:type="dxa"/>
            <w:tcBorders>
              <w:bottom w:val="single" w:sz="12" w:space="0" w:color="000000"/>
            </w:tcBorders>
            <w:shd w:fill="CCEEFF" w:val="clear"/>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Stronghold and Yguazu data center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Stronghold transaction and the sale of the Yguazu data center described below, enabled the Company to rebalance its portfolio of MW to approximately 80% in North America and 20% outside of North America and is expected to reduce the Company’s average energy costs per kWh by up to 10%. Proceeds from the transaction will be reinvested towards its 1.1 GW growth pipeline as part of the Company’s planned United States expansion for BTC and HPC/AI infrastructure, which marks a significant milestone in the Company’s transition from an international Bitcoin miner to a North American energy and compute infrastructure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of HPC/AI Business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engaged two separate expert consultants in HPC/AI, Appleby Strategy Group (“ASG”) and World Wide Technology (“WWT”), to conduct formal evaluations of the Company’s data centers and energy assets for potential partial or total conversion to HPC/AI. In parallel, ASG and WWT will conduct feasibility assessments, data center engineering, site map planning, construction budgeting, and help build accelerated sales and development strategies. Combined, they will support the building of the Company’s operational capabilities and market the Company’s sites to potential HPC/AI customers.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5"/>
        <w:gridCol w:w="10080"/>
      </w:tblGrid>
      <w:tr>
        <w:trPr/>
        <w:tc>
          <w:tcPr>
            <w:tcW w:w="125" w:type="dxa"/>
            <w:tcBorders>
              <w:bottom w:val="single" w:sz="8" w:space="0" w:color="000000"/>
            </w:tcBorders>
            <w:vAlign w:val="center"/>
          </w:tcPr>
          <w:p>
            <w:pPr>
              <w:pStyle w:val="TableContents"/>
              <w:bidi w:val="0"/>
              <w:spacing w:before="0" w:after="283"/>
              <w:jc w:val="left"/>
              <w:rPr>
                <w:position w:val="8"/>
                <w:sz w:val="19"/>
              </w:rPr>
            </w:pPr>
            <w:r>
              <w:rPr>
                <w:position w:val="8"/>
                <w:sz w:val="19"/>
              </w:rPr>
              <w:t> </w:t>
            </w:r>
          </w:p>
        </w:tc>
        <w:tc>
          <w:tcPr>
            <w:tcW w:w="10080" w:type="dxa"/>
            <w:tcBorders>
              <w:bottom w:val="single" w:sz="8" w:space="0" w:color="000000"/>
            </w:tcBorders>
            <w:vAlign w:val="center"/>
          </w:tcPr>
          <w:p>
            <w:pPr>
              <w:pStyle w:val="TableContents"/>
              <w:bidi w:val="0"/>
              <w:spacing w:before="0" w:after="283"/>
              <w:jc w:val="left"/>
              <w:rPr/>
            </w:pPr>
            <w:r>
              <w:rPr/>
              <w:t> </w:t>
            </w:r>
          </w:p>
        </w:tc>
      </w:tr>
      <w:tr>
        <w:trPr/>
        <w:tc>
          <w:tcPr>
            <w:tcW w:w="125"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Hashrate from the Miners received should correspond to the total Hashrate specified in the initial agreements. The quantity of Miners received may vary based on the individual Hashrate specifications of each Miner.</w:t>
            </w:r>
          </w:p>
        </w:tc>
      </w:tr>
      <w:tr>
        <w:trPr/>
        <w:tc>
          <w:tcPr>
            <w:tcW w:w="125"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Hashrate is based on the average Miner specifications stated in the purchase agreements and the Company’s actual realized Hashrate may differ. </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12 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EXPANSION PROJECTS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940"/>
        <w:gridCol w:w="9128"/>
      </w:tblGrid>
      <w:tr>
        <w:trPr/>
        <w:tc>
          <w:tcPr>
            <w:tcW w:w="1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b/>
              </w:rPr>
            </w:pPr>
            <w:r>
              <w:rPr>
                <w:b/>
              </w:rPr>
              <w:t>A.</w:t>
            </w:r>
          </w:p>
        </w:tc>
        <w:tc>
          <w:tcPr>
            <w:tcW w:w="9128" w:type="dxa"/>
            <w:tcBorders/>
            <w:vAlign w:val="center"/>
          </w:tcPr>
          <w:p>
            <w:pPr>
              <w:pStyle w:val="TableContents"/>
              <w:bidi w:val="0"/>
              <w:spacing w:before="0" w:after="283"/>
              <w:jc w:val="both"/>
              <w:rPr>
                <w:b/>
              </w:rPr>
            </w:pPr>
            <w:r>
              <w:rPr>
                <w:b/>
              </w:rPr>
              <w:t>United States Expansion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Stronghold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2024, the Company and Stronghold entered into a Merger Agreement pursuant to which Bitfarms acquired Stronghold in a stock-for-stock merger transaction (the “Transaction”). The Transaction was valued at an equity value of approximately $125.0 million plus the repayment of debt valued at approximately $50.0 million, which is repayable at closing. The Transaction was unanimously approved by the Board of Directors of both companies and was approved by shareholders representing a majority of the outstanding shares of Stronghold on February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Stronghold is a vertically integrated power generation and data center company focused on environmental remediation and reclamation services. Stronghold owns over 750 acres of land with options on over 1,100 additional acres along with two merchant power plants: the Scrubgrass and Panther Creek facilities in Pennsylvania. These two power plants are recognized by Pennsylvania as a Tier 2 Alternative Energy Source (the same category as large-scale hydroelectric power plant) for their proven and significant environmental benefits and have removed hundreds of thousands of tons of industrial waste and converted it into power, while reclaiming hundreds of acres in the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Stronghold had a Hashrate of 2.9 EH/s and 165 MW of current nameplate generated power capacity. In addition, Stronghold has 142 MW of current Pennsylvania-New Jersey-Maryland Interconnection (“PJM”) import capacity with multiple studies underway to potentially increase the total import capacity by an additional 648 MW, bringing as much as 790 MW of incremental potential power beyond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the Transaction closed, following the receipt of Stronghold shareholder approval on February 27, 2025, applicable regulatory approvals, certain third-party consents and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Stronghold shareholders received 2.52 shares of Bitfarms for each share of Stronghold they own. The Company issued 59,866,852 common shares and 12,893,650 warrants in connection with the consummation of the Merger. In addition, approximately $44.5 million was paid at closing to retire outstanding Stronghold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the process of determining the fair value of identifiable assets acquired and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Stronghold Transaction added up to 307 MW of power capacity, with an additional 648 MW of incremental potential power capacity, for a total of 955 MW of potential power capacity, to the Company’s operations and is aligned with the Company’s strategic objectives to diversify its operations and expand its presence in the United States. through vertical integration of power generation and energy arbitrage capabilities. This transaction solidifies Bitfarms’ role as a dominant player in the Bitcoin Mining sector and positions it well for expansion into the HPC/AI sector with two strategically located facilities with energy infrastructure and expansion capacity.</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13 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EXPANSION PROJECTS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659"/>
        <w:gridCol w:w="9450"/>
      </w:tblGrid>
      <w:tr>
        <w:trPr/>
        <w:tc>
          <w:tcPr>
            <w:tcW w:w="9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b/>
              </w:rPr>
            </w:pPr>
            <w:r>
              <w:rPr>
                <w:b/>
              </w:rPr>
              <w:t>A.</w:t>
            </w:r>
          </w:p>
        </w:tc>
        <w:tc>
          <w:tcPr>
            <w:tcW w:w="9450" w:type="dxa"/>
            <w:tcBorders/>
            <w:vAlign w:val="center"/>
          </w:tcPr>
          <w:p>
            <w:pPr>
              <w:pStyle w:val="TableContents"/>
              <w:bidi w:val="0"/>
              <w:spacing w:before="0" w:after="283"/>
              <w:jc w:val="both"/>
              <w:rPr/>
            </w:pPr>
            <w:r>
              <w:rPr>
                <w:b/>
              </w:rPr>
              <w:t xml:space="preserve">United States Expansion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Panther Creek Hosting Agreement 2024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entered the Panther Creek Hosting Agreement with Stronghold.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Panther Creek Hosting Agreement, the Company deployed a mix of 10,000 Bitmain T21 and Bitmain S21 Pro Miners at Stronghold’s Panther Creek site which were originally scheduled to come online at the Company’s Yguazu, Paraguay site. Energization began in November 2024 and was completed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Panther Creek Hosting Agreement came into effect on October 1, 2024, and is intended to continue for an initial term expiring on December 31, 2025, after which it will automatically renew for additional one-year periods unless terminated by either party. Pursuant to the Panther Creek Hosting Agreement, Bitfarms will pay Stronghold a monthly fee equal to 50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Panther Creek Hosting Agreement, Bitfarms deposited with Stronghold $7.8 million, equal to the estimated cost of power for three months of operations of the Bitfarms miners, which will be refundable in full to Bitfarms within one business day of the end of the initial term (“Panther Creek Refundable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Scrubgrass Hosting Agreement 2024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Company entered the Scrubgrass Hosting Agreement. The Company deployed 11,600 Bitmain S21 Pro Miners at Stronghold’s Scrubgrass site which were originally scheduled to come online at the Company’s Yguazu, Paraguay site in December 2024. Energization began in December 2024 and is planned to be completed in April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Scrubgrass Hosting Agreement came into effect on November 1, 2024, and is intended to continue for an initial term expiring on December 31, 2025, after which it will automatically renew for additional one-year periods unless terminated by either party. Pursuant to the Scrubgrass Hosting Agreement, Bitfarms will pay Stronghold a monthly fee equal to 50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Scrubgrass Hosting Agreement, Bitfarms also deposited with Stronghold $7.8 million, equal to the estimated cost of power for three months of operations of the Bitfarms Miners, which will be refundable in full to Bitfarms within one business day of the end of the initial term (“Refundable Scrubgrass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approximately 10,000 S21 Pro Bitmain Miners were installed at the Scrubgrass and Panther Creek facilities. Following the closing of the Stronghold acquisition on March 14, 2025, the Panther Creek Hosting Agreement and Scrubgrass Hosting Agreement were terminated, settling the $15.6 million Refundable Hosting Deposits to the Company and all Mining capacity is now accruing 100% to Bitfarms.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14 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EXPANSION PROJECTS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659"/>
        <w:gridCol w:w="9450"/>
      </w:tblGrid>
      <w:tr>
        <w:trPr/>
        <w:tc>
          <w:tcPr>
            <w:tcW w:w="9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b/>
              </w:rPr>
            </w:pPr>
            <w:r>
              <w:rPr>
                <w:b/>
              </w:rPr>
              <w:t>A.</w:t>
            </w:r>
          </w:p>
        </w:tc>
        <w:tc>
          <w:tcPr>
            <w:tcW w:w="9450" w:type="dxa"/>
            <w:tcBorders/>
            <w:vAlign w:val="center"/>
          </w:tcPr>
          <w:p>
            <w:pPr>
              <w:pStyle w:val="TableContents"/>
              <w:bidi w:val="0"/>
              <w:spacing w:before="0" w:after="283"/>
              <w:jc w:val="left"/>
              <w:rPr/>
            </w:pPr>
            <w:r>
              <w:rPr>
                <w:b/>
              </w:rPr>
              <w:t xml:space="preserve">United States Expansion </w:t>
            </w:r>
            <w:r>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Sharon Lease Agreement 2024 to 2026 plan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Company executed a lease agreement for a site located in Sharon, Pennsylvania, United States (“Sharon Lease Agreement”), and develop up to 110 MW of power capacity. Bitfarms also signed a letter of intent to lease an additional 10 MW site near the 110 MW site, which would bring total site capacity to 120 MW. The agreement includes a five-year lease in an industrialized area, including a 11,200 square feet warehouse with options to renew for a total of 17 years along with an option to purchase at fair market value throughout the lease. The lease has variable lease payments with minimum monthly payments increasing over the term of the lease from $33,000 to $138,000 with annual adjustments beginning after the third year of the agreement. Prior to June 30, 2026, monthly lease payments can fluctuate based on the energized MW.</w:t>
      </w:r>
    </w:p>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finalized the definitive lease agreement and assumed control of the property. With this transaction, the Company acquired a potential 110 MW of electricity capacity, with the transaction providing the Company with an immediate capacity increase of 12 MW of electricity. A total of 30 MW of capacity is slated to come online by the end of the second quarter of 2025 and the remaining 80 MW in 2026, when the installation of electrical infrastructure is expected to be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profit sharing plans from future hosting agreements and/or through proprietary compute power dedicated to BTC, the Mining operations are expected to increase the online Hashrate under management up to 1.6 EH/s. Fully energized for computing power dedicated to Bitcoin Mining, the site could support over 7.0 EH/s with current generation Miners. The cost of developing the 110 MW Bitcoin data center for computational power and the installation of the high voltage lines is estimated to range from $50.0 million to $60.0 million. A concurrent evaluation of developing all or a portion of the site for HPC/AI is in exploratory stages and may impact estimated capital expenditures and the increase in online Hashrate.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Sharon Position as of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placed deposits of $3.2 million with suppliers for construction costs and for electrical components. As of December 31, 2024, property, plant and equipment (“PPE”) included $8.3 million related to the Sharon data center for facility construction and infrastructure equipment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Sharon 2025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energized 12 MW at the Sharon data center after installing 3,300 Miners. The Company is in the registration process for participation in Economic Demand Response and other grid support programs offered in the deregulated PJM market. Participation in these programs includes both demand response and energy arbitrage strategies that the Company plans to develop in the coming months across its PJM portfolio under Bitfarms’ energy program. This program will be critical to maximizing the value of its PJM assets through more effective control of energy prices.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15 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EXPANSION PROJECTS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26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3725" w:type="dxa"/>
            <w:tcBorders/>
            <w:vAlign w:val="center"/>
          </w:tcPr>
          <w:p>
            <w:pPr>
              <w:pStyle w:val="TableContents"/>
              <w:bidi w:val="0"/>
              <w:spacing w:before="0" w:after="283"/>
              <w:jc w:val="left"/>
              <w:rPr/>
            </w:pPr>
            <w:r>
              <w:rPr>
                <w:b/>
              </w:rPr>
              <w:t xml:space="preserve">United States Expansion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Washington State 2024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in connection with the construction of a new 6 MW data center on the Company’s property in Washington State, the Company elected to cancel the lease of a 5 MW data center in the region and transfer Miners from the leased data center to the newly constructed data center. In April 2024, the cancellation of the lease was effective. In June 2024, the Company energized a 3 MW temporary data center until the new 6 MW data center was fully constructed in October 2024. The cost of developing the 6 MW data center totaled $2.1 million, including $0.9 million paid in 2023 to the power supplier for establishing the necessary electricity 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power supplier established the electricity connection allowing the Company, subject to the completion of the civil work, to access 6 MW of hydro power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a mix of approximately 1,200 Bitmain T21 and S21 Miners were installed at the current operating data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2024, the Company installed approximately 700 additional T21 Bitmain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Washington State 2025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upgrade of a portion of its current fleet of Miners in Washington during February 2025 with new T21 Miners. The Washington location is also being evaluated by ASG and WWT for potential conversion to HPC/AI due to its strategic location near a data center cluster and a different tariff rate for HPC/AI data centers that the Company believes would reduce its anticipated energy costs at the site to below $0.03 kWh.</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021"/>
        <w:gridCol w:w="9026"/>
      </w:tblGrid>
      <w:tr>
        <w:trPr/>
        <w:tc>
          <w:tcPr>
            <w:tcW w:w="15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b/>
              </w:rPr>
            </w:pPr>
            <w:r>
              <w:rPr>
                <w:b/>
              </w:rPr>
              <w:t>B.</w:t>
            </w:r>
          </w:p>
        </w:tc>
        <w:tc>
          <w:tcPr>
            <w:tcW w:w="9026" w:type="dxa"/>
            <w:tcBorders/>
            <w:vAlign w:val="center"/>
          </w:tcPr>
          <w:p>
            <w:pPr>
              <w:pStyle w:val="TableContents"/>
              <w:bidi w:val="0"/>
              <w:spacing w:before="0" w:after="283"/>
              <w:jc w:val="both"/>
              <w:rPr>
                <w:b/>
              </w:rPr>
            </w:pPr>
            <w:r>
              <w:rPr>
                <w:b/>
              </w:rPr>
              <w:t>Paraguay Expansion</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Paso Pe 2024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March 2024 to June 2024, construction of the Paso Pe data center and the underground cable connections were completed, the 80 MW capacity transformer was received and installed, and approximately 9,500 Bitmain T21 Miners and approximately 1,800 MicroBT M53S Hydro Miners were housed within a portion of the eight Hydro Containers. Following the commissioning of the substation, in the second quarter of 2024, the Company energized the 70 MW substation and started operating four of five air cooling warehouses and six of eight hydro containers.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installed approximately 1,800 additional Bitmain T21 Miners, completing the Paso Pe expansion. As of July 2024, all five warehouses and eight hydro containers have been fully energized and are actively hashing. In October 2024, the Company added approximately 3,100 Bitmain T21 Miners to the Paso Pe data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developing the expanded 50 MW air-cooled warehouses, engineering and ancillary services for the 20 MW of hydro-cooling capacity, constructing the substation capable of accommodating the total energy requirement, and the installation of the high voltage lines totaled $27.5 million, excluding the cost of the power purchase agreement guarantees required by ANDE, the operator of Paraguay national electricity grid, to secure the monthly electricity purchase payment obligations.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16 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EXPANSION PROJECTS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685"/>
        <w:gridCol w:w="9414"/>
      </w:tblGrid>
      <w:tr>
        <w:trPr/>
        <w:tc>
          <w:tcPr>
            <w:tcW w:w="10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b/>
              </w:rPr>
            </w:pPr>
            <w:r>
              <w:rPr>
                <w:b/>
              </w:rPr>
              <w:t>B.</w:t>
            </w:r>
          </w:p>
        </w:tc>
        <w:tc>
          <w:tcPr>
            <w:tcW w:w="9414" w:type="dxa"/>
            <w:tcBorders/>
            <w:vAlign w:val="center"/>
          </w:tcPr>
          <w:p>
            <w:pPr>
              <w:pStyle w:val="TableContents"/>
              <w:bidi w:val="0"/>
              <w:spacing w:before="0" w:after="283"/>
              <w:jc w:val="both"/>
              <w:rPr/>
            </w:pPr>
            <w:r>
              <w:rPr>
                <w:b/>
              </w:rPr>
              <w:t xml:space="preserve">Paraguay Expansion </w:t>
            </w:r>
            <w:r>
              <w:rPr/>
              <w:t>(Continued)</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Electricity rate update - Paso Pe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July 2024, the Company’s sustainable hydropower has been provided at a cost of approximately 4.4 cents per kWh, before VAT, following the increase in the tariff for Mining activities compared to the previous rate of 3.9 cents per kWh, before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Paso Pe position as of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placed deposits of $0.2 million with suppliers for construction costs and for electrical components, respectively. As of December 31, 2024, PPE included $24.5 million related to the Paso Pe data center for warehouse construction and infrastructure equipment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Yguazu 2024 and 2025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the Company purchased the land for the initially planned 100 MW hydro-powered Yguazu data center to contribute sufficient infrastructure to achieve the Company’s growth targets and for additional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and March 2024, the Company signed purchase agreements for major long-lead equipment and significant contracts including the engineering, procurement and construction contract for the high-voltage interconnection to the ANDE substation and to the transmission line to energize the 100 MW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started construction of the Yguazu data center. In May 2024, the Company amended its power purchase agreement for the Yguazu data center to increase the contracted power from 100 MW to 200 MW commencing on January 1, 2025. In June 2024, the Company purchased land for the planned additional 100 MW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requested to delay the commissioning of the substation by 60 days, which was approved by ANDE in December 2024. The Company has a four-month trial period to ramp up usage of the substation to full capacity after it is first commissioned.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completed the build out of the electrical infrastructure for the first 100 MW. In March 2025, the construction of an additional 50 MW of the Yguazu data center was completed.</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17 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EXPANSION PROJECTS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685"/>
        <w:gridCol w:w="9414"/>
      </w:tblGrid>
      <w:tr>
        <w:trPr/>
        <w:tc>
          <w:tcPr>
            <w:tcW w:w="10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b/>
              </w:rPr>
            </w:pPr>
            <w:r>
              <w:rPr>
                <w:b/>
              </w:rPr>
              <w:t>B.</w:t>
            </w:r>
          </w:p>
        </w:tc>
        <w:tc>
          <w:tcPr>
            <w:tcW w:w="9414" w:type="dxa"/>
            <w:tcBorders/>
            <w:vAlign w:val="center"/>
          </w:tcPr>
          <w:p>
            <w:pPr>
              <w:pStyle w:val="TableContents"/>
              <w:bidi w:val="0"/>
              <w:spacing w:before="0" w:after="283"/>
              <w:jc w:val="both"/>
              <w:rPr/>
            </w:pPr>
            <w:r>
              <w:rPr>
                <w:b/>
              </w:rPr>
              <w:t xml:space="preserve">Paraguay Expansion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Yguazu data center 2025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 announced that it entered into a binding letter of intent to sell its 200 MW site in Yguazu, Paraguay to HIVE (the “Yguazu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the Yguazu Sale closed. HIVE purchasing from Bitfarms its 100% ownership stake of its Yguazu, Paraguay BTC data center and the Company’s loan receivable from its Yguazu, Paraguay subsidiary, Zunz SA (“Backbone Yguazu”), for $63.0 million, with Bitfarms receiving:</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$20.0 million of advance payment made in January 2025 upon signing the letter of intent;</w:t>
            </w:r>
          </w:p>
        </w:tc>
      </w:tr>
    </w:tbl>
    <w:tbl>
      <w:tblPr>
        <w:tblW w:w="5000" w:type="pct"/>
        <w:jc w:val="left"/>
        <w:tblInd w:w="0" w:type="dxa"/>
        <w:tblLayout w:type="fixed"/>
        <w:tblCellMar>
          <w:top w:w="0" w:type="dxa"/>
          <w:left w:w="0" w:type="dxa"/>
          <w:bottom w:w="0" w:type="dxa"/>
          <w:right w:w="0" w:type="dxa"/>
        </w:tblCellMar>
      </w:tblPr>
      <w:tblGrid>
        <w:gridCol w:w="78"/>
        <w:gridCol w:w="349"/>
        <w:gridCol w:w="9778"/>
      </w:tblGrid>
      <w:tr>
        <w:trPr/>
        <w:tc>
          <w:tcPr>
            <w:tcW w:w="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w:t>
            </w:r>
          </w:p>
        </w:tc>
        <w:tc>
          <w:tcPr>
            <w:tcW w:w="9778" w:type="dxa"/>
            <w:tcBorders/>
            <w:vAlign w:val="center"/>
          </w:tcPr>
          <w:p>
            <w:pPr>
              <w:pStyle w:val="TableContents"/>
              <w:bidi w:val="0"/>
              <w:spacing w:before="0" w:after="283"/>
              <w:jc w:val="both"/>
              <w:rPr/>
            </w:pPr>
            <w:r>
              <w:rPr/>
              <w:t>$12.0 million upon closing of this transaction; and</w:t>
            </w:r>
          </w:p>
        </w:tc>
      </w:tr>
    </w:tbl>
    <w:tbl>
      <w:tblPr>
        <w:tblW w:w="5000" w:type="pct"/>
        <w:jc w:val="left"/>
        <w:tblInd w:w="0" w:type="dxa"/>
        <w:tblLayout w:type="fixed"/>
        <w:tblCellMar>
          <w:top w:w="0" w:type="dxa"/>
          <w:left w:w="0" w:type="dxa"/>
          <w:bottom w:w="0" w:type="dxa"/>
          <w:right w:w="0" w:type="dxa"/>
        </w:tblCellMar>
      </w:tblPr>
      <w:tblGrid>
        <w:gridCol w:w="82"/>
        <w:gridCol w:w="371"/>
        <w:gridCol w:w="9752"/>
      </w:tblGrid>
      <w:tr>
        <w:trPr/>
        <w:tc>
          <w:tcPr>
            <w:tcW w:w="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w:t>
            </w:r>
          </w:p>
        </w:tc>
        <w:tc>
          <w:tcPr>
            <w:tcW w:w="9752" w:type="dxa"/>
            <w:tcBorders/>
            <w:vAlign w:val="center"/>
          </w:tcPr>
          <w:p>
            <w:pPr>
              <w:pStyle w:val="TableContents"/>
              <w:bidi w:val="0"/>
              <w:spacing w:before="0" w:after="283"/>
              <w:jc w:val="both"/>
              <w:rPr/>
            </w:pPr>
            <w:r>
              <w:rPr/>
              <w:t>$31.0 million over 6 months following closing.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also relieved the Company of future costs totaling approximately $22.0 assumed by HIVE for a total favorable net cash impact of approximately $85 million.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162"/>
        <w:gridCol w:w="8874"/>
      </w:tblGrid>
      <w:tr>
        <w:trPr/>
        <w:tc>
          <w:tcPr>
            <w:tcW w:w="16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b/>
              </w:rPr>
            </w:pPr>
            <w:r>
              <w:rPr>
                <w:b/>
              </w:rPr>
              <w:t>C.</w:t>
            </w:r>
          </w:p>
        </w:tc>
        <w:tc>
          <w:tcPr>
            <w:tcW w:w="8874" w:type="dxa"/>
            <w:tcBorders/>
            <w:vAlign w:val="center"/>
          </w:tcPr>
          <w:p>
            <w:pPr>
              <w:pStyle w:val="TableContents"/>
              <w:bidi w:val="0"/>
              <w:spacing w:before="0" w:after="283"/>
              <w:jc w:val="both"/>
              <w:rPr>
                <w:b/>
              </w:rPr>
            </w:pPr>
            <w:r>
              <w:rPr>
                <w:b/>
              </w:rPr>
              <w:t>Canada Expansion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Canada 2024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Miner upgrade and expansion initiatives, the Company installed new Miners at its data centers in Canada during 2024 with new Bitmain T21, S21, S21 Hydro Miners and MicroBT WhatsMiner M53S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and April 2024, the Company installed approximately 1,700 Bitmain T21 Miners and 100 MicroBT WhatsMiner M53S Miners at its Farnham data center, adding a net 0.2 EH/s after removing older, less efficient Miners. Separately, between April and June 2024, approximately 25,300 new Miners were installed at the Company’s data centers in Canada, adding a net 1.6 EH/s after removing older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a sale leaseback agreement for the Garlock data center and received net proceeds of $1.7 million. Refer to Note 18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and September 2024, the Company received from Bitmain 2,700 T21 Bitmain Miners at no additional cost and installed those Miners at the Company’s data centers in Canada to replace certain underperforming Miners experiencing overheating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approximately 2,900 T21 Bitmain Miners were installed at the Company’s Magog data center after removing older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Baie-Comeau 2024 and 2025 update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2024 to October 2024, construction of the second 11 MW data center in Baie-Comeau was completed. In January 2025, the energy provider energized the additional 11 MW, increasing the Baie-Comeau data center total to 22 MW.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developing the second 11 MW data center, including the leasehold improvements, construction of a new building and electrical infrastructure with a capacity up to 18 MW, totaled $9.2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Baie-Comeau position as of December 31,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$10.0 million of PPE at the Baie-Comeau data center, including infrastructure equipment that was repurposed from other data centers.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18 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6" w:name="m_008"/>
      <w:bookmarkEnd w:id="96"/>
      <w:r>
        <w:rPr>
          <w:rFonts w:ascii="Times New Roman;Times;Serif" w:hAnsi="Times New Roman;Times;Serif"/>
          <w:b/>
          <w:i w:val="false"/>
          <w:caps w:val="false"/>
          <w:smallCaps w:val="false"/>
          <w:sz w:val="20"/>
        </w:rPr>
        <w:t>8.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&amp; Operational Results</w:t>
      </w:r>
    </w:p>
    <w:p>
      <w:pPr>
        <w:pStyle w:val="TextBody"/>
        <w:bidi w:val="0"/>
        <w:spacing w:before="0" w:after="0"/>
        <w:ind w:left="0" w:right="0" w:hanging="0"/>
        <w:jc w:val="left"/>
        <w:rPr>
          <w:caps w:val="false"/>
          <w:smallCaps w:val="false"/>
        </w:rPr>
      </w:pPr>
      <w:r>
        <w:rPr>
          <w:caps w:val="false"/>
          <w:smallCaps w:val="false"/>
        </w:rPr>
        <w:t> </w:t>
      </w:r>
    </w:p>
    <w:tbl>
      <w:tblPr>
        <w:tblW w:w="11005" w:type="dxa"/>
        <w:jc w:val="left"/>
        <w:tblInd w:w="0" w:type="dxa"/>
        <w:tblLayout w:type="fixed"/>
        <w:tblCellMar>
          <w:top w:w="28" w:type="dxa"/>
          <w:left w:w="0" w:type="dxa"/>
          <w:bottom w:w="28" w:type="dxa"/>
          <w:right w:w="0" w:type="dxa"/>
        </w:tblCellMar>
      </w:tblPr>
      <w:tblGrid>
        <w:gridCol w:w="1550"/>
        <w:gridCol w:w="60"/>
        <w:gridCol w:w="60"/>
        <w:gridCol w:w="755"/>
        <w:gridCol w:w="260"/>
        <w:gridCol w:w="60"/>
        <w:gridCol w:w="60"/>
        <w:gridCol w:w="755"/>
        <w:gridCol w:w="215"/>
        <w:gridCol w:w="60"/>
        <w:gridCol w:w="68"/>
        <w:gridCol w:w="867"/>
        <w:gridCol w:w="95"/>
        <w:gridCol w:w="60"/>
        <w:gridCol w:w="117"/>
        <w:gridCol w:w="893"/>
        <w:gridCol w:w="215"/>
        <w:gridCol w:w="60"/>
        <w:gridCol w:w="60"/>
        <w:gridCol w:w="875"/>
        <w:gridCol w:w="260"/>
        <w:gridCol w:w="60"/>
        <w:gridCol w:w="60"/>
        <w:gridCol w:w="875"/>
        <w:gridCol w:w="215"/>
        <w:gridCol w:w="60"/>
        <w:gridCol w:w="68"/>
        <w:gridCol w:w="867"/>
        <w:gridCol w:w="95"/>
        <w:gridCol w:w="60"/>
        <w:gridCol w:w="117"/>
        <w:gridCol w:w="893"/>
        <w:gridCol w:w="230"/>
      </w:tblGrid>
      <w:tr>
        <w:trPr/>
        <w:tc>
          <w:tcPr>
            <w:tcW w:w="155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4325" w:type="dxa"/>
            <w:gridSpan w:val="14"/>
            <w:tcBorders>
              <w:top w:val="single" w:sz="8" w:space="0" w:color="000000"/>
              <w:bottom w:val="single" w:sz="8" w:space="0" w:color="000000"/>
            </w:tcBorders>
            <w:tcMar>
              <w:bottom w:w="30" w:type="dxa"/>
            </w:tcMar>
            <w:vAlign w:val="center"/>
          </w:tcPr>
          <w:p>
            <w:pPr>
              <w:pStyle w:val="TableContents"/>
              <w:bidi w:val="0"/>
              <w:spacing w:before="0" w:after="283"/>
              <w:jc w:val="center"/>
              <w:rPr>
                <w:b/>
              </w:rPr>
            </w:pPr>
            <w:r>
              <w:rPr>
                <w:b/>
              </w:rPr>
              <w:t>Three months ended December 31,</w:t>
            </w:r>
          </w:p>
        </w:tc>
        <w:tc>
          <w:tcPr>
            <w:tcW w:w="215"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4565" w:type="dxa"/>
            <w:gridSpan w:val="14"/>
            <w:tcBorders>
              <w:top w:val="single" w:sz="8" w:space="0" w:color="000000"/>
              <w:bottom w:val="single" w:sz="8" w:space="0" w:color="000000"/>
            </w:tcBorders>
            <w:tcMar>
              <w:bottom w:w="30" w:type="dxa"/>
            </w:tcMar>
            <w:vAlign w:val="center"/>
          </w:tcPr>
          <w:p>
            <w:pPr>
              <w:pStyle w:val="TableContents"/>
              <w:bidi w:val="0"/>
              <w:spacing w:before="0" w:after="283"/>
              <w:jc w:val="center"/>
              <w:rPr>
                <w:b/>
              </w:rPr>
            </w:pPr>
            <w:r>
              <w:rPr>
                <w:b/>
              </w:rPr>
              <w:t>Year ended December 31,</w:t>
            </w:r>
          </w:p>
        </w:tc>
        <w:tc>
          <w:tcPr>
            <w:tcW w:w="23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r>
      <w:tr>
        <w:trPr/>
        <w:tc>
          <w:tcPr>
            <w:tcW w:w="1550" w:type="dxa"/>
            <w:tcBorders>
              <w:bottom w:val="single" w:sz="8" w:space="0" w:color="000000"/>
            </w:tcBorders>
            <w:tcMar>
              <w:top w:w="0" w:type="dxa"/>
            </w:tcMar>
            <w:vAlign w:val="center"/>
          </w:tcPr>
          <w:p>
            <w:pPr>
              <w:pStyle w:val="TableContents"/>
              <w:bidi w:val="0"/>
              <w:spacing w:before="0" w:after="283"/>
              <w:jc w:val="left"/>
              <w:rPr/>
            </w:pPr>
            <w:r>
              <w:rPr/>
              <w:t>(U.S.$ in thousands except where indicated)</w:t>
            </w:r>
          </w:p>
        </w:tc>
        <w:tc>
          <w:tcPr>
            <w:tcW w:w="60" w:type="dxa"/>
            <w:tcBorders>
              <w:bottom w:val="single" w:sz="8" w:space="0" w:color="000000"/>
            </w:tcBorders>
            <w:tcMar>
              <w:top w:w="0" w:type="dxa"/>
            </w:tcMar>
            <w:vAlign w:val="center"/>
          </w:tcPr>
          <w:p>
            <w:pPr>
              <w:pStyle w:val="TableContents"/>
              <w:bidi w:val="0"/>
              <w:spacing w:before="0" w:after="283"/>
              <w:jc w:val="right"/>
              <w:rPr/>
            </w:pPr>
            <w:r>
              <w:rPr/>
              <w:t> </w:t>
            </w:r>
          </w:p>
        </w:tc>
        <w:tc>
          <w:tcPr>
            <w:tcW w:w="815" w:type="dxa"/>
            <w:gridSpan w:val="2"/>
            <w:tcBorders>
              <w:bottom w:val="single" w:sz="8" w:space="0" w:color="000000"/>
            </w:tcBorders>
            <w:tcMar>
              <w:top w:w="0" w:type="dxa"/>
            </w:tcMar>
            <w:vAlign w:val="center"/>
          </w:tcPr>
          <w:p>
            <w:pPr>
              <w:pStyle w:val="TableContents"/>
              <w:bidi w:val="0"/>
              <w:spacing w:before="0" w:after="283"/>
              <w:jc w:val="right"/>
              <w:rPr>
                <w:b/>
              </w:rPr>
            </w:pPr>
            <w:r>
              <w:rPr>
                <w:b/>
              </w:rPr>
              <w:t>2024</w:t>
            </w:r>
          </w:p>
        </w:tc>
        <w:tc>
          <w:tcPr>
            <w:tcW w:w="260" w:type="dxa"/>
            <w:tcBorders>
              <w:bottom w:val="single" w:sz="8" w:space="0" w:color="000000"/>
            </w:tcBorders>
            <w:tcMar>
              <w:top w:w="0" w:type="dxa"/>
              <w:bottom w:w="30" w:type="dxa"/>
            </w:tcMar>
            <w:vAlign w:val="center"/>
          </w:tcPr>
          <w:p>
            <w:pPr>
              <w:pStyle w:val="TableContents"/>
              <w:bidi w:val="0"/>
              <w:spacing w:before="0" w:after="283"/>
              <w:jc w:val="right"/>
              <w:rPr/>
            </w:pPr>
            <w:r>
              <w:rPr/>
              <w:t> </w:t>
            </w:r>
          </w:p>
        </w:tc>
        <w:tc>
          <w:tcPr>
            <w:tcW w:w="60" w:type="dxa"/>
            <w:tcBorders>
              <w:bottom w:val="single" w:sz="8" w:space="0" w:color="000000"/>
            </w:tcBorders>
            <w:tcMar>
              <w:top w:w="0" w:type="dxa"/>
            </w:tcMar>
            <w:vAlign w:val="center"/>
          </w:tcPr>
          <w:p>
            <w:pPr>
              <w:pStyle w:val="TableContents"/>
              <w:bidi w:val="0"/>
              <w:spacing w:before="0" w:after="283"/>
              <w:jc w:val="right"/>
              <w:rPr/>
            </w:pPr>
            <w:r>
              <w:rPr/>
              <w:t> </w:t>
            </w:r>
          </w:p>
        </w:tc>
        <w:tc>
          <w:tcPr>
            <w:tcW w:w="815" w:type="dxa"/>
            <w:gridSpan w:val="2"/>
            <w:tcBorders>
              <w:bottom w:val="single" w:sz="8" w:space="0" w:color="000000"/>
            </w:tcBorders>
            <w:tcMar>
              <w:top w:w="0" w:type="dxa"/>
            </w:tcMar>
            <w:vAlign w:val="center"/>
          </w:tcPr>
          <w:p>
            <w:pPr>
              <w:pStyle w:val="TableContents"/>
              <w:bidi w:val="0"/>
              <w:spacing w:before="0" w:after="283"/>
              <w:jc w:val="right"/>
              <w:rPr/>
            </w:pPr>
            <w:r>
              <w:rPr/>
              <w:t>2023</w:t>
            </w:r>
          </w:p>
        </w:tc>
        <w:tc>
          <w:tcPr>
            <w:tcW w:w="215" w:type="dxa"/>
            <w:tcBorders>
              <w:bottom w:val="single" w:sz="8" w:space="0" w:color="000000"/>
            </w:tcBorders>
            <w:tcMar>
              <w:top w:w="0" w:type="dxa"/>
              <w:bottom w:w="30" w:type="dxa"/>
            </w:tcMar>
            <w:vAlign w:val="center"/>
          </w:tcPr>
          <w:p>
            <w:pPr>
              <w:pStyle w:val="TableContents"/>
              <w:bidi w:val="0"/>
              <w:spacing w:before="0" w:after="283"/>
              <w:jc w:val="right"/>
              <w:rPr/>
            </w:pPr>
            <w:r>
              <w:rPr/>
              <w:t> </w:t>
            </w:r>
          </w:p>
        </w:tc>
        <w:tc>
          <w:tcPr>
            <w:tcW w:w="60" w:type="dxa"/>
            <w:tcBorders>
              <w:bottom w:val="single" w:sz="8" w:space="0" w:color="000000"/>
            </w:tcBorders>
            <w:tcMar>
              <w:top w:w="0" w:type="dxa"/>
            </w:tcMar>
            <w:vAlign w:val="center"/>
          </w:tcPr>
          <w:p>
            <w:pPr>
              <w:pStyle w:val="TableContents"/>
              <w:bidi w:val="0"/>
              <w:spacing w:before="0" w:after="283"/>
              <w:jc w:val="right"/>
              <w:rPr/>
            </w:pPr>
            <w:r>
              <w:rPr/>
              <w:t> </w:t>
            </w:r>
          </w:p>
        </w:tc>
        <w:tc>
          <w:tcPr>
            <w:tcW w:w="935" w:type="dxa"/>
            <w:gridSpan w:val="2"/>
            <w:tcBorders>
              <w:bottom w:val="single" w:sz="8" w:space="0" w:color="000000"/>
            </w:tcBorders>
            <w:tcMar>
              <w:top w:w="0" w:type="dxa"/>
            </w:tcMar>
            <w:vAlign w:val="center"/>
          </w:tcPr>
          <w:p>
            <w:pPr>
              <w:pStyle w:val="TableContents"/>
              <w:bidi w:val="0"/>
              <w:spacing w:before="0" w:after="283"/>
              <w:jc w:val="right"/>
              <w:rPr/>
            </w:pPr>
            <w:r>
              <w:rPr/>
              <w:t>$ Change</w:t>
            </w:r>
          </w:p>
        </w:tc>
        <w:tc>
          <w:tcPr>
            <w:tcW w:w="95" w:type="dxa"/>
            <w:tcBorders>
              <w:bottom w:val="single" w:sz="8" w:space="0" w:color="000000"/>
            </w:tcBorders>
            <w:tcMar>
              <w:top w:w="0" w:type="dxa"/>
              <w:bottom w:w="30" w:type="dxa"/>
            </w:tcMar>
            <w:vAlign w:val="center"/>
          </w:tcPr>
          <w:p>
            <w:pPr>
              <w:pStyle w:val="TableContents"/>
              <w:bidi w:val="0"/>
              <w:spacing w:before="0" w:after="283"/>
              <w:jc w:val="right"/>
              <w:rPr/>
            </w:pPr>
            <w:r>
              <w:rPr/>
              <w:t> </w:t>
            </w:r>
          </w:p>
        </w:tc>
        <w:tc>
          <w:tcPr>
            <w:tcW w:w="60" w:type="dxa"/>
            <w:tcBorders>
              <w:bottom w:val="single" w:sz="8" w:space="0" w:color="000000"/>
            </w:tcBorders>
            <w:tcMar>
              <w:top w:w="0" w:type="dxa"/>
            </w:tcMar>
            <w:vAlign w:val="center"/>
          </w:tcPr>
          <w:p>
            <w:pPr>
              <w:pStyle w:val="TableContents"/>
              <w:bidi w:val="0"/>
              <w:spacing w:before="0" w:after="283"/>
              <w:jc w:val="right"/>
              <w:rPr/>
            </w:pPr>
            <w:r>
              <w:rPr/>
              <w:t> </w:t>
            </w:r>
          </w:p>
        </w:tc>
        <w:tc>
          <w:tcPr>
            <w:tcW w:w="1010" w:type="dxa"/>
            <w:gridSpan w:val="2"/>
            <w:tcBorders>
              <w:bottom w:val="single" w:sz="8" w:space="0" w:color="000000"/>
            </w:tcBorders>
            <w:tcMar>
              <w:top w:w="0" w:type="dxa"/>
            </w:tcMar>
            <w:vAlign w:val="center"/>
          </w:tcPr>
          <w:p>
            <w:pPr>
              <w:pStyle w:val="TableContents"/>
              <w:bidi w:val="0"/>
              <w:spacing w:before="0" w:after="283"/>
              <w:jc w:val="right"/>
              <w:rPr/>
            </w:pPr>
            <w:r>
              <w:rPr/>
              <w:t>% Change</w:t>
            </w:r>
          </w:p>
        </w:tc>
        <w:tc>
          <w:tcPr>
            <w:tcW w:w="215" w:type="dxa"/>
            <w:tcBorders>
              <w:bottom w:val="single" w:sz="8" w:space="0" w:color="000000"/>
            </w:tcBorders>
            <w:tcMar>
              <w:top w:w="0" w:type="dxa"/>
              <w:bottom w:w="30" w:type="dxa"/>
            </w:tcMar>
            <w:vAlign w:val="center"/>
          </w:tcPr>
          <w:p>
            <w:pPr>
              <w:pStyle w:val="TableContents"/>
              <w:bidi w:val="0"/>
              <w:spacing w:before="0" w:after="283"/>
              <w:jc w:val="right"/>
              <w:rPr/>
            </w:pPr>
            <w:r>
              <w:rPr/>
              <w:t> </w:t>
            </w:r>
          </w:p>
        </w:tc>
        <w:tc>
          <w:tcPr>
            <w:tcW w:w="60" w:type="dxa"/>
            <w:tcBorders>
              <w:bottom w:val="single" w:sz="8" w:space="0" w:color="000000"/>
            </w:tcBorders>
            <w:tcMar>
              <w:top w:w="0" w:type="dxa"/>
            </w:tcMar>
            <w:vAlign w:val="center"/>
          </w:tcPr>
          <w:p>
            <w:pPr>
              <w:pStyle w:val="TableContents"/>
              <w:bidi w:val="0"/>
              <w:spacing w:before="0" w:after="283"/>
              <w:jc w:val="right"/>
              <w:rPr/>
            </w:pPr>
            <w:r>
              <w:rPr/>
              <w:t> </w:t>
            </w:r>
          </w:p>
        </w:tc>
        <w:tc>
          <w:tcPr>
            <w:tcW w:w="935" w:type="dxa"/>
            <w:gridSpan w:val="2"/>
            <w:tcBorders>
              <w:bottom w:val="single" w:sz="8" w:space="0" w:color="000000"/>
            </w:tcBorders>
            <w:tcMar>
              <w:top w:w="0" w:type="dxa"/>
            </w:tcMar>
            <w:vAlign w:val="center"/>
          </w:tcPr>
          <w:p>
            <w:pPr>
              <w:pStyle w:val="TableContents"/>
              <w:bidi w:val="0"/>
              <w:spacing w:before="0" w:after="283"/>
              <w:jc w:val="right"/>
              <w:rPr>
                <w:b/>
              </w:rPr>
            </w:pPr>
            <w:r>
              <w:rPr>
                <w:b/>
              </w:rPr>
              <w:t>2024</w:t>
            </w:r>
          </w:p>
        </w:tc>
        <w:tc>
          <w:tcPr>
            <w:tcW w:w="260" w:type="dxa"/>
            <w:tcBorders>
              <w:bottom w:val="single" w:sz="8" w:space="0" w:color="000000"/>
            </w:tcBorders>
            <w:tcMar>
              <w:top w:w="0" w:type="dxa"/>
              <w:bottom w:w="30" w:type="dxa"/>
            </w:tcMar>
            <w:vAlign w:val="center"/>
          </w:tcPr>
          <w:p>
            <w:pPr>
              <w:pStyle w:val="TableContents"/>
              <w:bidi w:val="0"/>
              <w:spacing w:before="0" w:after="283"/>
              <w:jc w:val="right"/>
              <w:rPr/>
            </w:pPr>
            <w:r>
              <w:rPr/>
              <w:t> </w:t>
            </w:r>
          </w:p>
        </w:tc>
        <w:tc>
          <w:tcPr>
            <w:tcW w:w="60" w:type="dxa"/>
            <w:tcBorders>
              <w:bottom w:val="single" w:sz="8" w:space="0" w:color="000000"/>
            </w:tcBorders>
            <w:tcMar>
              <w:top w:w="0" w:type="dxa"/>
            </w:tcMar>
            <w:vAlign w:val="center"/>
          </w:tcPr>
          <w:p>
            <w:pPr>
              <w:pStyle w:val="TableContents"/>
              <w:bidi w:val="0"/>
              <w:spacing w:before="0" w:after="283"/>
              <w:jc w:val="right"/>
              <w:rPr/>
            </w:pPr>
            <w:r>
              <w:rPr/>
              <w:t> </w:t>
            </w:r>
          </w:p>
        </w:tc>
        <w:tc>
          <w:tcPr>
            <w:tcW w:w="935" w:type="dxa"/>
            <w:gridSpan w:val="2"/>
            <w:tcBorders>
              <w:bottom w:val="single" w:sz="8" w:space="0" w:color="000000"/>
            </w:tcBorders>
            <w:tcMar>
              <w:top w:w="0" w:type="dxa"/>
            </w:tcMar>
            <w:vAlign w:val="center"/>
          </w:tcPr>
          <w:p>
            <w:pPr>
              <w:pStyle w:val="TableContents"/>
              <w:bidi w:val="0"/>
              <w:spacing w:before="0" w:after="283"/>
              <w:jc w:val="right"/>
              <w:rPr/>
            </w:pPr>
            <w:r>
              <w:rPr/>
              <w:t>2023</w:t>
            </w:r>
          </w:p>
        </w:tc>
        <w:tc>
          <w:tcPr>
            <w:tcW w:w="215" w:type="dxa"/>
            <w:tcBorders>
              <w:bottom w:val="single" w:sz="8" w:space="0" w:color="000000"/>
            </w:tcBorders>
            <w:tcMar>
              <w:top w:w="0" w:type="dxa"/>
              <w:bottom w:w="30" w:type="dxa"/>
            </w:tcMar>
            <w:vAlign w:val="center"/>
          </w:tcPr>
          <w:p>
            <w:pPr>
              <w:pStyle w:val="TableContents"/>
              <w:bidi w:val="0"/>
              <w:spacing w:before="0" w:after="283"/>
              <w:jc w:val="right"/>
              <w:rPr/>
            </w:pPr>
            <w:r>
              <w:rPr/>
              <w:t> </w:t>
            </w:r>
          </w:p>
        </w:tc>
        <w:tc>
          <w:tcPr>
            <w:tcW w:w="60" w:type="dxa"/>
            <w:tcBorders>
              <w:bottom w:val="single" w:sz="8" w:space="0" w:color="000000"/>
            </w:tcBorders>
            <w:tcMar>
              <w:top w:w="0" w:type="dxa"/>
            </w:tcMar>
            <w:vAlign w:val="center"/>
          </w:tcPr>
          <w:p>
            <w:pPr>
              <w:pStyle w:val="TableContents"/>
              <w:bidi w:val="0"/>
              <w:spacing w:before="0" w:after="283"/>
              <w:jc w:val="right"/>
              <w:rPr/>
            </w:pPr>
            <w:r>
              <w:rPr/>
              <w:t> </w:t>
            </w:r>
          </w:p>
        </w:tc>
        <w:tc>
          <w:tcPr>
            <w:tcW w:w="935" w:type="dxa"/>
            <w:gridSpan w:val="2"/>
            <w:tcBorders>
              <w:bottom w:val="single" w:sz="8" w:space="0" w:color="000000"/>
            </w:tcBorders>
            <w:tcMar>
              <w:top w:w="0" w:type="dxa"/>
            </w:tcMar>
            <w:vAlign w:val="center"/>
          </w:tcPr>
          <w:p>
            <w:pPr>
              <w:pStyle w:val="TableContents"/>
              <w:bidi w:val="0"/>
              <w:spacing w:before="0" w:after="283"/>
              <w:jc w:val="right"/>
              <w:rPr/>
            </w:pPr>
            <w:r>
              <w:rPr/>
              <w:t>$ Change</w:t>
            </w:r>
          </w:p>
        </w:tc>
        <w:tc>
          <w:tcPr>
            <w:tcW w:w="95" w:type="dxa"/>
            <w:tcBorders>
              <w:bottom w:val="single" w:sz="8" w:space="0" w:color="000000"/>
            </w:tcBorders>
            <w:tcMar>
              <w:top w:w="0" w:type="dxa"/>
              <w:bottom w:w="30" w:type="dxa"/>
            </w:tcMar>
            <w:vAlign w:val="center"/>
          </w:tcPr>
          <w:p>
            <w:pPr>
              <w:pStyle w:val="TableContents"/>
              <w:bidi w:val="0"/>
              <w:spacing w:before="0" w:after="283"/>
              <w:jc w:val="right"/>
              <w:rPr/>
            </w:pPr>
            <w:r>
              <w:rPr/>
              <w:t> </w:t>
            </w:r>
          </w:p>
        </w:tc>
        <w:tc>
          <w:tcPr>
            <w:tcW w:w="60" w:type="dxa"/>
            <w:tcBorders>
              <w:bottom w:val="single" w:sz="8" w:space="0" w:color="000000"/>
            </w:tcBorders>
            <w:tcMar>
              <w:top w:w="0" w:type="dxa"/>
            </w:tcMar>
            <w:vAlign w:val="center"/>
          </w:tcPr>
          <w:p>
            <w:pPr>
              <w:pStyle w:val="TableContents"/>
              <w:bidi w:val="0"/>
              <w:spacing w:before="0" w:after="283"/>
              <w:jc w:val="right"/>
              <w:rPr/>
            </w:pPr>
            <w:r>
              <w:rPr/>
              <w:t> </w:t>
            </w:r>
          </w:p>
        </w:tc>
        <w:tc>
          <w:tcPr>
            <w:tcW w:w="1010" w:type="dxa"/>
            <w:gridSpan w:val="2"/>
            <w:tcBorders>
              <w:bottom w:val="single" w:sz="8" w:space="0" w:color="000000"/>
            </w:tcBorders>
            <w:tcMar>
              <w:top w:w="0" w:type="dxa"/>
            </w:tcMar>
            <w:vAlign w:val="center"/>
          </w:tcPr>
          <w:p>
            <w:pPr>
              <w:pStyle w:val="TableContents"/>
              <w:bidi w:val="0"/>
              <w:spacing w:before="0" w:after="283"/>
              <w:jc w:val="right"/>
              <w:rPr/>
            </w:pPr>
            <w:r>
              <w:rPr/>
              <w:t>% Change</w:t>
            </w:r>
          </w:p>
        </w:tc>
        <w:tc>
          <w:tcPr>
            <w:tcW w:w="230" w:type="dxa"/>
            <w:tcBorders>
              <w:bottom w:val="single" w:sz="8" w:space="0" w:color="000000"/>
            </w:tcBorders>
            <w:tcMar>
              <w:top w:w="0" w:type="dxa"/>
              <w:bottom w:w="30" w:type="dxa"/>
            </w:tcMar>
            <w:vAlign w:val="center"/>
          </w:tcPr>
          <w:p>
            <w:pPr>
              <w:pStyle w:val="TableContents"/>
              <w:bidi w:val="0"/>
              <w:spacing w:before="0" w:after="283"/>
              <w:jc w:val="right"/>
              <w:rPr/>
            </w:pPr>
            <w:r>
              <w:rPr/>
              <w:t> </w:t>
            </w:r>
          </w:p>
        </w:tc>
      </w:tr>
      <w:tr>
        <w:trPr/>
        <w:tc>
          <w:tcPr>
            <w:tcW w:w="1550" w:type="dxa"/>
            <w:tcBorders/>
            <w:shd w:fill="CCEEFF" w:val="clear"/>
            <w:tcMar>
              <w:top w:w="0" w:type="dxa"/>
              <w:bottom w:w="0" w:type="dxa"/>
            </w:tcMar>
            <w:vAlign w:val="center"/>
          </w:tcPr>
          <w:p>
            <w:pPr>
              <w:pStyle w:val="TableContents"/>
              <w:bidi w:val="0"/>
              <w:spacing w:before="0" w:after="283"/>
              <w:jc w:val="left"/>
              <w:rPr>
                <w:b/>
              </w:rPr>
            </w:pPr>
            <w:r>
              <w:rPr>
                <w:b/>
              </w:rPr>
              <w:t>Revenues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56,163</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46,241</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9,922</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21</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b/>
              </w:rPr>
            </w:pPr>
            <w:r>
              <w:rPr>
                <w:b/>
              </w:rPr>
              <w:t>192,881</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146,366</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46,515</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32</w:t>
            </w:r>
          </w:p>
        </w:tc>
        <w:tc>
          <w:tcPr>
            <w:tcW w:w="230" w:type="dxa"/>
            <w:tcBorders/>
            <w:shd w:fill="CCEEFF" w:val="clear"/>
            <w:tcMar>
              <w:top w:w="0" w:type="dxa"/>
              <w:bottom w:w="0" w:type="dxa"/>
            </w:tcMar>
            <w:vAlign w:val="center"/>
          </w:tcPr>
          <w:p>
            <w:pPr>
              <w:pStyle w:val="TableContents"/>
              <w:bidi w:val="0"/>
              <w:spacing w:before="0" w:after="283"/>
              <w:jc w:val="left"/>
              <w:rPr/>
            </w:pPr>
            <w:r>
              <w:rPr/>
              <w:t>%</w:t>
            </w:r>
          </w:p>
        </w:tc>
      </w:tr>
      <w:tr>
        <w:trPr/>
        <w:tc>
          <w:tcPr>
            <w:tcW w:w="1550" w:type="dxa"/>
            <w:tcBorders>
              <w:bottom w:val="single" w:sz="8" w:space="0" w:color="000000"/>
            </w:tcBorders>
            <w:shd w:fill="FFFFFF" w:val="clear"/>
            <w:tcMar>
              <w:top w:w="0" w:type="dxa"/>
            </w:tcMar>
            <w:vAlign w:val="center"/>
          </w:tcPr>
          <w:p>
            <w:pPr>
              <w:pStyle w:val="TableContents"/>
              <w:bidi w:val="0"/>
              <w:spacing w:before="0" w:after="283"/>
              <w:jc w:val="left"/>
              <w:rPr/>
            </w:pPr>
            <w:r>
              <w:rPr/>
              <w:t>Cost of revenues</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(54,776</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(44,484</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(10,292</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23</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(225,240</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(167,868</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(57,372</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34</w:t>
            </w:r>
          </w:p>
        </w:tc>
        <w:tc>
          <w:tcPr>
            <w:tcW w:w="23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r>
      <w:tr>
        <w:trPr/>
        <w:tc>
          <w:tcPr>
            <w:tcW w:w="1550" w:type="dxa"/>
            <w:tcBorders/>
            <w:shd w:fill="CCEEFF" w:val="clear"/>
            <w:tcMar>
              <w:top w:w="0" w:type="dxa"/>
              <w:bottom w:w="0" w:type="dxa"/>
            </w:tcMar>
            <w:vAlign w:val="center"/>
          </w:tcPr>
          <w:p>
            <w:pPr>
              <w:pStyle w:val="TableContents"/>
              <w:bidi w:val="0"/>
              <w:spacing w:before="0" w:after="283"/>
              <w:jc w:val="left"/>
              <w:rPr>
                <w:b/>
              </w:rPr>
            </w:pPr>
            <w:r>
              <w:rPr>
                <w:b/>
              </w:rPr>
              <w:t>Gross (loss) profit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1,387</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1,757</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(370</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(21</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b/>
              </w:rPr>
            </w:pPr>
            <w:r>
              <w:rPr>
                <w:b/>
              </w:rPr>
              <w:t>(32,359</w:t>
            </w:r>
          </w:p>
        </w:tc>
        <w:tc>
          <w:tcPr>
            <w:tcW w:w="260"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(21,502</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(10,857</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50</w:t>
            </w:r>
          </w:p>
        </w:tc>
        <w:tc>
          <w:tcPr>
            <w:tcW w:w="230" w:type="dxa"/>
            <w:tcBorders/>
            <w:shd w:fill="CCEEFF" w:val="clear"/>
            <w:tcMar>
              <w:top w:w="0" w:type="dxa"/>
              <w:bottom w:w="0" w:type="dxa"/>
            </w:tcMar>
            <w:vAlign w:val="center"/>
          </w:tcPr>
          <w:p>
            <w:pPr>
              <w:pStyle w:val="TableContents"/>
              <w:bidi w:val="0"/>
              <w:spacing w:before="0" w:after="283"/>
              <w:jc w:val="left"/>
              <w:rPr/>
            </w:pPr>
            <w:r>
              <w:rPr/>
              <w:t>%</w:t>
            </w:r>
          </w:p>
        </w:tc>
      </w:tr>
      <w:tr>
        <w:trPr/>
        <w:tc>
          <w:tcPr>
            <w:tcW w:w="155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Gross margin </w:t>
            </w:r>
            <w:r>
              <w:rPr>
                <w:rFonts w:ascii="Times New Roman;Times;Serif" w:hAnsi="Times New Roman;Times;Serif"/>
                <w:position w:val="7"/>
                <w:sz w:val="16"/>
                <w:sz w:val="20"/>
              </w:rPr>
              <w:t>(1)</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2</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4</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(17</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(15</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w:t>
            </w:r>
          </w:p>
        </w:tc>
        <w:tc>
          <w:tcPr>
            <w:tcW w:w="23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r>
      <w:tr>
        <w:trPr/>
        <w:tc>
          <w:tcPr>
            <w:tcW w:w="155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 </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 </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 </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 </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 </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 </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 </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 </w:t>
            </w:r>
          </w:p>
        </w:tc>
        <w:tc>
          <w:tcPr>
            <w:tcW w:w="230" w:type="dxa"/>
            <w:tcBorders/>
            <w:shd w:fill="CCEEFF" w:val="clear"/>
            <w:tcMar>
              <w:top w:w="0" w:type="dxa"/>
              <w:bottom w:w="0" w:type="dxa"/>
            </w:tcMar>
            <w:vAlign w:val="center"/>
          </w:tcPr>
          <w:p>
            <w:pPr>
              <w:pStyle w:val="TableContents"/>
              <w:bidi w:val="0"/>
              <w:spacing w:before="0" w:after="283"/>
              <w:jc w:val="left"/>
              <w:rPr/>
            </w:pPr>
            <w:r>
              <w:rPr/>
              <w:t> </w:t>
            </w:r>
          </w:p>
        </w:tc>
      </w:tr>
      <w:tr>
        <w:trPr/>
        <w:tc>
          <w:tcPr>
            <w:tcW w:w="1550" w:type="dxa"/>
            <w:tcBorders/>
            <w:shd w:fill="FFFFFF" w:val="clear"/>
            <w:tcMar>
              <w:top w:w="0" w:type="dxa"/>
              <w:bottom w:w="0" w:type="dxa"/>
            </w:tcMar>
            <w:vAlign w:val="center"/>
          </w:tcPr>
          <w:p>
            <w:pPr>
              <w:pStyle w:val="TableContents"/>
              <w:bidi w:val="0"/>
              <w:spacing w:before="0" w:after="283"/>
              <w:jc w:val="left"/>
              <w:rPr>
                <w:b/>
              </w:rPr>
            </w:pPr>
            <w:r>
              <w:rPr>
                <w:b/>
              </w:rPr>
              <w:t>Operating expenses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 </w:t>
            </w:r>
          </w:p>
        </w:tc>
        <w:tc>
          <w:tcPr>
            <w:tcW w:w="2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 </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 </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 </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pPr>
            <w:r>
              <w:rPr/>
              <w:t> </w:t>
            </w:r>
          </w:p>
        </w:tc>
        <w:tc>
          <w:tcPr>
            <w:tcW w:w="2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pPr>
            <w:r>
              <w:rPr/>
              <w:t> </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 </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 </w:t>
            </w:r>
          </w:p>
        </w:tc>
        <w:tc>
          <w:tcPr>
            <w:tcW w:w="230" w:type="dxa"/>
            <w:tcBorders/>
            <w:shd w:fill="FFFFFF" w:val="clear"/>
            <w:tcMar>
              <w:top w:w="0" w:type="dxa"/>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top w:w="0" w:type="dxa"/>
              <w:bottom w:w="0" w:type="dxa"/>
            </w:tcMar>
            <w:vAlign w:val="center"/>
          </w:tcPr>
          <w:p>
            <w:pPr>
              <w:pStyle w:val="TableContents"/>
              <w:bidi w:val="0"/>
              <w:spacing w:before="0" w:after="283"/>
              <w:jc w:val="left"/>
              <w:rPr/>
            </w:pPr>
            <w:r>
              <w:rPr/>
              <w:t>General and administrative expenses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(18,042</w:t>
            </w:r>
          </w:p>
        </w:tc>
        <w:tc>
          <w:tcPr>
            <w:tcW w:w="260"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(13,405</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(4,637</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35</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b/>
              </w:rPr>
            </w:pPr>
            <w:r>
              <w:rPr>
                <w:b/>
              </w:rPr>
              <w:t>(71,240</w:t>
            </w:r>
          </w:p>
        </w:tc>
        <w:tc>
          <w:tcPr>
            <w:tcW w:w="260"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(39,292</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(31,948</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81</w:t>
            </w:r>
          </w:p>
        </w:tc>
        <w:tc>
          <w:tcPr>
            <w:tcW w:w="230"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550" w:type="dxa"/>
            <w:tcBorders/>
            <w:shd w:fill="FFFFFF" w:val="clear"/>
            <w:tcMar>
              <w:top w:w="0" w:type="dxa"/>
              <w:bottom w:w="0" w:type="dxa"/>
            </w:tcMar>
            <w:vAlign w:val="center"/>
          </w:tcPr>
          <w:p>
            <w:pPr>
              <w:pStyle w:val="TableContents"/>
              <w:bidi w:val="0"/>
              <w:spacing w:before="0" w:after="283"/>
              <w:jc w:val="left"/>
              <w:rPr/>
            </w:pPr>
            <w:r>
              <w:rPr/>
              <w:t>Reversal of revaluation loss on digital assets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w:t>
            </w:r>
          </w:p>
        </w:tc>
        <w:tc>
          <w:tcPr>
            <w:tcW w:w="2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1,183</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(1,183</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(100</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pPr>
            <w:r>
              <w:rPr/>
              <w:t>—</w:t>
            </w:r>
          </w:p>
        </w:tc>
        <w:tc>
          <w:tcPr>
            <w:tcW w:w="2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pPr>
            <w:r>
              <w:rPr/>
              <w:t>2,695</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(2,695</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(100</w:t>
            </w:r>
          </w:p>
        </w:tc>
        <w:tc>
          <w:tcPr>
            <w:tcW w:w="230" w:type="dxa"/>
            <w:tcBorders/>
            <w:shd w:fill="FFFFFF" w:val="clear"/>
            <w:tcMar>
              <w:top w:w="0" w:type="dxa"/>
              <w:bottom w:w="0" w:type="dxa"/>
            </w:tcMar>
            <w:vAlign w:val="center"/>
          </w:tcPr>
          <w:p>
            <w:pPr>
              <w:pStyle w:val="TableContents"/>
              <w:bidi w:val="0"/>
              <w:spacing w:before="0" w:after="283"/>
              <w:ind w:left="0" w:right="0" w:hanging="180"/>
              <w:jc w:val="left"/>
              <w:rPr/>
            </w:pPr>
            <w:r>
              <w:rPr/>
              <w:t>)%</w:t>
            </w:r>
          </w:p>
        </w:tc>
      </w:tr>
      <w:tr>
        <w:trPr/>
        <w:tc>
          <w:tcPr>
            <w:tcW w:w="1550" w:type="dxa"/>
            <w:tcBorders/>
            <w:shd w:fill="CCEEFF" w:val="clear"/>
            <w:tcMar>
              <w:top w:w="0" w:type="dxa"/>
              <w:bottom w:w="0" w:type="dxa"/>
            </w:tcMar>
            <w:vAlign w:val="center"/>
          </w:tcPr>
          <w:p>
            <w:pPr>
              <w:pStyle w:val="TableContents"/>
              <w:bidi w:val="0"/>
              <w:spacing w:before="0" w:after="283"/>
              <w:jc w:val="left"/>
              <w:rPr/>
            </w:pPr>
            <w:r>
              <w:rPr/>
              <w:t>Gain (loss) on disposition of property, plant and equipment and deposits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270</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(2</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272</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b/>
              </w:rPr>
            </w:pPr>
            <w:r>
              <w:rPr>
                <w:b/>
              </w:rPr>
              <w:t>(336</w:t>
            </w:r>
          </w:p>
        </w:tc>
        <w:tc>
          <w:tcPr>
            <w:tcW w:w="260"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(1,778</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1,442</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(81</w:t>
            </w:r>
          </w:p>
        </w:tc>
        <w:tc>
          <w:tcPr>
            <w:tcW w:w="230"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550" w:type="dxa"/>
            <w:tcBorders>
              <w:bottom w:val="single" w:sz="8" w:space="0" w:color="000000"/>
            </w:tcBorders>
            <w:shd w:fill="FFFFFF" w:val="clear"/>
            <w:tcMar>
              <w:top w:w="0" w:type="dxa"/>
            </w:tcMar>
            <w:vAlign w:val="center"/>
          </w:tcPr>
          <w:p>
            <w:pPr>
              <w:pStyle w:val="TableContents"/>
              <w:bidi w:val="0"/>
              <w:spacing w:before="0" w:after="283"/>
              <w:jc w:val="left"/>
              <w:rPr/>
            </w:pPr>
            <w:r>
              <w:rPr/>
              <w:t>Impairment on short-term prepaid deposits, property, plant and equipment and assets held for sale</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(2,270</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2,270</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100</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(3,628</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(12,252</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8,624</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(70</w:t>
            </w:r>
          </w:p>
        </w:tc>
        <w:tc>
          <w:tcPr>
            <w:tcW w:w="23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r>
      <w:tr>
        <w:trPr/>
        <w:tc>
          <w:tcPr>
            <w:tcW w:w="1550" w:type="dxa"/>
            <w:tcBorders/>
            <w:shd w:fill="CCEEFF" w:val="clear"/>
            <w:tcMar>
              <w:top w:w="0" w:type="dxa"/>
              <w:bottom w:w="0" w:type="dxa"/>
            </w:tcMar>
            <w:vAlign w:val="center"/>
          </w:tcPr>
          <w:p>
            <w:pPr>
              <w:pStyle w:val="TableContents"/>
              <w:bidi w:val="0"/>
              <w:spacing w:before="0" w:after="283"/>
              <w:jc w:val="left"/>
              <w:rPr>
                <w:b/>
              </w:rPr>
            </w:pPr>
            <w:r>
              <w:rPr>
                <w:b/>
              </w:rPr>
              <w:t>Operating loss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(16,385</w:t>
            </w:r>
          </w:p>
        </w:tc>
        <w:tc>
          <w:tcPr>
            <w:tcW w:w="260"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(12,737</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(3,648</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29</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b/>
              </w:rPr>
            </w:pPr>
            <w:r>
              <w:rPr>
                <w:b/>
              </w:rPr>
              <w:t>(107,563</w:t>
            </w:r>
          </w:p>
        </w:tc>
        <w:tc>
          <w:tcPr>
            <w:tcW w:w="260"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(72,129</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(35,434</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49</w:t>
            </w:r>
          </w:p>
        </w:tc>
        <w:tc>
          <w:tcPr>
            <w:tcW w:w="230" w:type="dxa"/>
            <w:tcBorders/>
            <w:shd w:fill="CCEEFF" w:val="clear"/>
            <w:tcMar>
              <w:top w:w="0" w:type="dxa"/>
              <w:bottom w:w="0" w:type="dxa"/>
            </w:tcMar>
            <w:vAlign w:val="center"/>
          </w:tcPr>
          <w:p>
            <w:pPr>
              <w:pStyle w:val="TableContents"/>
              <w:bidi w:val="0"/>
              <w:spacing w:before="0" w:after="283"/>
              <w:jc w:val="left"/>
              <w:rPr/>
            </w:pPr>
            <w:r>
              <w:rPr/>
              <w:t>%</w:t>
            </w:r>
          </w:p>
        </w:tc>
      </w:tr>
      <w:tr>
        <w:trPr/>
        <w:tc>
          <w:tcPr>
            <w:tcW w:w="155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Operating margin </w:t>
            </w:r>
            <w:r>
              <w:rPr>
                <w:rFonts w:ascii="Times New Roman;Times;Serif" w:hAnsi="Times New Roman;Times;Serif"/>
                <w:position w:val="7"/>
                <w:sz w:val="16"/>
                <w:sz w:val="20"/>
              </w:rPr>
              <w:t>(1)</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(29</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(28</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(56</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(49</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w:t>
            </w:r>
          </w:p>
        </w:tc>
        <w:tc>
          <w:tcPr>
            <w:tcW w:w="23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r>
      <w:tr>
        <w:trPr/>
        <w:tc>
          <w:tcPr>
            <w:tcW w:w="155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 </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 </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 </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 </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 </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 </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 </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 </w:t>
            </w:r>
          </w:p>
        </w:tc>
        <w:tc>
          <w:tcPr>
            <w:tcW w:w="23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r>
      <w:tr>
        <w:trPr/>
        <w:tc>
          <w:tcPr>
            <w:tcW w:w="1550" w:type="dxa"/>
            <w:tcBorders>
              <w:bottom w:val="single" w:sz="8" w:space="0" w:color="000000"/>
            </w:tcBorders>
            <w:shd w:fill="FFFFFF" w:val="clear"/>
            <w:tcMar>
              <w:top w:w="0" w:type="dxa"/>
            </w:tcMar>
            <w:vAlign w:val="center"/>
          </w:tcPr>
          <w:p>
            <w:pPr>
              <w:pStyle w:val="TableContents"/>
              <w:bidi w:val="0"/>
              <w:spacing w:before="0" w:after="283"/>
              <w:jc w:val="left"/>
              <w:rPr/>
            </w:pPr>
            <w:r>
              <w:rPr/>
              <w:t>Net financial income (expenses)</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21,843</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(49,686</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71,529</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144</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39,210</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(37,194</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76,404</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205</w:t>
            </w:r>
          </w:p>
        </w:tc>
        <w:tc>
          <w:tcPr>
            <w:tcW w:w="23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r>
      <w:tr>
        <w:trPr/>
        <w:tc>
          <w:tcPr>
            <w:tcW w:w="1550" w:type="dxa"/>
            <w:tcBorders>
              <w:bottom w:val="single" w:sz="8" w:space="0" w:color="000000"/>
            </w:tcBorders>
            <w:shd w:fill="CCEEFF" w:val="clear"/>
            <w:tcMar>
              <w:top w:w="0" w:type="dxa"/>
            </w:tcMar>
            <w:vAlign w:val="center"/>
          </w:tcPr>
          <w:p>
            <w:pPr>
              <w:pStyle w:val="TableContents"/>
              <w:bidi w:val="0"/>
              <w:spacing w:before="0" w:after="283"/>
              <w:jc w:val="left"/>
              <w:rPr>
                <w:b/>
              </w:rPr>
            </w:pPr>
            <w:r>
              <w:rPr>
                <w:b/>
              </w:rPr>
              <w:t>Net (loss) income before income taxes</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top w:w="0" w:type="dxa"/>
              <w:bottom w:w="30" w:type="dxa"/>
            </w:tcMar>
            <w:vAlign w:val="center"/>
          </w:tcPr>
          <w:p>
            <w:pPr>
              <w:pStyle w:val="TableContents"/>
              <w:bidi w:val="0"/>
              <w:spacing w:before="0" w:after="283"/>
              <w:jc w:val="right"/>
              <w:rPr>
                <w:b/>
              </w:rPr>
            </w:pPr>
            <w:r>
              <w:rPr>
                <w:b/>
              </w:rPr>
              <w:t>5,458</w:t>
            </w:r>
          </w:p>
        </w:tc>
        <w:tc>
          <w:tcPr>
            <w:tcW w:w="2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(62,423</w:t>
            </w:r>
          </w:p>
        </w:tc>
        <w:tc>
          <w:tcPr>
            <w:tcW w:w="21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67,881</w:t>
            </w:r>
          </w:p>
        </w:tc>
        <w:tc>
          <w:tcPr>
            <w:tcW w:w="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109</w:t>
            </w:r>
          </w:p>
        </w:tc>
        <w:tc>
          <w:tcPr>
            <w:tcW w:w="21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30" w:type="dxa"/>
            </w:tcMar>
            <w:vAlign w:val="center"/>
          </w:tcPr>
          <w:p>
            <w:pPr>
              <w:pStyle w:val="TableContents"/>
              <w:bidi w:val="0"/>
              <w:spacing w:before="0" w:after="283"/>
              <w:jc w:val="right"/>
              <w:rPr>
                <w:b/>
              </w:rPr>
            </w:pPr>
            <w:r>
              <w:rPr>
                <w:b/>
              </w:rPr>
              <w:t>(68,353</w:t>
            </w:r>
          </w:p>
        </w:tc>
        <w:tc>
          <w:tcPr>
            <w:tcW w:w="260" w:type="dxa"/>
            <w:tcBorders>
              <w:bottom w:val="single" w:sz="8" w:space="0" w:color="000000"/>
            </w:tcBorders>
            <w:shd w:fill="CCEE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(109,323</w:t>
            </w:r>
          </w:p>
        </w:tc>
        <w:tc>
          <w:tcPr>
            <w:tcW w:w="21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40,970</w:t>
            </w:r>
          </w:p>
        </w:tc>
        <w:tc>
          <w:tcPr>
            <w:tcW w:w="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(37</w:t>
            </w:r>
          </w:p>
        </w:tc>
        <w:tc>
          <w:tcPr>
            <w:tcW w:w="23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w:t>
            </w:r>
          </w:p>
        </w:tc>
      </w:tr>
      <w:tr>
        <w:trPr/>
        <w:tc>
          <w:tcPr>
            <w:tcW w:w="1550" w:type="dxa"/>
            <w:tcBorders>
              <w:bottom w:val="single" w:sz="8" w:space="0" w:color="000000"/>
            </w:tcBorders>
            <w:shd w:fill="CCEEFF" w:val="clear"/>
            <w:tcMar>
              <w:top w:w="0" w:type="dxa"/>
            </w:tcMar>
            <w:vAlign w:val="center"/>
          </w:tcPr>
          <w:p>
            <w:pPr>
              <w:pStyle w:val="TableContents"/>
              <w:bidi w:val="0"/>
              <w:spacing w:before="0" w:after="283"/>
              <w:jc w:val="left"/>
              <w:rPr/>
            </w:pPr>
            <w:r>
              <w:rPr/>
              <w:t>Income tax recovery</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top w:w="0" w:type="dxa"/>
              <w:bottom w:w="30" w:type="dxa"/>
            </w:tcMar>
            <w:vAlign w:val="center"/>
          </w:tcPr>
          <w:p>
            <w:pPr>
              <w:pStyle w:val="TableContents"/>
              <w:bidi w:val="0"/>
              <w:spacing w:before="0" w:after="283"/>
              <w:jc w:val="right"/>
              <w:rPr>
                <w:b/>
              </w:rPr>
            </w:pPr>
            <w:r>
              <w:rPr>
                <w:b/>
              </w:rPr>
              <w:t>9,707</w:t>
            </w:r>
          </w:p>
        </w:tc>
        <w:tc>
          <w:tcPr>
            <w:tcW w:w="2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378</w:t>
            </w:r>
          </w:p>
        </w:tc>
        <w:tc>
          <w:tcPr>
            <w:tcW w:w="21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9,329</w:t>
            </w:r>
          </w:p>
        </w:tc>
        <w:tc>
          <w:tcPr>
            <w:tcW w:w="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top w:w="0" w:type="dxa"/>
              <w:bottom w:w="3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1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30" w:type="dxa"/>
            </w:tcMar>
            <w:vAlign w:val="center"/>
          </w:tcPr>
          <w:p>
            <w:pPr>
              <w:pStyle w:val="TableContents"/>
              <w:bidi w:val="0"/>
              <w:spacing w:before="0" w:after="283"/>
              <w:jc w:val="right"/>
              <w:rPr>
                <w:b/>
              </w:rPr>
            </w:pPr>
            <w:r>
              <w:rPr>
                <w:b/>
              </w:rPr>
              <w:t>14,290</w:t>
            </w:r>
          </w:p>
        </w:tc>
        <w:tc>
          <w:tcPr>
            <w:tcW w:w="2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401</w:t>
            </w:r>
          </w:p>
        </w:tc>
        <w:tc>
          <w:tcPr>
            <w:tcW w:w="21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13,889</w:t>
            </w:r>
          </w:p>
        </w:tc>
        <w:tc>
          <w:tcPr>
            <w:tcW w:w="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top w:w="0" w:type="dxa"/>
              <w:bottom w:w="3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r>
      <w:tr>
        <w:trPr/>
        <w:tc>
          <w:tcPr>
            <w:tcW w:w="1550" w:type="dxa"/>
            <w:tcBorders>
              <w:bottom w:val="single" w:sz="12" w:space="0" w:color="000000"/>
            </w:tcBorders>
            <w:shd w:fill="FFFFFF" w:val="clear"/>
            <w:tcMar>
              <w:top w:w="0" w:type="dxa"/>
            </w:tcMar>
            <w:vAlign w:val="center"/>
          </w:tcPr>
          <w:p>
            <w:pPr>
              <w:pStyle w:val="TableContents"/>
              <w:bidi w:val="0"/>
              <w:spacing w:before="0" w:after="283"/>
              <w:jc w:val="left"/>
              <w:rPr>
                <w:b/>
              </w:rPr>
            </w:pPr>
            <w:r>
              <w:rPr>
                <w:b/>
              </w:rPr>
              <w:t>Net (loss) income</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top w:w="0" w:type="dxa"/>
              <w:bottom w:w="30" w:type="dxa"/>
            </w:tcMar>
            <w:vAlign w:val="center"/>
          </w:tcPr>
          <w:p>
            <w:pPr>
              <w:pStyle w:val="TableContents"/>
              <w:bidi w:val="0"/>
              <w:spacing w:before="0" w:after="283"/>
              <w:jc w:val="right"/>
              <w:rPr>
                <w:b/>
              </w:rPr>
            </w:pPr>
            <w:r>
              <w:rPr>
                <w:b/>
              </w:rPr>
              <w:t>15,165</w:t>
            </w:r>
          </w:p>
        </w:tc>
        <w:tc>
          <w:tcPr>
            <w:tcW w:w="2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(62,045</w:t>
            </w:r>
          </w:p>
        </w:tc>
        <w:tc>
          <w:tcPr>
            <w:tcW w:w="21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77,210</w:t>
            </w:r>
          </w:p>
        </w:tc>
        <w:tc>
          <w:tcPr>
            <w:tcW w:w="9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124</w:t>
            </w:r>
          </w:p>
        </w:tc>
        <w:tc>
          <w:tcPr>
            <w:tcW w:w="21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top w:w="0" w:type="dxa"/>
              <w:bottom w:w="30" w:type="dxa"/>
            </w:tcMar>
            <w:vAlign w:val="center"/>
          </w:tcPr>
          <w:p>
            <w:pPr>
              <w:pStyle w:val="TableContents"/>
              <w:bidi w:val="0"/>
              <w:spacing w:before="0" w:after="283"/>
              <w:jc w:val="right"/>
              <w:rPr>
                <w:b/>
              </w:rPr>
            </w:pPr>
            <w:r>
              <w:rPr>
                <w:b/>
              </w:rPr>
              <w:t>(54,063</w:t>
            </w:r>
          </w:p>
        </w:tc>
        <w:tc>
          <w:tcPr>
            <w:tcW w:w="260" w:type="dxa"/>
            <w:tcBorders>
              <w:bottom w:val="single" w:sz="12"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(108,922</w:t>
            </w:r>
          </w:p>
        </w:tc>
        <w:tc>
          <w:tcPr>
            <w:tcW w:w="21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54,859</w:t>
            </w:r>
          </w:p>
        </w:tc>
        <w:tc>
          <w:tcPr>
            <w:tcW w:w="9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(50</w:t>
            </w:r>
          </w:p>
        </w:tc>
        <w:tc>
          <w:tcPr>
            <w:tcW w:w="23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r>
      <w:tr>
        <w:trPr/>
        <w:tc>
          <w:tcPr>
            <w:tcW w:w="155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 </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 </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 </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 </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 </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 </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 </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 </w:t>
            </w:r>
          </w:p>
        </w:tc>
        <w:tc>
          <w:tcPr>
            <w:tcW w:w="230" w:type="dxa"/>
            <w:tcBorders/>
            <w:shd w:fill="CCEEFF" w:val="clear"/>
            <w:tcMar>
              <w:top w:w="0" w:type="dxa"/>
              <w:bottom w:w="0" w:type="dxa"/>
            </w:tcMar>
            <w:vAlign w:val="center"/>
          </w:tcPr>
          <w:p>
            <w:pPr>
              <w:pStyle w:val="TableContents"/>
              <w:bidi w:val="0"/>
              <w:spacing w:before="0" w:after="283"/>
              <w:ind w:left="0" w:right="0" w:hanging="180"/>
              <w:jc w:val="left"/>
              <w:rPr/>
            </w:pPr>
            <w:r>
              <w:rPr/>
              <w:t> </w:t>
            </w:r>
          </w:p>
        </w:tc>
      </w:tr>
      <w:tr>
        <w:trPr/>
        <w:tc>
          <w:tcPr>
            <w:tcW w:w="1550" w:type="dxa"/>
            <w:tcBorders/>
            <w:shd w:fill="FFFFFF" w:val="clear"/>
            <w:tcMar>
              <w:top w:w="0" w:type="dxa"/>
              <w:bottom w:w="0" w:type="dxa"/>
            </w:tcMar>
            <w:vAlign w:val="center"/>
          </w:tcPr>
          <w:p>
            <w:pPr>
              <w:pStyle w:val="TableContents"/>
              <w:bidi w:val="0"/>
              <w:spacing w:before="0" w:after="283"/>
              <w:jc w:val="left"/>
              <w:rPr/>
            </w:pPr>
            <w:r>
              <w:rPr/>
              <w:t>Basic (loss) earnings per share (in U.S. dollars)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b/>
              </w:rPr>
            </w:pPr>
            <w:r>
              <w:rPr>
                <w:b/>
              </w:rPr>
              <w:t>0.03</w:t>
            </w:r>
          </w:p>
        </w:tc>
        <w:tc>
          <w:tcPr>
            <w:tcW w:w="2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(0.21</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b/>
              </w:rPr>
            </w:pPr>
            <w:r>
              <w:rPr>
                <w:b/>
              </w:rPr>
              <w:t>(0.13</w:t>
            </w:r>
          </w:p>
        </w:tc>
        <w:tc>
          <w:tcPr>
            <w:tcW w:w="260"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pPr>
            <w:r>
              <w:rPr/>
              <w:t>(0.42</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w:t>
            </w:r>
          </w:p>
        </w:tc>
        <w:tc>
          <w:tcPr>
            <w:tcW w:w="230" w:type="dxa"/>
            <w:tcBorders/>
            <w:shd w:fill="FFFFFF" w:val="clear"/>
            <w:tcMar>
              <w:top w:w="0" w:type="dxa"/>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top w:w="0" w:type="dxa"/>
              <w:bottom w:w="0" w:type="dxa"/>
            </w:tcMar>
            <w:vAlign w:val="center"/>
          </w:tcPr>
          <w:p>
            <w:pPr>
              <w:pStyle w:val="TableContents"/>
              <w:bidi w:val="0"/>
              <w:spacing w:before="0" w:after="283"/>
              <w:jc w:val="left"/>
              <w:rPr/>
            </w:pPr>
            <w:r>
              <w:rPr/>
              <w:t>Diluted earnings (loss) per share (in U.S. dollars)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0.03</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(0.21</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b/>
              </w:rPr>
            </w:pPr>
            <w:r>
              <w:rPr>
                <w:b/>
              </w:rPr>
              <w:t>(0.13</w:t>
            </w:r>
          </w:p>
        </w:tc>
        <w:tc>
          <w:tcPr>
            <w:tcW w:w="260"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(0.42</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w:t>
            </w:r>
          </w:p>
        </w:tc>
        <w:tc>
          <w:tcPr>
            <w:tcW w:w="230" w:type="dxa"/>
            <w:tcBorders/>
            <w:shd w:fill="CCEEFF" w:val="clear"/>
            <w:tcMar>
              <w:top w:w="0" w:type="dxa"/>
              <w:bottom w:w="0" w:type="dxa"/>
            </w:tcMar>
            <w:vAlign w:val="center"/>
          </w:tcPr>
          <w:p>
            <w:pPr>
              <w:pStyle w:val="TableContents"/>
              <w:bidi w:val="0"/>
              <w:spacing w:before="0" w:after="283"/>
              <w:ind w:left="0" w:right="0" w:hanging="180"/>
              <w:jc w:val="left"/>
              <w:rPr/>
            </w:pPr>
            <w:r>
              <w:rPr/>
              <w:t> </w:t>
            </w:r>
          </w:p>
        </w:tc>
      </w:tr>
      <w:tr>
        <w:trPr/>
        <w:tc>
          <w:tcPr>
            <w:tcW w:w="1550" w:type="dxa"/>
            <w:tcBorders>
              <w:bottom w:val="single" w:sz="8" w:space="0" w:color="000000"/>
            </w:tcBorders>
            <w:shd w:fill="FFFFFF" w:val="clear"/>
            <w:tcMar>
              <w:top w:w="0" w:type="dxa"/>
            </w:tcMar>
            <w:vAlign w:val="center"/>
          </w:tcPr>
          <w:p>
            <w:pPr>
              <w:pStyle w:val="TableContents"/>
              <w:bidi w:val="0"/>
              <w:spacing w:before="0" w:after="283"/>
              <w:jc w:val="left"/>
              <w:rPr/>
            </w:pPr>
            <w:r>
              <w:rPr/>
              <w:t>Change in revaluation surplus - digital assets, net of tax</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26,421</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7,675</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18,746</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244</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b/>
              </w:rPr>
            </w:pPr>
            <w:r>
              <w:rPr>
                <w:b/>
              </w:rPr>
              <w:t>39,120</w:t>
            </w:r>
          </w:p>
        </w:tc>
        <w:tc>
          <w:tcPr>
            <w:tcW w:w="2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9,242</w:t>
            </w:r>
          </w:p>
        </w:tc>
        <w:tc>
          <w:tcPr>
            <w:tcW w:w="21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29,878</w:t>
            </w:r>
          </w:p>
        </w:tc>
        <w:tc>
          <w:tcPr>
            <w:tcW w:w="95"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top w:w="0" w:type="dxa"/>
              <w:bottom w:w="30" w:type="dxa"/>
            </w:tcMar>
            <w:vAlign w:val="center"/>
          </w:tcPr>
          <w:p>
            <w:pPr>
              <w:pStyle w:val="TableContents"/>
              <w:bidi w:val="0"/>
              <w:spacing w:before="0" w:after="283"/>
              <w:jc w:val="right"/>
              <w:rPr/>
            </w:pPr>
            <w:r>
              <w:rPr/>
              <w:t>323</w:t>
            </w:r>
          </w:p>
        </w:tc>
        <w:tc>
          <w:tcPr>
            <w:tcW w:w="230" w:type="dxa"/>
            <w:tcBorders>
              <w:bottom w:val="single" w:sz="8" w:space="0" w:color="000000"/>
            </w:tcBorders>
            <w:shd w:fill="FFFFFF" w:val="clear"/>
            <w:tcMar>
              <w:top w:w="0" w:type="dxa"/>
              <w:bottom w:w="30" w:type="dxa"/>
            </w:tcMar>
            <w:vAlign w:val="center"/>
          </w:tcPr>
          <w:p>
            <w:pPr>
              <w:pStyle w:val="TableContents"/>
              <w:bidi w:val="0"/>
              <w:spacing w:before="0" w:after="283"/>
              <w:jc w:val="left"/>
              <w:rPr/>
            </w:pPr>
            <w:r>
              <w:rPr/>
              <w:t>%</w:t>
            </w:r>
          </w:p>
        </w:tc>
      </w:tr>
      <w:tr>
        <w:trPr/>
        <w:tc>
          <w:tcPr>
            <w:tcW w:w="1550" w:type="dxa"/>
            <w:tcBorders>
              <w:bottom w:val="single" w:sz="12" w:space="0" w:color="000000"/>
            </w:tcBorders>
            <w:shd w:fill="CCEEFF" w:val="clear"/>
            <w:tcMar>
              <w:top w:w="0" w:type="dxa"/>
            </w:tcMar>
            <w:vAlign w:val="center"/>
          </w:tcPr>
          <w:p>
            <w:pPr>
              <w:pStyle w:val="TableContents"/>
              <w:bidi w:val="0"/>
              <w:spacing w:before="0" w:after="283"/>
              <w:jc w:val="left"/>
              <w:rPr>
                <w:b/>
              </w:rPr>
            </w:pPr>
            <w:r>
              <w:rPr>
                <w:b/>
              </w:rPr>
              <w:t>Total comprehensive income (loss), net of tax</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top w:w="0" w:type="dxa"/>
              <w:bottom w:w="30" w:type="dxa"/>
            </w:tcMar>
            <w:vAlign w:val="center"/>
          </w:tcPr>
          <w:p>
            <w:pPr>
              <w:pStyle w:val="TableContents"/>
              <w:bidi w:val="0"/>
              <w:spacing w:before="0" w:after="283"/>
              <w:jc w:val="right"/>
              <w:rPr>
                <w:b/>
              </w:rPr>
            </w:pPr>
            <w:r>
              <w:rPr>
                <w:b/>
              </w:rPr>
              <w:t>41,586</w:t>
            </w:r>
          </w:p>
        </w:tc>
        <w:tc>
          <w:tcPr>
            <w:tcW w:w="2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top w:w="0" w:type="dxa"/>
              <w:bottom w:w="30" w:type="dxa"/>
            </w:tcMar>
            <w:vAlign w:val="center"/>
          </w:tcPr>
          <w:p>
            <w:pPr>
              <w:pStyle w:val="TableContents"/>
              <w:bidi w:val="0"/>
              <w:spacing w:before="0" w:after="283"/>
              <w:jc w:val="right"/>
              <w:rPr/>
            </w:pPr>
            <w:r>
              <w:rPr/>
              <w:t>(54,370</w:t>
            </w:r>
          </w:p>
        </w:tc>
        <w:tc>
          <w:tcPr>
            <w:tcW w:w="215"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top w:w="0" w:type="dxa"/>
              <w:bottom w:w="30" w:type="dxa"/>
            </w:tcMar>
            <w:vAlign w:val="center"/>
          </w:tcPr>
          <w:p>
            <w:pPr>
              <w:pStyle w:val="TableContents"/>
              <w:bidi w:val="0"/>
              <w:spacing w:before="0" w:after="283"/>
              <w:jc w:val="right"/>
              <w:rPr/>
            </w:pPr>
            <w:r>
              <w:rPr/>
              <w:t>95,956</w:t>
            </w:r>
          </w:p>
        </w:tc>
        <w:tc>
          <w:tcPr>
            <w:tcW w:w="95"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top w:w="0" w:type="dxa"/>
              <w:bottom w:w="30" w:type="dxa"/>
            </w:tcMar>
            <w:vAlign w:val="center"/>
          </w:tcPr>
          <w:p>
            <w:pPr>
              <w:pStyle w:val="TableContents"/>
              <w:bidi w:val="0"/>
              <w:spacing w:before="0" w:after="283"/>
              <w:jc w:val="right"/>
              <w:rPr/>
            </w:pPr>
            <w:r>
              <w:rPr/>
              <w:t>176</w:t>
            </w:r>
          </w:p>
        </w:tc>
        <w:tc>
          <w:tcPr>
            <w:tcW w:w="215"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top w:w="0" w:type="dxa"/>
              <w:bottom w:w="30" w:type="dxa"/>
            </w:tcMar>
            <w:vAlign w:val="center"/>
          </w:tcPr>
          <w:p>
            <w:pPr>
              <w:pStyle w:val="TableContents"/>
              <w:bidi w:val="0"/>
              <w:spacing w:before="0" w:after="283"/>
              <w:jc w:val="right"/>
              <w:rPr>
                <w:b/>
              </w:rPr>
            </w:pPr>
            <w:r>
              <w:rPr>
                <w:b/>
              </w:rPr>
              <w:t>(14,943</w:t>
            </w:r>
          </w:p>
        </w:tc>
        <w:tc>
          <w:tcPr>
            <w:tcW w:w="260" w:type="dxa"/>
            <w:tcBorders>
              <w:bottom w:val="single" w:sz="12" w:space="0" w:color="000000"/>
            </w:tcBorders>
            <w:shd w:fill="CCEE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top w:w="0" w:type="dxa"/>
              <w:bottom w:w="30" w:type="dxa"/>
            </w:tcMar>
            <w:vAlign w:val="center"/>
          </w:tcPr>
          <w:p>
            <w:pPr>
              <w:pStyle w:val="TableContents"/>
              <w:bidi w:val="0"/>
              <w:spacing w:before="0" w:after="283"/>
              <w:jc w:val="right"/>
              <w:rPr/>
            </w:pPr>
            <w:r>
              <w:rPr/>
              <w:t>(99,680</w:t>
            </w:r>
          </w:p>
        </w:tc>
        <w:tc>
          <w:tcPr>
            <w:tcW w:w="215"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top w:w="0" w:type="dxa"/>
              <w:bottom w:w="30" w:type="dxa"/>
            </w:tcMar>
            <w:vAlign w:val="center"/>
          </w:tcPr>
          <w:p>
            <w:pPr>
              <w:pStyle w:val="TableContents"/>
              <w:bidi w:val="0"/>
              <w:spacing w:before="0" w:after="283"/>
              <w:jc w:val="right"/>
              <w:rPr/>
            </w:pPr>
            <w:r>
              <w:rPr/>
              <w:t>84,737</w:t>
            </w:r>
          </w:p>
        </w:tc>
        <w:tc>
          <w:tcPr>
            <w:tcW w:w="95"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top w:w="0" w:type="dxa"/>
              <w:bottom w:w="30" w:type="dxa"/>
            </w:tcMar>
            <w:vAlign w:val="center"/>
          </w:tcPr>
          <w:p>
            <w:pPr>
              <w:pStyle w:val="TableContents"/>
              <w:bidi w:val="0"/>
              <w:spacing w:before="0" w:after="283"/>
              <w:jc w:val="right"/>
              <w:rPr/>
            </w:pPr>
            <w:r>
              <w:rPr/>
              <w:t>(85</w:t>
            </w:r>
          </w:p>
        </w:tc>
        <w:tc>
          <w:tcPr>
            <w:tcW w:w="230" w:type="dxa"/>
            <w:tcBorders>
              <w:bottom w:val="single" w:sz="12" w:space="0" w:color="000000"/>
            </w:tcBorders>
            <w:shd w:fill="CCEEFF" w:val="clear"/>
            <w:tcMar>
              <w:top w:w="0" w:type="dxa"/>
              <w:bottom w:w="30" w:type="dxa"/>
            </w:tcMar>
            <w:vAlign w:val="center"/>
          </w:tcPr>
          <w:p>
            <w:pPr>
              <w:pStyle w:val="TableContents"/>
              <w:bidi w:val="0"/>
              <w:spacing w:before="0" w:after="283"/>
              <w:jc w:val="left"/>
              <w:rPr/>
            </w:pPr>
            <w:r>
              <w:rPr/>
              <w:t>)%</w:t>
            </w:r>
          </w:p>
        </w:tc>
      </w:tr>
      <w:tr>
        <w:trPr/>
        <w:tc>
          <w:tcPr>
            <w:tcW w:w="155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 </w:t>
            </w:r>
          </w:p>
        </w:tc>
        <w:tc>
          <w:tcPr>
            <w:tcW w:w="2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 </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 </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 </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pPr>
            <w:r>
              <w:rPr/>
              <w:t> </w:t>
            </w:r>
          </w:p>
        </w:tc>
        <w:tc>
          <w:tcPr>
            <w:tcW w:w="2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pPr>
            <w:r>
              <w:rPr/>
              <w:t> </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 </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 </w:t>
            </w:r>
          </w:p>
        </w:tc>
        <w:tc>
          <w:tcPr>
            <w:tcW w:w="230" w:type="dxa"/>
            <w:tcBorders/>
            <w:shd w:fill="FFFFFF" w:val="clear"/>
            <w:tcMar>
              <w:top w:w="0" w:type="dxa"/>
              <w:bottom w:w="0" w:type="dxa"/>
            </w:tcMar>
            <w:vAlign w:val="center"/>
          </w:tcPr>
          <w:p>
            <w:pPr>
              <w:pStyle w:val="TableContents"/>
              <w:bidi w:val="0"/>
              <w:spacing w:before="0" w:after="283"/>
              <w:jc w:val="left"/>
              <w:rPr/>
            </w:pPr>
            <w:r>
              <w:rPr/>
              <w:t> </w:t>
            </w:r>
          </w:p>
        </w:tc>
      </w:tr>
      <w:tr>
        <w:trPr/>
        <w:tc>
          <w:tcPr>
            <w:tcW w:w="155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Gross Mining profit </w:t>
            </w:r>
            <w:r>
              <w:rPr>
                <w:rFonts w:ascii="Times New Roman;Times;Serif" w:hAnsi="Times New Roman;Times;Serif"/>
                <w:position w:val="7"/>
                <w:sz w:val="16"/>
                <w:sz w:val="20"/>
              </w:rPr>
              <w:t>(2)</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25,786</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25,454</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332</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1</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b/>
              </w:rPr>
            </w:pPr>
            <w:r>
              <w:rPr>
                <w:b/>
              </w:rPr>
              <w:t>94,469</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70,277</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24,192</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34</w:t>
            </w:r>
          </w:p>
        </w:tc>
        <w:tc>
          <w:tcPr>
            <w:tcW w:w="230" w:type="dxa"/>
            <w:tcBorders/>
            <w:shd w:fill="CCEEFF" w:val="clear"/>
            <w:tcMar>
              <w:top w:w="0" w:type="dxa"/>
              <w:bottom w:w="0" w:type="dxa"/>
            </w:tcMar>
            <w:vAlign w:val="center"/>
          </w:tcPr>
          <w:p>
            <w:pPr>
              <w:pStyle w:val="TableContents"/>
              <w:bidi w:val="0"/>
              <w:spacing w:before="0" w:after="283"/>
              <w:jc w:val="left"/>
              <w:rPr/>
            </w:pPr>
            <w:r>
              <w:rPr/>
              <w:t>%</w:t>
            </w:r>
          </w:p>
        </w:tc>
      </w:tr>
      <w:tr>
        <w:trPr/>
        <w:tc>
          <w:tcPr>
            <w:tcW w:w="155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Gross Mining margin </w:t>
            </w:r>
            <w:r>
              <w:rPr>
                <w:rFonts w:ascii="Times New Roman;Times;Serif" w:hAnsi="Times New Roman;Times;Serif"/>
                <w:position w:val="7"/>
                <w:sz w:val="16"/>
                <w:sz w:val="20"/>
              </w:rPr>
              <w:t>(2)</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b/>
              </w:rPr>
            </w:pPr>
            <w:r>
              <w:rPr>
                <w:b/>
              </w:rPr>
              <w:t>47</w:t>
            </w:r>
          </w:p>
        </w:tc>
        <w:tc>
          <w:tcPr>
            <w:tcW w:w="260"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57</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b/>
              </w:rPr>
            </w:pPr>
            <w:r>
              <w:rPr>
                <w:b/>
              </w:rPr>
              <w:t>50</w:t>
            </w:r>
          </w:p>
        </w:tc>
        <w:tc>
          <w:tcPr>
            <w:tcW w:w="260"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pPr>
            <w:r>
              <w:rPr/>
              <w:t>50</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w:t>
            </w:r>
          </w:p>
        </w:tc>
        <w:tc>
          <w:tcPr>
            <w:tcW w:w="230" w:type="dxa"/>
            <w:tcBorders/>
            <w:shd w:fill="FFFFFF" w:val="clear"/>
            <w:tcMar>
              <w:top w:w="0" w:type="dxa"/>
              <w:bottom w:w="0" w:type="dxa"/>
            </w:tcMar>
            <w:vAlign w:val="center"/>
          </w:tcPr>
          <w:p>
            <w:pPr>
              <w:pStyle w:val="TableContents"/>
              <w:bidi w:val="0"/>
              <w:spacing w:before="0" w:after="283"/>
              <w:jc w:val="left"/>
              <w:rPr/>
            </w:pPr>
            <w:r>
              <w:rPr/>
              <w:t> </w:t>
            </w:r>
          </w:p>
        </w:tc>
      </w:tr>
      <w:tr>
        <w:trPr/>
        <w:tc>
          <w:tcPr>
            <w:tcW w:w="155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EBITDA </w:t>
            </w:r>
            <w:r>
              <w:rPr>
                <w:rFonts w:ascii="Times New Roman;Times;Serif" w:hAnsi="Times New Roman;Times;Serif"/>
                <w:position w:val="7"/>
                <w:sz w:val="16"/>
                <w:sz w:val="20"/>
              </w:rPr>
              <w:t>(2)</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29,752</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(40,542</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70,294</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173</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b/>
              </w:rPr>
            </w:pPr>
            <w:r>
              <w:rPr>
                <w:b/>
              </w:rPr>
              <w:t>68,315</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(21,879</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90,194</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412</w:t>
            </w:r>
          </w:p>
        </w:tc>
        <w:tc>
          <w:tcPr>
            <w:tcW w:w="230" w:type="dxa"/>
            <w:tcBorders/>
            <w:shd w:fill="CCEEFF" w:val="clear"/>
            <w:tcMar>
              <w:top w:w="0" w:type="dxa"/>
              <w:bottom w:w="0" w:type="dxa"/>
            </w:tcMar>
            <w:vAlign w:val="center"/>
          </w:tcPr>
          <w:p>
            <w:pPr>
              <w:pStyle w:val="TableContents"/>
              <w:bidi w:val="0"/>
              <w:spacing w:before="0" w:after="283"/>
              <w:jc w:val="left"/>
              <w:rPr/>
            </w:pPr>
            <w:r>
              <w:rPr/>
              <w:t>%</w:t>
            </w:r>
          </w:p>
        </w:tc>
      </w:tr>
      <w:tr>
        <w:trPr/>
        <w:tc>
          <w:tcPr>
            <w:tcW w:w="155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EBITDA margin </w:t>
            </w:r>
            <w:r>
              <w:rPr>
                <w:rFonts w:ascii="Times New Roman;Times;Serif" w:hAnsi="Times New Roman;Times;Serif"/>
                <w:position w:val="7"/>
                <w:sz w:val="16"/>
                <w:sz w:val="20"/>
              </w:rPr>
              <w:t>(2)</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b/>
              </w:rPr>
            </w:pPr>
            <w:r>
              <w:rPr>
                <w:b/>
              </w:rPr>
              <w:t>53</w:t>
            </w:r>
          </w:p>
        </w:tc>
        <w:tc>
          <w:tcPr>
            <w:tcW w:w="260"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(88</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w:t>
            </w:r>
          </w:p>
        </w:tc>
        <w:tc>
          <w:tcPr>
            <w:tcW w:w="21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b/>
              </w:rPr>
            </w:pPr>
            <w:r>
              <w:rPr>
                <w:b/>
              </w:rPr>
              <w:t>35</w:t>
            </w:r>
          </w:p>
        </w:tc>
        <w:tc>
          <w:tcPr>
            <w:tcW w:w="260"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75" w:type="dxa"/>
            <w:tcBorders/>
            <w:shd w:fill="FFFFFF" w:val="clear"/>
            <w:tcMar>
              <w:top w:w="0" w:type="dxa"/>
              <w:bottom w:w="0" w:type="dxa"/>
            </w:tcMar>
            <w:vAlign w:val="center"/>
          </w:tcPr>
          <w:p>
            <w:pPr>
              <w:pStyle w:val="TableContents"/>
              <w:bidi w:val="0"/>
              <w:spacing w:before="0" w:after="283"/>
              <w:jc w:val="right"/>
              <w:rPr/>
            </w:pPr>
            <w:r>
              <w:rPr/>
              <w:t>(15</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w:t>
            </w:r>
          </w:p>
        </w:tc>
        <w:tc>
          <w:tcPr>
            <w:tcW w:w="230" w:type="dxa"/>
            <w:tcBorders/>
            <w:shd w:fill="FFFFFF" w:val="clear"/>
            <w:tcMar>
              <w:top w:w="0" w:type="dxa"/>
              <w:bottom w:w="0" w:type="dxa"/>
            </w:tcMar>
            <w:vAlign w:val="center"/>
          </w:tcPr>
          <w:p>
            <w:pPr>
              <w:pStyle w:val="TableContents"/>
              <w:bidi w:val="0"/>
              <w:spacing w:before="0" w:after="283"/>
              <w:jc w:val="left"/>
              <w:rPr/>
            </w:pPr>
            <w:r>
              <w:rPr/>
              <w:t> </w:t>
            </w:r>
          </w:p>
        </w:tc>
      </w:tr>
      <w:tr>
        <w:trPr/>
        <w:tc>
          <w:tcPr>
            <w:tcW w:w="155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EBITDA </w:t>
            </w:r>
            <w:r>
              <w:rPr>
                <w:rFonts w:ascii="Times New Roman;Times;Serif" w:hAnsi="Times New Roman;Times;Serif"/>
                <w:position w:val="7"/>
                <w:sz w:val="16"/>
                <w:sz w:val="20"/>
              </w:rPr>
              <w:t>(2)</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14,315</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16,332</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(2,017</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(12</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b/>
              </w:rPr>
            </w:pPr>
            <w:r>
              <w:rPr>
                <w:b/>
              </w:rPr>
              <w:t>54,661</w:t>
            </w:r>
          </w:p>
        </w:tc>
        <w:tc>
          <w:tcPr>
            <w:tcW w:w="2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75" w:type="dxa"/>
            <w:tcBorders/>
            <w:shd w:fill="CCEEFF" w:val="clear"/>
            <w:tcMar>
              <w:top w:w="0" w:type="dxa"/>
              <w:bottom w:w="0" w:type="dxa"/>
            </w:tcMar>
            <w:vAlign w:val="center"/>
          </w:tcPr>
          <w:p>
            <w:pPr>
              <w:pStyle w:val="TableContents"/>
              <w:bidi w:val="0"/>
              <w:spacing w:before="0" w:after="283"/>
              <w:jc w:val="right"/>
              <w:rPr/>
            </w:pPr>
            <w:r>
              <w:rPr/>
              <w:t>43,558</w:t>
            </w:r>
          </w:p>
        </w:tc>
        <w:tc>
          <w:tcPr>
            <w:tcW w:w="21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11,103</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25</w:t>
            </w:r>
          </w:p>
        </w:tc>
        <w:tc>
          <w:tcPr>
            <w:tcW w:w="230" w:type="dxa"/>
            <w:tcBorders/>
            <w:shd w:fill="CCEEFF" w:val="clear"/>
            <w:tcMar>
              <w:top w:w="0" w:type="dxa"/>
              <w:bottom w:w="0" w:type="dxa"/>
            </w:tcMar>
            <w:vAlign w:val="center"/>
          </w:tcPr>
          <w:p>
            <w:pPr>
              <w:pStyle w:val="TableContents"/>
              <w:bidi w:val="0"/>
              <w:spacing w:before="0" w:after="283"/>
              <w:jc w:val="left"/>
              <w:rPr/>
            </w:pPr>
            <w:r>
              <w:rPr/>
              <w:t>%</w:t>
            </w:r>
          </w:p>
        </w:tc>
      </w:tr>
      <w:tr>
        <w:trPr/>
        <w:tc>
          <w:tcPr>
            <w:tcW w:w="1550"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EBITDA margin </w:t>
            </w:r>
            <w:r>
              <w:rPr>
                <w:rFonts w:ascii="Times New Roman;Times;Serif" w:hAnsi="Times New Roman;Times;Serif"/>
                <w:position w:val="7"/>
                <w:sz w:val="16"/>
                <w:sz w:val="20"/>
              </w:rPr>
              <w:t>(2)</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top w:w="0" w:type="dxa"/>
              <w:bottom w:w="30" w:type="dxa"/>
            </w:tcMar>
            <w:vAlign w:val="center"/>
          </w:tcPr>
          <w:p>
            <w:pPr>
              <w:pStyle w:val="TableContents"/>
              <w:bidi w:val="0"/>
              <w:spacing w:before="0" w:after="283"/>
              <w:jc w:val="right"/>
              <w:rPr>
                <w:b/>
              </w:rPr>
            </w:pPr>
            <w:r>
              <w:rPr>
                <w:b/>
              </w:rPr>
              <w:t>25</w:t>
            </w:r>
          </w:p>
        </w:tc>
        <w:tc>
          <w:tcPr>
            <w:tcW w:w="260" w:type="dxa"/>
            <w:tcBorders>
              <w:bottom w:val="single" w:sz="12"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35</w:t>
            </w:r>
          </w:p>
        </w:tc>
        <w:tc>
          <w:tcPr>
            <w:tcW w:w="21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w:t>
            </w:r>
          </w:p>
        </w:tc>
        <w:tc>
          <w:tcPr>
            <w:tcW w:w="9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w:t>
            </w:r>
          </w:p>
        </w:tc>
        <w:tc>
          <w:tcPr>
            <w:tcW w:w="21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top w:w="0" w:type="dxa"/>
              <w:bottom w:w="30" w:type="dxa"/>
            </w:tcMar>
            <w:vAlign w:val="center"/>
          </w:tcPr>
          <w:p>
            <w:pPr>
              <w:pStyle w:val="TableContents"/>
              <w:bidi w:val="0"/>
              <w:spacing w:before="0" w:after="283"/>
              <w:jc w:val="right"/>
              <w:rPr>
                <w:b/>
              </w:rPr>
            </w:pPr>
            <w:r>
              <w:rPr>
                <w:b/>
              </w:rPr>
              <w:t>28</w:t>
            </w:r>
          </w:p>
        </w:tc>
        <w:tc>
          <w:tcPr>
            <w:tcW w:w="260" w:type="dxa"/>
            <w:tcBorders>
              <w:bottom w:val="single" w:sz="12"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30</w:t>
            </w:r>
          </w:p>
        </w:tc>
        <w:tc>
          <w:tcPr>
            <w:tcW w:w="21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w:t>
            </w:r>
          </w:p>
        </w:tc>
        <w:tc>
          <w:tcPr>
            <w:tcW w:w="9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w:t>
            </w:r>
          </w:p>
        </w:tc>
        <w:tc>
          <w:tcPr>
            <w:tcW w:w="23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395"/>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i/>
              </w:rPr>
            </w:pPr>
            <w:r>
              <w:rPr>
                <w:i/>
              </w:rPr>
              <w:t>nm:</w:t>
            </w:r>
          </w:p>
        </w:tc>
        <w:tc>
          <w:tcPr>
            <w:tcW w:w="1460" w:type="dxa"/>
            <w:tcBorders/>
            <w:vAlign w:val="center"/>
          </w:tcPr>
          <w:p>
            <w:pPr>
              <w:pStyle w:val="TableContents"/>
              <w:bidi w:val="0"/>
              <w:spacing w:before="0" w:after="283"/>
              <w:jc w:val="both"/>
              <w:rPr/>
            </w:pPr>
            <w:r>
              <w:rPr/>
              <w:t>not meaningful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8"/>
        <w:gridCol w:w="10057"/>
      </w:tblGrid>
      <w:tr>
        <w:trPr/>
        <w:tc>
          <w:tcPr>
            <w:tcW w:w="148" w:type="dxa"/>
            <w:tcBorders>
              <w:bottom w:val="single" w:sz="8" w:space="0" w:color="000000"/>
            </w:tcBorders>
            <w:vAlign w:val="center"/>
          </w:tcPr>
          <w:p>
            <w:pPr>
              <w:pStyle w:val="TableContents"/>
              <w:bidi w:val="0"/>
              <w:spacing w:before="0" w:after="283"/>
              <w:jc w:val="left"/>
              <w:rPr>
                <w:position w:val="8"/>
                <w:sz w:val="19"/>
              </w:rPr>
            </w:pPr>
            <w:r>
              <w:rPr>
                <w:position w:val="8"/>
                <w:sz w:val="19"/>
              </w:rPr>
              <w:t> </w:t>
            </w:r>
          </w:p>
        </w:tc>
        <w:tc>
          <w:tcPr>
            <w:tcW w:w="10057" w:type="dxa"/>
            <w:tcBorders>
              <w:bottom w:val="single" w:sz="8" w:space="0" w:color="000000"/>
            </w:tcBorders>
            <w:vAlign w:val="center"/>
          </w:tcPr>
          <w:p>
            <w:pPr>
              <w:pStyle w:val="TableContents"/>
              <w:bidi w:val="0"/>
              <w:spacing w:before="0" w:after="283"/>
              <w:jc w:val="left"/>
              <w:rPr/>
            </w:pPr>
            <w:r>
              <w:rPr/>
              <w:t> </w:t>
            </w:r>
          </w:p>
        </w:tc>
      </w:tr>
      <w:tr>
        <w:trPr/>
        <w:tc>
          <w:tcPr>
            <w:tcW w:w="148"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1 </w:t>
            </w:r>
          </w:p>
        </w:tc>
        <w:tc>
          <w:tcPr>
            <w:tcW w:w="1005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Gross margin and Operating margin are supplemental financial ratios; refer to Section 10 - </w:t>
            </w:r>
            <w:r>
              <w:rPr>
                <w:rFonts w:ascii="Times New Roman;Times;Serif" w:hAnsi="Times New Roman;Times;Serif"/>
                <w:i/>
                <w:sz w:val="20"/>
              </w:rPr>
              <w:t>Non-IFRS and Other Financial Measures and Ratios</w:t>
            </w:r>
            <w:r>
              <w:rPr>
                <w:rFonts w:ascii="Times New Roman;Times;Serif" w:hAnsi="Times New Roman;Times;Serif"/>
                <w:sz w:val="20"/>
              </w:rPr>
              <w:t>.</w:t>
            </w:r>
          </w:p>
        </w:tc>
      </w:tr>
      <w:tr>
        <w:trPr/>
        <w:tc>
          <w:tcPr>
            <w:tcW w:w="148" w:type="dxa"/>
            <w:tcBorders/>
            <w:tcMar>
              <w:bottom w:w="0" w:type="dxa"/>
            </w:tcMar>
            <w:vAlign w:val="center"/>
          </w:tcPr>
          <w:p>
            <w:pPr>
              <w:pStyle w:val="TableContents"/>
              <w:bidi w:val="0"/>
              <w:spacing w:before="0" w:after="283"/>
              <w:jc w:val="left"/>
              <w:rPr/>
            </w:pPr>
            <w:r>
              <w:rPr/>
              <w:t> </w:t>
            </w:r>
          </w:p>
        </w:tc>
        <w:tc>
          <w:tcPr>
            <w:tcW w:w="10057" w:type="dxa"/>
            <w:tcBorders/>
            <w:tcMar>
              <w:bottom w:w="0" w:type="dxa"/>
            </w:tcMar>
            <w:vAlign w:val="center"/>
          </w:tcPr>
          <w:p>
            <w:pPr>
              <w:pStyle w:val="TableContents"/>
              <w:bidi w:val="0"/>
              <w:spacing w:before="0" w:after="283"/>
              <w:jc w:val="both"/>
              <w:rPr/>
            </w:pPr>
            <w:r>
              <w:rPr/>
              <w:t> </w:t>
            </w:r>
          </w:p>
        </w:tc>
      </w:tr>
      <w:tr>
        <w:trPr/>
        <w:tc>
          <w:tcPr>
            <w:tcW w:w="148" w:type="dxa"/>
            <w:tcBorders/>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 xml:space="preserve">2 </w:t>
            </w:r>
          </w:p>
        </w:tc>
        <w:tc>
          <w:tcPr>
            <w:tcW w:w="1005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Gross Mining profit, Gross Mining margin, EBITDA, EBITDA margin, Adjusted EBITDA and Adjusted EBITDA margin are non-IFRS measures or ratios; refer to Section 10 - </w:t>
            </w:r>
            <w:r>
              <w:rPr>
                <w:rFonts w:ascii="Times New Roman;Times;Serif" w:hAnsi="Times New Roman;Times;Serif"/>
                <w:i/>
                <w:sz w:val="20"/>
              </w:rPr>
              <w:t>Non-IFRS and Other Financial Measures and Ratios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19 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2028"/>
        <w:gridCol w:w="7881"/>
      </w:tblGrid>
      <w:tr>
        <w:trPr/>
        <w:tc>
          <w:tcPr>
            <w:tcW w:w="29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b/>
              </w:rPr>
            </w:pPr>
            <w:r>
              <w:rPr>
                <w:b/>
              </w:rPr>
              <w:t>A.</w:t>
            </w:r>
          </w:p>
        </w:tc>
        <w:tc>
          <w:tcPr>
            <w:tcW w:w="7881" w:type="dxa"/>
            <w:tcBorders/>
            <w:vAlign w:val="center"/>
          </w:tcPr>
          <w:p>
            <w:pPr>
              <w:pStyle w:val="TableContents"/>
              <w:bidi w:val="0"/>
              <w:spacing w:before="0" w:after="283"/>
              <w:jc w:val="left"/>
              <w:rPr>
                <w:b/>
              </w:rPr>
            </w:pPr>
            <w:r>
              <w:rPr>
                <w:b/>
              </w:rPr>
              <w:t>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Q4 2024 v. Q4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$56.2 million in Q4 2024 compared to $46.2 million in Q4 2023, an increase of $9.9 million, or 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significant factors impacting the increase in Bitfarms’ revenues in Q4 2024 compared to Q4 2023 are presented in the table below. Revenues increased mostly due to an increase in the Company’s average BTC Hashrate and average BTC price, partially offset by the increase in Network Difficulty and lower BTC earned resulting from lower Block Rewards following the BTC halving event that occurred on April 19,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77"/>
        <w:gridCol w:w="60"/>
        <w:gridCol w:w="500"/>
        <w:gridCol w:w="60"/>
        <w:gridCol w:w="60"/>
        <w:gridCol w:w="560"/>
        <w:gridCol w:w="95"/>
        <w:gridCol w:w="60"/>
        <w:gridCol w:w="60"/>
        <w:gridCol w:w="755"/>
        <w:gridCol w:w="95"/>
        <w:gridCol w:w="60"/>
        <w:gridCol w:w="80"/>
        <w:gridCol w:w="612"/>
        <w:gridCol w:w="371"/>
      </w:tblGrid>
      <w:tr>
        <w:trPr/>
        <w:tc>
          <w:tcPr>
            <w:tcW w:w="6777" w:type="dxa"/>
            <w:tcBorders>
              <w:bottom w:val="single" w:sz="8" w:space="0" w:color="000000"/>
            </w:tcBorders>
            <w:vAlign w:val="center"/>
          </w:tcPr>
          <w:p>
            <w:pPr>
              <w:pStyle w:val="TableContents"/>
              <w:bidi w:val="0"/>
              <w:spacing w:before="0" w:after="283"/>
              <w:ind w:left="0" w:right="0" w:hanging="180"/>
              <w:jc w:val="left"/>
              <w:rPr/>
            </w:pPr>
            <w:r>
              <w:rPr/>
              <w:t>(U.S. $ in thousands except where indicated)</w:t>
            </w:r>
          </w:p>
        </w:tc>
        <w:tc>
          <w:tcPr>
            <w:tcW w:w="60" w:type="dxa"/>
            <w:tcBorders>
              <w:bottom w:val="single" w:sz="8" w:space="0" w:color="000000"/>
            </w:tcBorders>
            <w:vAlign w:val="center"/>
          </w:tcPr>
          <w:p>
            <w:pPr>
              <w:pStyle w:val="TableContents"/>
              <w:bidi w:val="0"/>
              <w:spacing w:before="0" w:after="283"/>
              <w:jc w:val="left"/>
              <w:rPr/>
            </w:pPr>
            <w:r>
              <w:rPr/>
              <w:t> </w:t>
            </w:r>
          </w:p>
        </w:tc>
        <w:tc>
          <w:tcPr>
            <w:tcW w:w="500" w:type="dxa"/>
            <w:tcBorders>
              <w:bottom w:val="single" w:sz="8" w:space="0" w:color="000000"/>
            </w:tcBorders>
            <w:vAlign w:val="center"/>
          </w:tcPr>
          <w:p>
            <w:pPr>
              <w:pStyle w:val="TableContents"/>
              <w:bidi w:val="0"/>
              <w:spacing w:before="0" w:after="283"/>
              <w:jc w:val="right"/>
              <w:rPr>
                <w:b/>
              </w:rPr>
            </w:pPr>
            <w:r>
              <w:rPr>
                <w:b/>
              </w:rPr>
              <w:t>Note</w:t>
            </w:r>
          </w:p>
        </w:tc>
        <w:tc>
          <w:tcPr>
            <w:tcW w:w="60" w:type="dxa"/>
            <w:tcBorders>
              <w:bottom w:val="single" w:sz="8" w:space="0" w:color="000000"/>
            </w:tcBorders>
            <w:vAlign w:val="center"/>
          </w:tcPr>
          <w:p>
            <w:pPr>
              <w:pStyle w:val="TableContents"/>
              <w:bidi w:val="0"/>
              <w:spacing w:before="0" w:after="283"/>
              <w:jc w:val="left"/>
              <w:rPr/>
            </w:pPr>
            <w:r>
              <w:rPr/>
              <w:t> </w:t>
            </w:r>
          </w:p>
        </w:tc>
        <w:tc>
          <w:tcPr>
            <w:tcW w:w="715" w:type="dxa"/>
            <w:gridSpan w:val="3"/>
            <w:tcBorders>
              <w:bottom w:val="single" w:sz="8" w:space="0" w:color="000000"/>
            </w:tcBorders>
            <w:vAlign w:val="center"/>
          </w:tcPr>
          <w:p>
            <w:pPr>
              <w:pStyle w:val="TableContents"/>
              <w:bidi w:val="0"/>
              <w:spacing w:before="0" w:after="283"/>
              <w:jc w:val="right"/>
              <w:rPr>
                <w:b/>
              </w:rPr>
            </w:pPr>
            <w:r>
              <w:rPr>
                <w:b/>
              </w:rPr>
              <w:t>BTC</w:t>
            </w:r>
          </w:p>
        </w:tc>
        <w:tc>
          <w:tcPr>
            <w:tcW w:w="60" w:type="dxa"/>
            <w:tcBorders>
              <w:bottom w:val="single" w:sz="8" w:space="0" w:color="000000"/>
            </w:tcBorders>
            <w:vAlign w:val="center"/>
          </w:tcPr>
          <w:p>
            <w:pPr>
              <w:pStyle w:val="TableContents"/>
              <w:bidi w:val="0"/>
              <w:spacing w:before="0" w:after="283"/>
              <w:jc w:val="left"/>
              <w:rPr/>
            </w:pPr>
            <w:r>
              <w:rPr/>
              <w:t> </w:t>
            </w:r>
          </w:p>
        </w:tc>
        <w:tc>
          <w:tcPr>
            <w:tcW w:w="910" w:type="dxa"/>
            <w:gridSpan w:val="3"/>
            <w:tcBorders>
              <w:bottom w:val="single" w:sz="8" w:space="0" w:color="000000"/>
            </w:tcBorders>
            <w:vAlign w:val="center"/>
          </w:tcPr>
          <w:p>
            <w:pPr>
              <w:pStyle w:val="TableContents"/>
              <w:bidi w:val="0"/>
              <w:spacing w:before="0" w:after="283"/>
              <w:jc w:val="right"/>
              <w:rPr>
                <w:b/>
              </w:rPr>
            </w:pPr>
            <w:r>
              <w:rPr>
                <w:b/>
              </w:rPr>
              <w:t>$</w:t>
            </w:r>
          </w:p>
        </w:tc>
        <w:tc>
          <w:tcPr>
            <w:tcW w:w="60" w:type="dxa"/>
            <w:tcBorders>
              <w:bottom w:val="single" w:sz="8" w:space="0" w:color="000000"/>
            </w:tcBorders>
            <w:vAlign w:val="center"/>
          </w:tcPr>
          <w:p>
            <w:pPr>
              <w:pStyle w:val="TableContents"/>
              <w:bidi w:val="0"/>
              <w:spacing w:before="0" w:after="283"/>
              <w:jc w:val="left"/>
              <w:rPr/>
            </w:pPr>
            <w:r>
              <w:rPr/>
              <w:t> </w:t>
            </w:r>
          </w:p>
        </w:tc>
        <w:tc>
          <w:tcPr>
            <w:tcW w:w="1063" w:type="dxa"/>
            <w:gridSpan w:val="3"/>
            <w:tcBorders>
              <w:bottom w:val="single" w:sz="8" w:space="0" w:color="000000"/>
            </w:tcBorders>
            <w:vAlign w:val="center"/>
          </w:tcPr>
          <w:p>
            <w:pPr>
              <w:pStyle w:val="TableContents"/>
              <w:bidi w:val="0"/>
              <w:spacing w:before="0" w:after="283"/>
              <w:ind w:left="0" w:right="0" w:hanging="180"/>
              <w:jc w:val="right"/>
              <w:rPr>
                <w:b/>
              </w:rPr>
            </w:pPr>
            <w:r>
              <w:rPr>
                <w:b/>
              </w:rPr>
              <w:t>% Change</w:t>
            </w:r>
          </w:p>
        </w:tc>
      </w:tr>
      <w:tr>
        <w:trPr/>
        <w:tc>
          <w:tcPr>
            <w:tcW w:w="6777" w:type="dxa"/>
            <w:tcBorders>
              <w:bottom w:val="single" w:sz="8" w:space="0" w:color="000000"/>
            </w:tcBorders>
            <w:shd w:fill="CCEEFF" w:val="clear"/>
            <w:vAlign w:val="center"/>
          </w:tcPr>
          <w:p>
            <w:pPr>
              <w:pStyle w:val="TableContents"/>
              <w:bidi w:val="0"/>
              <w:spacing w:before="0" w:after="283"/>
              <w:jc w:val="left"/>
              <w:rPr/>
            </w:pPr>
            <w:r>
              <w:rPr/>
              <w:t>BTC and revenues, including Volta*, for the three months ended December 31, 2023</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0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1,236</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46,241</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vAlign w:val="center"/>
          </w:tcPr>
          <w:p>
            <w:pPr>
              <w:pStyle w:val="TableContents"/>
              <w:bidi w:val="0"/>
              <w:spacing w:before="0" w:after="283"/>
              <w:jc w:val="left"/>
              <w:rPr/>
            </w:pPr>
            <w:r>
              <w:rPr/>
              <w:t> </w:t>
            </w:r>
          </w:p>
        </w:tc>
        <w:tc>
          <w:tcPr>
            <w:tcW w:w="612" w:type="dxa"/>
            <w:tcBorders>
              <w:bottom w:val="single" w:sz="8" w:space="0" w:color="000000"/>
            </w:tcBorders>
            <w:shd w:fill="CCEEFF" w:val="clear"/>
            <w:vAlign w:val="center"/>
          </w:tcPr>
          <w:p>
            <w:pPr>
              <w:pStyle w:val="TableContents"/>
              <w:bidi w:val="0"/>
              <w:spacing w:before="0" w:after="283"/>
              <w:jc w:val="right"/>
              <w:rPr/>
            </w:pPr>
            <w:r>
              <w:rPr/>
              <w:t>—</w:t>
            </w:r>
          </w:p>
        </w:tc>
        <w:tc>
          <w:tcPr>
            <w:tcW w:w="371" w:type="dxa"/>
            <w:tcBorders>
              <w:bottom w:val="single" w:sz="8" w:space="0" w:color="000000"/>
            </w:tcBorders>
            <w:shd w:fill="CCEEFF" w:val="clear"/>
            <w:vAlign w:val="center"/>
          </w:tcPr>
          <w:p>
            <w:pPr>
              <w:pStyle w:val="TableContents"/>
              <w:bidi w:val="0"/>
              <w:spacing w:before="0" w:after="283"/>
              <w:ind w:left="0" w:right="0" w:hanging="180"/>
              <w:jc w:val="left"/>
              <w:rPr/>
            </w:pPr>
            <w:r>
              <w:rPr/>
              <w:t> </w:t>
            </w:r>
          </w:p>
        </w:tc>
      </w:tr>
      <w:tr>
        <w:trPr/>
        <w:tc>
          <w:tcPr>
            <w:tcW w:w="6777" w:type="dxa"/>
            <w:tcBorders/>
            <w:shd w:fill="FFFFFF" w:val="clear"/>
            <w:tcMar>
              <w:bottom w:w="0" w:type="dxa"/>
            </w:tcMar>
            <w:vAlign w:val="center"/>
          </w:tcPr>
          <w:p>
            <w:pPr>
              <w:pStyle w:val="TableContents"/>
              <w:bidi w:val="0"/>
              <w:spacing w:before="0" w:after="283"/>
              <w:jc w:val="left"/>
              <w:rPr/>
            </w:pPr>
            <w:r>
              <w:rPr/>
              <w:t>Impact of BTC halving event on April 19, 2024 on Bitfarms’ quantity of BTC earned during Q4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(631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(56,355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pPr>
            <w:r>
              <w:rPr/>
              <w:t>(122</w:t>
            </w:r>
          </w:p>
        </w:tc>
        <w:tc>
          <w:tcPr>
            <w:tcW w:w="37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777" w:type="dxa"/>
            <w:tcBorders/>
            <w:shd w:fill="CCEEFF" w:val="clear"/>
            <w:tcMar>
              <w:bottom w:w="0" w:type="dxa"/>
            </w:tcMar>
            <w:vAlign w:val="center"/>
          </w:tcPr>
          <w:p>
            <w:pPr>
              <w:pStyle w:val="TableContents"/>
              <w:bidi w:val="0"/>
              <w:spacing w:before="0" w:after="283"/>
              <w:jc w:val="left"/>
              <w:rPr/>
            </w:pPr>
            <w:r>
              <w:rPr/>
              <w:t>Impact of increase in Network Difficulty during Q4 2024 as compared to Q4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(842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(61,401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(133</w:t>
            </w:r>
          </w:p>
        </w:tc>
        <w:tc>
          <w:tcPr>
            <w:tcW w:w="37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777" w:type="dxa"/>
            <w:tcBorders/>
            <w:shd w:fill="FFFFFF" w:val="clear"/>
            <w:tcMar>
              <w:bottom w:w="0" w:type="dxa"/>
            </w:tcMar>
            <w:vAlign w:val="center"/>
          </w:tcPr>
          <w:p>
            <w:pPr>
              <w:pStyle w:val="TableContents"/>
              <w:bidi w:val="0"/>
              <w:spacing w:before="0" w:after="283"/>
              <w:jc w:val="left"/>
              <w:rPr/>
            </w:pPr>
            <w:r>
              <w:rPr/>
              <w:t>Impact of increase in average Bitfarms’ BTC Hashrate during Q4 2024 as compared to Q4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891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72,875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pPr>
            <w:r>
              <w:rPr/>
              <w:t>158</w:t>
            </w:r>
          </w:p>
        </w:tc>
        <w:tc>
          <w:tcPr>
            <w:tcW w:w="371"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777" w:type="dxa"/>
            <w:tcBorders/>
            <w:shd w:fill="CCEEFF" w:val="clear"/>
            <w:tcMar>
              <w:bottom w:w="0" w:type="dxa"/>
            </w:tcMar>
            <w:vAlign w:val="center"/>
          </w:tcPr>
          <w:p>
            <w:pPr>
              <w:pStyle w:val="TableContents"/>
              <w:bidi w:val="0"/>
              <w:spacing w:before="0" w:after="283"/>
              <w:jc w:val="left"/>
              <w:rPr/>
            </w:pPr>
            <w:r>
              <w:rPr/>
              <w:t>Impact of difference in average BTC price in Q4 2024 as compared to Q4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53,807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pPr>
            <w:r>
              <w:rPr/>
              <w:t>116</w:t>
            </w:r>
          </w:p>
        </w:tc>
        <w:tc>
          <w:tcPr>
            <w:tcW w:w="37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777" w:type="dxa"/>
            <w:tcBorders>
              <w:bottom w:val="single" w:sz="8" w:space="0" w:color="000000"/>
            </w:tcBorders>
            <w:shd w:fill="FFFFFF" w:val="clear"/>
            <w:vAlign w:val="center"/>
          </w:tcPr>
          <w:p>
            <w:pPr>
              <w:pStyle w:val="TableContents"/>
              <w:bidi w:val="0"/>
              <w:spacing w:before="0" w:after="283"/>
              <w:jc w:val="left"/>
              <w:rPr/>
            </w:pPr>
            <w:r>
              <w:rPr/>
              <w:t>Other Mining variance, Computational power sold in exchange for services variance and change in Volta*</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996</w:t>
            </w:r>
          </w:p>
        </w:tc>
        <w:tc>
          <w:tcPr>
            <w:tcW w:w="95"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vAlign w:val="center"/>
          </w:tcPr>
          <w:p>
            <w:pPr>
              <w:pStyle w:val="TableContents"/>
              <w:bidi w:val="0"/>
              <w:spacing w:before="0" w:after="283"/>
              <w:jc w:val="left"/>
              <w:rPr/>
            </w:pPr>
            <w:r>
              <w:rPr/>
              <w:t> </w:t>
            </w:r>
          </w:p>
        </w:tc>
        <w:tc>
          <w:tcPr>
            <w:tcW w:w="612" w:type="dxa"/>
            <w:tcBorders>
              <w:bottom w:val="single" w:sz="8" w:space="0" w:color="000000"/>
            </w:tcBorders>
            <w:shd w:fill="FFFFFF" w:val="clear"/>
            <w:vAlign w:val="center"/>
          </w:tcPr>
          <w:p>
            <w:pPr>
              <w:pStyle w:val="TableContents"/>
              <w:bidi w:val="0"/>
              <w:spacing w:before="0" w:after="283"/>
              <w:jc w:val="right"/>
              <w:rPr/>
            </w:pPr>
            <w:r>
              <w:rPr/>
              <w:t>2</w:t>
            </w:r>
          </w:p>
        </w:tc>
        <w:tc>
          <w:tcPr>
            <w:tcW w:w="371" w:type="dxa"/>
            <w:tcBorders>
              <w:bottom w:val="single" w:sz="8" w:space="0" w:color="000000"/>
            </w:tcBorders>
            <w:shd w:fill="FFFFFF" w:val="clear"/>
            <w:vAlign w:val="center"/>
          </w:tcPr>
          <w:p>
            <w:pPr>
              <w:pStyle w:val="TableContents"/>
              <w:bidi w:val="0"/>
              <w:spacing w:before="0" w:after="283"/>
              <w:ind w:left="0" w:right="0" w:hanging="180"/>
              <w:jc w:val="left"/>
              <w:rPr/>
            </w:pPr>
            <w:r>
              <w:rPr/>
              <w:t>%</w:t>
            </w:r>
          </w:p>
        </w:tc>
      </w:tr>
      <w:tr>
        <w:trPr/>
        <w:tc>
          <w:tcPr>
            <w:tcW w:w="6777" w:type="dxa"/>
            <w:tcBorders>
              <w:bottom w:val="single" w:sz="8" w:space="0" w:color="000000"/>
            </w:tcBorders>
            <w:shd w:fill="CCEEFF" w:val="clear"/>
            <w:vAlign w:val="center"/>
          </w:tcPr>
          <w:p>
            <w:pPr>
              <w:pStyle w:val="TableContents"/>
              <w:bidi w:val="0"/>
              <w:spacing w:before="0" w:after="283"/>
              <w:jc w:val="left"/>
              <w:rPr>
                <w:b/>
              </w:rPr>
            </w:pPr>
            <w:r>
              <w:rPr>
                <w:b/>
              </w:rPr>
              <w:t>BTC and revenues, including Volta*, for the three months ended December 31, 2024</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0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b/>
              </w:rPr>
            </w:pPr>
            <w:r>
              <w:rPr>
                <w:b/>
              </w:rPr>
              <w:t>654</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b/>
              </w:rPr>
            </w:pPr>
            <w:r>
              <w:rPr>
                <w:b/>
              </w:rPr>
              <w:t>56,163</w:t>
            </w:r>
          </w:p>
        </w:tc>
        <w:tc>
          <w:tcPr>
            <w:tcW w:w="95"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vAlign w:val="center"/>
          </w:tcPr>
          <w:p>
            <w:pPr>
              <w:pStyle w:val="TableContents"/>
              <w:bidi w:val="0"/>
              <w:spacing w:before="0" w:after="283"/>
              <w:jc w:val="left"/>
              <w:rPr/>
            </w:pPr>
            <w:r>
              <w:rPr/>
              <w:t> </w:t>
            </w:r>
          </w:p>
        </w:tc>
        <w:tc>
          <w:tcPr>
            <w:tcW w:w="612" w:type="dxa"/>
            <w:tcBorders>
              <w:bottom w:val="single" w:sz="8" w:space="0" w:color="000000"/>
            </w:tcBorders>
            <w:shd w:fill="CCEEFF" w:val="clear"/>
            <w:vAlign w:val="center"/>
          </w:tcPr>
          <w:p>
            <w:pPr>
              <w:pStyle w:val="TableContents"/>
              <w:bidi w:val="0"/>
              <w:spacing w:before="0" w:after="283"/>
              <w:jc w:val="right"/>
              <w:rPr>
                <w:b/>
              </w:rPr>
            </w:pPr>
            <w:r>
              <w:rPr>
                <w:b/>
              </w:rPr>
              <w:t>21</w:t>
            </w:r>
          </w:p>
        </w:tc>
        <w:tc>
          <w:tcPr>
            <w:tcW w:w="371" w:type="dxa"/>
            <w:tcBorders>
              <w:bottom w:val="single" w:sz="8" w:space="0" w:color="000000"/>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*9159-9290 Quebec Inc. (“Volta”) is a wholly-owned subsidiary of the Company, assists the Company in building and maintaining its data centers and provides electrician services to both commercial and residential customers in Quebec, Canada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Notes</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center"/>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Calculated as the theoretical BTC earned based on Bitfarms’ actual Hashrate during Q4 2024 assuming the BTC halving event did not occur, compared to actual BTC earned during the same period multiplied by average BTC price earned.</w:t>
            </w:r>
          </w:p>
        </w:tc>
      </w:tr>
      <w:tr>
        <w:trPr/>
        <w:tc>
          <w:tcPr>
            <w:tcW w:w="500" w:type="dxa"/>
            <w:tcBorders/>
            <w:vAlign w:val="center"/>
          </w:tcPr>
          <w:p>
            <w:pPr>
              <w:pStyle w:val="TableContents"/>
              <w:bidi w:val="0"/>
              <w:spacing w:before="0" w:after="283"/>
              <w:jc w:val="center"/>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center"/>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Calculated as the difference in BTC earned in Q4 2024 compared to Q4 2023, based on the change in Network Difficulty, multiplied by Q4 2024 average BTC price earned.</w:t>
            </w:r>
          </w:p>
        </w:tc>
      </w:tr>
      <w:tr>
        <w:trPr/>
        <w:tc>
          <w:tcPr>
            <w:tcW w:w="500" w:type="dxa"/>
            <w:tcBorders/>
            <w:vAlign w:val="center"/>
          </w:tcPr>
          <w:p>
            <w:pPr>
              <w:pStyle w:val="TableContents"/>
              <w:bidi w:val="0"/>
              <w:spacing w:before="0" w:after="283"/>
              <w:jc w:val="center"/>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center"/>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Calculated as the difference in BTC earned in Q4 2024 compared to Q4 2023, based on the change in Bitfarms’ average Hashrate, multiplied by Q4 2024 average BTC price earned.</w:t>
            </w:r>
          </w:p>
        </w:tc>
      </w:tr>
      <w:tr>
        <w:trPr/>
        <w:tc>
          <w:tcPr>
            <w:tcW w:w="500" w:type="dxa"/>
            <w:tcBorders/>
            <w:vAlign w:val="center"/>
          </w:tcPr>
          <w:p>
            <w:pPr>
              <w:pStyle w:val="TableContents"/>
              <w:bidi w:val="0"/>
              <w:spacing w:before="0" w:after="283"/>
              <w:jc w:val="center"/>
              <w:rPr/>
            </w:pPr>
            <w:r>
              <w:rPr/>
              <w:t> </w:t>
            </w:r>
          </w:p>
        </w:tc>
        <w:tc>
          <w:tcPr>
            <w:tcW w:w="970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center"/>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Calculated as the difference in average BTC price in Q4 2024 compared to Q4 2023 multiplied by BTC earned in Q4 2023.</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20 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58"/>
        <w:gridCol w:w="8993"/>
      </w:tblGrid>
      <w:tr>
        <w:trPr/>
        <w:tc>
          <w:tcPr>
            <w:tcW w:w="1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b/>
              </w:rPr>
            </w:pPr>
            <w:r>
              <w:rPr>
                <w:b/>
              </w:rPr>
              <w:t>A.</w:t>
            </w:r>
          </w:p>
        </w:tc>
        <w:tc>
          <w:tcPr>
            <w:tcW w:w="8993" w:type="dxa"/>
            <w:tcBorders/>
            <w:vAlign w:val="center"/>
          </w:tcPr>
          <w:p>
            <w:pPr>
              <w:pStyle w:val="TableContents"/>
              <w:bidi w:val="0"/>
              <w:spacing w:before="0" w:after="283"/>
              <w:jc w:val="left"/>
              <w:rPr/>
            </w:pPr>
            <w:r>
              <w:rPr>
                <w:b/>
              </w:rPr>
              <w:t xml:space="preserve">Revenues </w:t>
            </w:r>
            <w:r>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Q4 2024 v. Q4 2023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Company’s revenues and average Hashrate for Q4 2024 and Q4 2023 by country:</w:t>
      </w:r>
    </w:p>
    <w:p>
      <w:pPr>
        <w:pStyle w:val="TextBody"/>
        <w:bidi w:val="0"/>
        <w:spacing w:before="0" w:after="0"/>
        <w:ind w:left="0" w:right="0" w:hanging="0"/>
        <w:jc w:val="both"/>
        <w:rPr>
          <w:caps w:val="false"/>
          <w:smallCaps w:val="false"/>
        </w:rPr>
      </w:pPr>
      <w:r>
        <w:rPr>
          <w:caps w:val="false"/>
          <w:smallCaps w:val="false"/>
        </w:rPr>
        <w:t> </w:t>
      </w:r>
    </w:p>
    <w:tbl>
      <w:tblPr>
        <w:tblW w:w="8753" w:type="dxa"/>
        <w:jc w:val="left"/>
        <w:tblInd w:w="0" w:type="dxa"/>
        <w:tblLayout w:type="fixed"/>
        <w:tblCellMar>
          <w:top w:w="0" w:type="dxa"/>
          <w:left w:w="0" w:type="dxa"/>
          <w:bottom w:w="0" w:type="dxa"/>
          <w:right w:w="0" w:type="dxa"/>
        </w:tblCellMar>
      </w:tblPr>
      <w:tblGrid>
        <w:gridCol w:w="4220"/>
        <w:gridCol w:w="60"/>
        <w:gridCol w:w="71"/>
        <w:gridCol w:w="807"/>
        <w:gridCol w:w="71"/>
        <w:gridCol w:w="71"/>
        <w:gridCol w:w="71"/>
        <w:gridCol w:w="807"/>
        <w:gridCol w:w="71"/>
        <w:gridCol w:w="71"/>
        <w:gridCol w:w="80"/>
        <w:gridCol w:w="855"/>
        <w:gridCol w:w="112"/>
        <w:gridCol w:w="71"/>
        <w:gridCol w:w="137"/>
        <w:gridCol w:w="873"/>
        <w:gridCol w:w="305"/>
      </w:tblGrid>
      <w:tr>
        <w:trPr/>
        <w:tc>
          <w:tcPr>
            <w:tcW w:w="4220"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4168" w:type="dxa"/>
            <w:gridSpan w:val="14"/>
            <w:tcBorders/>
            <w:vAlign w:val="center"/>
          </w:tcPr>
          <w:p>
            <w:pPr>
              <w:pStyle w:val="TableContents"/>
              <w:bidi w:val="0"/>
              <w:spacing w:before="0" w:after="283"/>
              <w:jc w:val="center"/>
              <w:rPr>
                <w:b/>
              </w:rPr>
            </w:pPr>
            <w:r>
              <w:rPr>
                <w:b/>
              </w:rPr>
              <w:t>Three months ended December 31,</w:t>
            </w:r>
          </w:p>
        </w:tc>
        <w:tc>
          <w:tcPr>
            <w:tcW w:w="305" w:type="dxa"/>
            <w:tcBorders/>
            <w:vAlign w:val="center"/>
          </w:tcPr>
          <w:p>
            <w:pPr>
              <w:pStyle w:val="TableContents"/>
              <w:bidi w:val="0"/>
              <w:spacing w:before="0" w:after="283"/>
              <w:jc w:val="left"/>
              <w:rPr/>
            </w:pPr>
            <w:r>
              <w:rPr/>
              <w:t> </w:t>
            </w:r>
          </w:p>
        </w:tc>
      </w:tr>
      <w:tr>
        <w:trPr/>
        <w:tc>
          <w:tcPr>
            <w:tcW w:w="422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(U.S.$ in thousands except where indicated)</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78"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rPr>
            </w:pPr>
            <w:r>
              <w:rPr>
                <w:b/>
              </w:rPr>
              <w:t>2024</w:t>
            </w:r>
          </w:p>
        </w:tc>
        <w:tc>
          <w:tcPr>
            <w:tcW w:w="7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78"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2023</w:t>
            </w:r>
          </w:p>
        </w:tc>
        <w:tc>
          <w:tcPr>
            <w:tcW w:w="7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93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 Change</w:t>
            </w:r>
          </w:p>
        </w:tc>
        <w:tc>
          <w:tcPr>
            <w:tcW w:w="112"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1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 Change</w:t>
            </w:r>
          </w:p>
        </w:tc>
        <w:tc>
          <w:tcPr>
            <w:tcW w:w="30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b/>
              </w:rPr>
            </w:pPr>
            <w:r>
              <w:rPr>
                <w:b/>
              </w:rPr>
              <w:t>North America</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Canada</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b/>
              </w:rPr>
            </w:pPr>
            <w:r>
              <w:rPr>
                <w:b/>
              </w:rPr>
              <w:t>31,678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30,257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1,421</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w:t>
            </w:r>
          </w:p>
        </w:tc>
        <w:tc>
          <w:tcPr>
            <w:tcW w:w="305" w:type="dxa"/>
            <w:tcBorders/>
            <w:shd w:fill="CCEEFF" w:val="clear"/>
            <w:vAlign w:val="center"/>
          </w:tcPr>
          <w:p>
            <w:pPr>
              <w:pStyle w:val="TableContents"/>
              <w:bidi w:val="0"/>
              <w:spacing w:before="0" w:after="283"/>
              <w:jc w:val="left"/>
              <w:rPr/>
            </w:pPr>
            <w:r>
              <w:rPr/>
              <w:t>%</w:t>
            </w:r>
          </w:p>
        </w:tc>
      </w:tr>
      <w:tr>
        <w:trPr/>
        <w:tc>
          <w:tcPr>
            <w:tcW w:w="4220" w:type="dxa"/>
            <w:tcBorders>
              <w:bottom w:val="single" w:sz="8" w:space="0" w:color="000000"/>
            </w:tcBorders>
            <w:shd w:fill="FFFFFF" w:val="clear"/>
            <w:tcMar>
              <w:bottom w:w="28" w:type="dxa"/>
            </w:tcMar>
            <w:vAlign w:val="center"/>
          </w:tcPr>
          <w:p>
            <w:pPr>
              <w:pStyle w:val="TableContents"/>
              <w:bidi w:val="0"/>
              <w:spacing w:before="0" w:after="283"/>
              <w:jc w:val="left"/>
              <w:rPr/>
            </w:pPr>
            <w:r>
              <w:rPr/>
              <w:t>United States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6,074</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8" w:space="0" w:color="000000"/>
            </w:tcBorders>
            <w:shd w:fill="FFFFFF" w:val="clear"/>
            <w:tcMar>
              <w:bottom w:w="28" w:type="dxa"/>
            </w:tcMar>
            <w:vAlign w:val="center"/>
          </w:tcPr>
          <w:p>
            <w:pPr>
              <w:pStyle w:val="TableContents"/>
              <w:bidi w:val="0"/>
              <w:spacing w:before="0" w:after="283"/>
              <w:jc w:val="right"/>
              <w:rPr/>
            </w:pPr>
            <w:r>
              <w:rPr/>
              <w:t>4,291</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1,783</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b/>
              </w:rPr>
            </w:pPr>
            <w:r>
              <w:rPr>
                <w:b/>
              </w:rPr>
              <w:t>37,752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34,548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3,204</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w:t>
            </w:r>
          </w:p>
        </w:tc>
        <w:tc>
          <w:tcPr>
            <w:tcW w:w="305"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b/>
              </w:rPr>
            </w:pPr>
            <w:r>
              <w:rPr>
                <w:b/>
              </w:rPr>
              <w:t>South America</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Paraguay</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b/>
              </w:rPr>
            </w:pPr>
            <w:r>
              <w:rPr>
                <w:b/>
              </w:rPr>
              <w:t>10,352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1,864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8,488</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455</w:t>
            </w:r>
          </w:p>
        </w:tc>
        <w:tc>
          <w:tcPr>
            <w:tcW w:w="305" w:type="dxa"/>
            <w:tcBorders/>
            <w:shd w:fill="CCEEFF" w:val="clear"/>
            <w:vAlign w:val="center"/>
          </w:tcPr>
          <w:p>
            <w:pPr>
              <w:pStyle w:val="TableContents"/>
              <w:bidi w:val="0"/>
              <w:spacing w:before="0" w:after="283"/>
              <w:jc w:val="left"/>
              <w:rPr/>
            </w:pPr>
            <w:r>
              <w:rPr/>
              <w:t>%</w:t>
            </w:r>
          </w:p>
        </w:tc>
      </w:tr>
      <w:tr>
        <w:trPr/>
        <w:tc>
          <w:tcPr>
            <w:tcW w:w="4220" w:type="dxa"/>
            <w:tcBorders>
              <w:bottom w:val="single" w:sz="8" w:space="0" w:color="000000"/>
            </w:tcBorders>
            <w:shd w:fill="FFFFFF" w:val="clear"/>
            <w:tcMar>
              <w:bottom w:w="28" w:type="dxa"/>
            </w:tcMar>
            <w:vAlign w:val="center"/>
          </w:tcPr>
          <w:p>
            <w:pPr>
              <w:pStyle w:val="TableContents"/>
              <w:bidi w:val="0"/>
              <w:spacing w:before="0" w:after="283"/>
              <w:jc w:val="left"/>
              <w:rPr/>
            </w:pPr>
            <w:r>
              <w:rPr/>
              <w:t>Argentina</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8,059</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8" w:space="0" w:color="000000"/>
            </w:tcBorders>
            <w:shd w:fill="FFFFFF" w:val="clear"/>
            <w:tcMar>
              <w:bottom w:w="28" w:type="dxa"/>
            </w:tcMar>
            <w:vAlign w:val="center"/>
          </w:tcPr>
          <w:p>
            <w:pPr>
              <w:pStyle w:val="TableContents"/>
              <w:bidi w:val="0"/>
              <w:spacing w:before="0" w:after="283"/>
              <w:jc w:val="right"/>
              <w:rPr/>
            </w:pPr>
            <w:r>
              <w:rPr/>
              <w:t>9,829</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(1,770</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4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18,411</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8" w:space="0" w:color="000000"/>
            </w:tcBorders>
            <w:shd w:fill="CCEEFF" w:val="clear"/>
            <w:tcMar>
              <w:bottom w:w="28" w:type="dxa"/>
            </w:tcMar>
            <w:vAlign w:val="center"/>
          </w:tcPr>
          <w:p>
            <w:pPr>
              <w:pStyle w:val="TableContents"/>
              <w:bidi w:val="0"/>
              <w:spacing w:before="0" w:after="283"/>
              <w:jc w:val="right"/>
              <w:rPr/>
            </w:pPr>
            <w:r>
              <w:rPr/>
              <w:t>11,693</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pPr>
            <w:r>
              <w:rPr/>
              <w:t>6,718</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pPr>
            <w:r>
              <w:rPr/>
              <w:t>57</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4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56,163</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46,241</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9,922</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9115" w:type="dxa"/>
        <w:jc w:val="left"/>
        <w:tblInd w:w="0" w:type="dxa"/>
        <w:tblLayout w:type="fixed"/>
        <w:tblCellMar>
          <w:top w:w="0" w:type="dxa"/>
          <w:left w:w="0" w:type="dxa"/>
          <w:bottom w:w="28" w:type="dxa"/>
          <w:right w:w="0" w:type="dxa"/>
        </w:tblCellMar>
      </w:tblPr>
      <w:tblGrid>
        <w:gridCol w:w="4910"/>
        <w:gridCol w:w="60"/>
        <w:gridCol w:w="104"/>
        <w:gridCol w:w="763"/>
        <w:gridCol w:w="104"/>
        <w:gridCol w:w="104"/>
        <w:gridCol w:w="104"/>
        <w:gridCol w:w="555"/>
        <w:gridCol w:w="104"/>
        <w:gridCol w:w="104"/>
        <w:gridCol w:w="119"/>
        <w:gridCol w:w="636"/>
        <w:gridCol w:w="104"/>
        <w:gridCol w:w="104"/>
        <w:gridCol w:w="137"/>
        <w:gridCol w:w="873"/>
        <w:gridCol w:w="230"/>
      </w:tblGrid>
      <w:tr>
        <w:trPr/>
        <w:tc>
          <w:tcPr>
            <w:tcW w:w="4910" w:type="dxa"/>
            <w:tcBorders>
              <w:bottom w:val="single" w:sz="8" w:space="0" w:color="000000"/>
            </w:tcBorders>
            <w:vAlign w:val="center"/>
          </w:tcPr>
          <w:p>
            <w:pPr>
              <w:pStyle w:val="TableContents"/>
              <w:bidi w:val="0"/>
              <w:spacing w:before="0" w:after="283"/>
              <w:jc w:val="left"/>
              <w:rPr>
                <w:b/>
              </w:rPr>
            </w:pPr>
            <w:r>
              <w:rPr>
                <w:b/>
              </w:rPr>
              <w:t>Average Hashrate</w:t>
            </w:r>
          </w:p>
        </w:tc>
        <w:tc>
          <w:tcPr>
            <w:tcW w:w="60" w:type="dxa"/>
            <w:tcBorders>
              <w:bottom w:val="single" w:sz="8" w:space="0" w:color="000000"/>
            </w:tcBorders>
            <w:vAlign w:val="center"/>
          </w:tcPr>
          <w:p>
            <w:pPr>
              <w:pStyle w:val="TableContents"/>
              <w:bidi w:val="0"/>
              <w:spacing w:before="0" w:after="283"/>
              <w:jc w:val="left"/>
              <w:rPr/>
            </w:pPr>
            <w:r>
              <w:rPr/>
              <w:t> </w:t>
            </w:r>
          </w:p>
        </w:tc>
        <w:tc>
          <w:tcPr>
            <w:tcW w:w="3915" w:type="dxa"/>
            <w:gridSpan w:val="14"/>
            <w:tcBorders>
              <w:bottom w:val="single" w:sz="8" w:space="0" w:color="000000"/>
            </w:tcBorders>
            <w:vAlign w:val="center"/>
          </w:tcPr>
          <w:p>
            <w:pPr>
              <w:pStyle w:val="TableContents"/>
              <w:bidi w:val="0"/>
              <w:spacing w:before="0" w:after="283"/>
              <w:jc w:val="center"/>
              <w:rPr>
                <w:b/>
              </w:rPr>
            </w:pPr>
            <w:r>
              <w:rPr>
                <w:b/>
              </w:rPr>
              <w:t>Three months ended December 31,</w:t>
            </w:r>
          </w:p>
        </w:tc>
        <w:tc>
          <w:tcPr>
            <w:tcW w:w="230" w:type="dxa"/>
            <w:tcBorders>
              <w:bottom w:val="single" w:sz="8" w:space="0" w:color="000000"/>
            </w:tcBorders>
            <w:vAlign w:val="center"/>
          </w:tcPr>
          <w:p>
            <w:pPr>
              <w:pStyle w:val="TableContents"/>
              <w:bidi w:val="0"/>
              <w:spacing w:before="0" w:after="283"/>
              <w:jc w:val="left"/>
              <w:rPr/>
            </w:pPr>
            <w:r>
              <w:rPr/>
              <w:t> </w:t>
            </w:r>
          </w:p>
        </w:tc>
      </w:tr>
      <w:tr>
        <w:trPr/>
        <w:tc>
          <w:tcPr>
            <w:tcW w:w="4910" w:type="dxa"/>
            <w:tcBorders>
              <w:bottom w:val="single" w:sz="8" w:space="0" w:color="000000"/>
            </w:tcBorders>
            <w:vAlign w:val="center"/>
          </w:tcPr>
          <w:p>
            <w:pPr>
              <w:pStyle w:val="TableContents"/>
              <w:bidi w:val="0"/>
              <w:spacing w:before="0" w:after="283"/>
              <w:jc w:val="left"/>
              <w:rPr/>
            </w:pPr>
            <w:r>
              <w:rPr/>
              <w:t>(Average Hashrate in EH/s except where indicated)</w:t>
            </w:r>
          </w:p>
        </w:tc>
        <w:tc>
          <w:tcPr>
            <w:tcW w:w="60" w:type="dxa"/>
            <w:tcBorders>
              <w:bottom w:val="single" w:sz="8" w:space="0" w:color="000000"/>
            </w:tcBorders>
            <w:vAlign w:val="center"/>
          </w:tcPr>
          <w:p>
            <w:pPr>
              <w:pStyle w:val="TableContents"/>
              <w:bidi w:val="0"/>
              <w:spacing w:before="0" w:after="283"/>
              <w:jc w:val="left"/>
              <w:rPr/>
            </w:pPr>
            <w:r>
              <w:rPr/>
              <w:t> </w:t>
            </w:r>
          </w:p>
        </w:tc>
        <w:tc>
          <w:tcPr>
            <w:tcW w:w="867" w:type="dxa"/>
            <w:gridSpan w:val="2"/>
            <w:tcBorders>
              <w:bottom w:val="single" w:sz="8" w:space="0" w:color="000000"/>
            </w:tcBorders>
            <w:vAlign w:val="center"/>
          </w:tcPr>
          <w:p>
            <w:pPr>
              <w:pStyle w:val="TableContents"/>
              <w:bidi w:val="0"/>
              <w:spacing w:before="0" w:after="283"/>
              <w:jc w:val="right"/>
              <w:rPr>
                <w:b/>
              </w:rPr>
            </w:pPr>
            <w:r>
              <w:rPr>
                <w:b/>
              </w:rPr>
              <w:t>2024</w:t>
            </w:r>
          </w:p>
        </w:tc>
        <w:tc>
          <w:tcPr>
            <w:tcW w:w="104" w:type="dxa"/>
            <w:tcBorders>
              <w:bottom w:val="single" w:sz="8" w:space="0" w:color="000000"/>
            </w:tcBorders>
            <w:vAlign w:val="center"/>
          </w:tcPr>
          <w:p>
            <w:pPr>
              <w:pStyle w:val="TableContents"/>
              <w:bidi w:val="0"/>
              <w:spacing w:before="0" w:after="283"/>
              <w:jc w:val="left"/>
              <w:rPr/>
            </w:pPr>
            <w:r>
              <w:rPr/>
              <w:t> </w:t>
            </w:r>
          </w:p>
        </w:tc>
        <w:tc>
          <w:tcPr>
            <w:tcW w:w="104" w:type="dxa"/>
            <w:tcBorders>
              <w:bottom w:val="single" w:sz="8" w:space="0" w:color="000000"/>
            </w:tcBorders>
            <w:vAlign w:val="center"/>
          </w:tcPr>
          <w:p>
            <w:pPr>
              <w:pStyle w:val="TableContents"/>
              <w:bidi w:val="0"/>
              <w:spacing w:before="0" w:after="283"/>
              <w:jc w:val="left"/>
              <w:rPr/>
            </w:pPr>
            <w:r>
              <w:rPr/>
              <w:t> </w:t>
            </w:r>
          </w:p>
        </w:tc>
        <w:tc>
          <w:tcPr>
            <w:tcW w:w="659" w:type="dxa"/>
            <w:gridSpan w:val="2"/>
            <w:tcBorders>
              <w:bottom w:val="single" w:sz="8" w:space="0" w:color="000000"/>
            </w:tcBorders>
            <w:vAlign w:val="center"/>
          </w:tcPr>
          <w:p>
            <w:pPr>
              <w:pStyle w:val="TableContents"/>
              <w:bidi w:val="0"/>
              <w:spacing w:before="0" w:after="283"/>
              <w:jc w:val="right"/>
              <w:rPr/>
            </w:pPr>
            <w:r>
              <w:rPr/>
              <w:t>2023</w:t>
            </w:r>
          </w:p>
        </w:tc>
        <w:tc>
          <w:tcPr>
            <w:tcW w:w="104" w:type="dxa"/>
            <w:tcBorders>
              <w:bottom w:val="single" w:sz="8" w:space="0" w:color="000000"/>
            </w:tcBorders>
            <w:vAlign w:val="center"/>
          </w:tcPr>
          <w:p>
            <w:pPr>
              <w:pStyle w:val="TableContents"/>
              <w:bidi w:val="0"/>
              <w:spacing w:before="0" w:after="283"/>
              <w:jc w:val="left"/>
              <w:rPr/>
            </w:pPr>
            <w:r>
              <w:rPr/>
              <w:t> </w:t>
            </w:r>
          </w:p>
        </w:tc>
        <w:tc>
          <w:tcPr>
            <w:tcW w:w="104" w:type="dxa"/>
            <w:tcBorders>
              <w:bottom w:val="single" w:sz="8" w:space="0" w:color="000000"/>
            </w:tcBorders>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right"/>
              <w:rPr/>
            </w:pPr>
            <w:r>
              <w:rPr/>
              <w:t>Change</w:t>
            </w:r>
          </w:p>
        </w:tc>
        <w:tc>
          <w:tcPr>
            <w:tcW w:w="104" w:type="dxa"/>
            <w:tcBorders>
              <w:bottom w:val="single" w:sz="8" w:space="0" w:color="000000"/>
            </w:tcBorders>
            <w:vAlign w:val="center"/>
          </w:tcPr>
          <w:p>
            <w:pPr>
              <w:pStyle w:val="TableContents"/>
              <w:bidi w:val="0"/>
              <w:spacing w:before="0" w:after="283"/>
              <w:jc w:val="left"/>
              <w:rPr/>
            </w:pPr>
            <w:r>
              <w:rPr/>
              <w:t> </w:t>
            </w:r>
          </w:p>
        </w:tc>
        <w:tc>
          <w:tcPr>
            <w:tcW w:w="104" w:type="dxa"/>
            <w:tcBorders>
              <w:bottom w:val="single" w:sz="8" w:space="0" w:color="000000"/>
            </w:tcBorders>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right"/>
              <w:rPr/>
            </w:pPr>
            <w:r>
              <w:rPr/>
              <w:t>% Change</w:t>
            </w:r>
          </w:p>
        </w:tc>
        <w:tc>
          <w:tcPr>
            <w:tcW w:w="230" w:type="dxa"/>
            <w:tcBorders>
              <w:bottom w:val="single" w:sz="8" w:space="0" w:color="000000"/>
            </w:tcBorders>
            <w:vAlign w:val="center"/>
          </w:tcPr>
          <w:p>
            <w:pPr>
              <w:pStyle w:val="TableContents"/>
              <w:bidi w:val="0"/>
              <w:spacing w:before="0" w:after="283"/>
              <w:jc w:val="left"/>
              <w:rPr/>
            </w:pPr>
            <w:r>
              <w:rPr/>
              <w:t> </w:t>
            </w:r>
          </w:p>
        </w:tc>
      </w:tr>
      <w:tr>
        <w:trPr/>
        <w:tc>
          <w:tcPr>
            <w:tcW w:w="4910" w:type="dxa"/>
            <w:tcBorders/>
            <w:tcMar>
              <w:bottom w:w="0" w:type="dxa"/>
            </w:tcMar>
            <w:vAlign w:val="center"/>
          </w:tcPr>
          <w:p>
            <w:pPr>
              <w:pStyle w:val="TableContents"/>
              <w:bidi w:val="0"/>
              <w:spacing w:before="0" w:after="283"/>
              <w:jc w:val="left"/>
              <w:rPr>
                <w:b/>
              </w:rPr>
            </w:pPr>
            <w:r>
              <w:rPr>
                <w:b/>
              </w:rPr>
              <w:t>North America</w:t>
            </w:r>
          </w:p>
        </w:tc>
        <w:tc>
          <w:tcPr>
            <w:tcW w:w="60" w:type="dxa"/>
            <w:tcBorders/>
            <w:tcMar>
              <w:bottom w:w="0" w:type="dxa"/>
            </w:tcMar>
            <w:vAlign w:val="center"/>
          </w:tcPr>
          <w:p>
            <w:pPr>
              <w:pStyle w:val="TableContents"/>
              <w:bidi w:val="0"/>
              <w:spacing w:before="0" w:after="283"/>
              <w:jc w:val="left"/>
              <w:rPr/>
            </w:pPr>
            <w:r>
              <w:rPr/>
              <w:t> </w:t>
            </w:r>
          </w:p>
        </w:tc>
        <w:tc>
          <w:tcPr>
            <w:tcW w:w="867" w:type="dxa"/>
            <w:gridSpan w:val="2"/>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659" w:type="dxa"/>
            <w:gridSpan w:val="2"/>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101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910" w:type="dxa"/>
            <w:tcBorders/>
            <w:shd w:fill="CCEEFF" w:val="clear"/>
            <w:tcMar>
              <w:bottom w:w="0" w:type="dxa"/>
            </w:tcMar>
            <w:vAlign w:val="center"/>
          </w:tcPr>
          <w:p>
            <w:pPr>
              <w:pStyle w:val="TableContents"/>
              <w:bidi w:val="0"/>
              <w:spacing w:before="0" w:after="283"/>
              <w:jc w:val="left"/>
              <w:rPr/>
            </w:pPr>
            <w:r>
              <w:rPr/>
              <w:t>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b/>
              </w:rPr>
            </w:pPr>
            <w:r>
              <w:rPr>
                <w:b/>
              </w:rPr>
              <w:t>6.0</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555" w:type="dxa"/>
            <w:tcBorders/>
            <w:shd w:fill="CCEEFF" w:val="clear"/>
            <w:tcMar>
              <w:bottom w:w="0" w:type="dxa"/>
            </w:tcMar>
            <w:vAlign w:val="center"/>
          </w:tcPr>
          <w:p>
            <w:pPr>
              <w:pStyle w:val="TableContents"/>
              <w:bidi w:val="0"/>
              <w:spacing w:before="0" w:after="283"/>
              <w:jc w:val="right"/>
              <w:rPr/>
            </w:pPr>
            <w:r>
              <w:rPr/>
              <w:t>3.9</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pPr>
            <w:r>
              <w:rPr/>
              <w:t>2.1</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54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910" w:type="dxa"/>
            <w:tcBorders>
              <w:bottom w:val="single" w:sz="12" w:space="0" w:color="000000"/>
            </w:tcBorders>
            <w:shd w:fill="FFFFFF" w:val="clear"/>
            <w:vAlign w:val="center"/>
          </w:tcPr>
          <w:p>
            <w:pPr>
              <w:pStyle w:val="TableContents"/>
              <w:bidi w:val="0"/>
              <w:spacing w:before="0" w:after="283"/>
              <w:jc w:val="left"/>
              <w:rPr/>
            </w:pPr>
            <w:r>
              <w:rPr/>
              <w:t>United States</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763" w:type="dxa"/>
            <w:tcBorders>
              <w:bottom w:val="single" w:sz="12" w:space="0" w:color="000000"/>
            </w:tcBorders>
            <w:shd w:fill="FFFFFF" w:val="clear"/>
            <w:vAlign w:val="center"/>
          </w:tcPr>
          <w:p>
            <w:pPr>
              <w:pStyle w:val="TableContents"/>
              <w:bidi w:val="0"/>
              <w:spacing w:before="0" w:after="283"/>
              <w:jc w:val="right"/>
              <w:rPr>
                <w:b/>
              </w:rPr>
            </w:pPr>
            <w:r>
              <w:rPr>
                <w:b/>
              </w:rPr>
              <w:t>1.2</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555" w:type="dxa"/>
            <w:tcBorders>
              <w:bottom w:val="single" w:sz="12" w:space="0" w:color="000000"/>
            </w:tcBorders>
            <w:shd w:fill="FFFFFF" w:val="clear"/>
            <w:vAlign w:val="center"/>
          </w:tcPr>
          <w:p>
            <w:pPr>
              <w:pStyle w:val="TableContents"/>
              <w:bidi w:val="0"/>
              <w:spacing w:before="0" w:after="283"/>
              <w:jc w:val="right"/>
              <w:rPr/>
            </w:pPr>
            <w:r>
              <w:rPr/>
              <w:t>0.6</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vAlign w:val="center"/>
          </w:tcPr>
          <w:p>
            <w:pPr>
              <w:pStyle w:val="TableContents"/>
              <w:bidi w:val="0"/>
              <w:spacing w:before="0" w:after="283"/>
              <w:jc w:val="left"/>
              <w:rPr/>
            </w:pPr>
            <w:r>
              <w:rPr/>
              <w:t> </w:t>
            </w:r>
          </w:p>
        </w:tc>
        <w:tc>
          <w:tcPr>
            <w:tcW w:w="636" w:type="dxa"/>
            <w:tcBorders>
              <w:bottom w:val="single" w:sz="12" w:space="0" w:color="000000"/>
            </w:tcBorders>
            <w:shd w:fill="FFFFFF" w:val="clear"/>
            <w:vAlign w:val="center"/>
          </w:tcPr>
          <w:p>
            <w:pPr>
              <w:pStyle w:val="TableContents"/>
              <w:bidi w:val="0"/>
              <w:spacing w:before="0" w:after="283"/>
              <w:jc w:val="right"/>
              <w:rPr/>
            </w:pPr>
            <w:r>
              <w:rPr/>
              <w:t>0.6</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vAlign w:val="center"/>
          </w:tcPr>
          <w:p>
            <w:pPr>
              <w:pStyle w:val="TableContents"/>
              <w:bidi w:val="0"/>
              <w:spacing w:before="0" w:after="283"/>
              <w:jc w:val="left"/>
              <w:rPr/>
            </w:pPr>
            <w:r>
              <w:rPr/>
              <w:t> </w:t>
            </w:r>
          </w:p>
        </w:tc>
        <w:tc>
          <w:tcPr>
            <w:tcW w:w="873" w:type="dxa"/>
            <w:tcBorders>
              <w:bottom w:val="single" w:sz="12" w:space="0" w:color="000000"/>
            </w:tcBorders>
            <w:shd w:fill="FFFFFF" w:val="clear"/>
            <w:vAlign w:val="center"/>
          </w:tcPr>
          <w:p>
            <w:pPr>
              <w:pStyle w:val="TableContents"/>
              <w:bidi w:val="0"/>
              <w:spacing w:before="0" w:after="283"/>
              <w:jc w:val="right"/>
              <w:rPr/>
            </w:pPr>
            <w:r>
              <w:rPr/>
              <w:t>100</w:t>
            </w:r>
          </w:p>
        </w:tc>
        <w:tc>
          <w:tcPr>
            <w:tcW w:w="230" w:type="dxa"/>
            <w:tcBorders>
              <w:bottom w:val="single" w:sz="12" w:space="0" w:color="000000"/>
            </w:tcBorders>
            <w:shd w:fill="FFFFFF" w:val="clear"/>
            <w:vAlign w:val="center"/>
          </w:tcPr>
          <w:p>
            <w:pPr>
              <w:pStyle w:val="TableContents"/>
              <w:bidi w:val="0"/>
              <w:spacing w:before="0" w:after="283"/>
              <w:jc w:val="left"/>
              <w:rPr/>
            </w:pPr>
            <w:r>
              <w:rPr/>
              <w:t>%</w:t>
            </w:r>
          </w:p>
        </w:tc>
      </w:tr>
      <w:tr>
        <w:trPr/>
        <w:tc>
          <w:tcPr>
            <w:tcW w:w="49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b/>
              </w:rPr>
            </w:pPr>
            <w:r>
              <w:rPr>
                <w:b/>
              </w:rPr>
              <w:t>7.2</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555" w:type="dxa"/>
            <w:tcBorders/>
            <w:shd w:fill="CCEEFF" w:val="clear"/>
            <w:tcMar>
              <w:bottom w:w="0" w:type="dxa"/>
            </w:tcMar>
            <w:vAlign w:val="center"/>
          </w:tcPr>
          <w:p>
            <w:pPr>
              <w:pStyle w:val="TableContents"/>
              <w:bidi w:val="0"/>
              <w:spacing w:before="0" w:after="283"/>
              <w:jc w:val="right"/>
              <w:rPr/>
            </w:pPr>
            <w:r>
              <w:rPr/>
              <w:t>4.5</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pPr>
            <w:r>
              <w:rPr/>
              <w:t>2.7</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60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910" w:type="dxa"/>
            <w:tcBorders/>
            <w:shd w:fill="FFFFFF" w:val="clear"/>
            <w:tcMar>
              <w:bottom w:w="0" w:type="dxa"/>
            </w:tcMar>
            <w:vAlign w:val="center"/>
          </w:tcPr>
          <w:p>
            <w:pPr>
              <w:pStyle w:val="TableContents"/>
              <w:bidi w:val="0"/>
              <w:spacing w:before="0" w:after="283"/>
              <w:jc w:val="left"/>
              <w:rPr>
                <w:b/>
              </w:rPr>
            </w:pPr>
            <w:r>
              <w:rPr>
                <w:b/>
              </w:rPr>
              <w:t>South America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555" w:type="dxa"/>
            <w:tcBorders/>
            <w:shd w:fill="FFFFFF" w:val="clear"/>
            <w:tcMar>
              <w:bottom w:w="0" w:type="dxa"/>
            </w:tcMar>
            <w:vAlign w:val="center"/>
          </w:tcPr>
          <w:p>
            <w:pPr>
              <w:pStyle w:val="TableContents"/>
              <w:bidi w:val="0"/>
              <w:spacing w:before="0" w:after="283"/>
              <w:jc w:val="righ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636" w:type="dxa"/>
            <w:tcBorders/>
            <w:shd w:fill="FFFFFF" w:val="clear"/>
            <w:tcMar>
              <w:bottom w:w="0" w:type="dxa"/>
            </w:tcMar>
            <w:vAlign w:val="center"/>
          </w:tcPr>
          <w:p>
            <w:pPr>
              <w:pStyle w:val="TableContents"/>
              <w:bidi w:val="0"/>
              <w:spacing w:before="0" w:after="283"/>
              <w:jc w:val="righ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910" w:type="dxa"/>
            <w:tcBorders/>
            <w:shd w:fill="CCEEFF" w:val="clear"/>
            <w:tcMar>
              <w:bottom w:w="0" w:type="dxa"/>
            </w:tcMar>
            <w:vAlign w:val="center"/>
          </w:tcPr>
          <w:p>
            <w:pPr>
              <w:pStyle w:val="TableContents"/>
              <w:bidi w:val="0"/>
              <w:spacing w:before="0" w:after="283"/>
              <w:jc w:val="left"/>
              <w:rPr/>
            </w:pPr>
            <w:r>
              <w:rPr/>
              <w:t>Paraguay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b/>
              </w:rPr>
            </w:pPr>
            <w:r>
              <w:rPr>
                <w:b/>
              </w:rPr>
              <w:t>2.1</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555" w:type="dxa"/>
            <w:tcBorders/>
            <w:shd w:fill="CCEEFF" w:val="clear"/>
            <w:tcMar>
              <w:bottom w:w="0" w:type="dxa"/>
            </w:tcMar>
            <w:vAlign w:val="center"/>
          </w:tcPr>
          <w:p>
            <w:pPr>
              <w:pStyle w:val="TableContents"/>
              <w:bidi w:val="0"/>
              <w:spacing w:before="0" w:after="283"/>
              <w:jc w:val="right"/>
              <w:rPr/>
            </w:pPr>
            <w:r>
              <w:rPr/>
              <w:t>0.3</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pPr>
            <w:r>
              <w:rPr/>
              <w:t>1.8</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600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910" w:type="dxa"/>
            <w:tcBorders>
              <w:bottom w:val="single" w:sz="8" w:space="0" w:color="000000"/>
            </w:tcBorders>
            <w:shd w:fill="FFFFFF" w:val="clear"/>
            <w:vAlign w:val="center"/>
          </w:tcPr>
          <w:p>
            <w:pPr>
              <w:pStyle w:val="TableContents"/>
              <w:bidi w:val="0"/>
              <w:spacing w:before="0" w:after="283"/>
              <w:jc w:val="left"/>
              <w:rPr/>
            </w:pPr>
            <w:r>
              <w:rPr/>
              <w:t>Argentina</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763" w:type="dxa"/>
            <w:tcBorders>
              <w:bottom w:val="single" w:sz="8" w:space="0" w:color="000000"/>
            </w:tcBorders>
            <w:shd w:fill="FFFFFF" w:val="clear"/>
            <w:vAlign w:val="center"/>
          </w:tcPr>
          <w:p>
            <w:pPr>
              <w:pStyle w:val="TableContents"/>
              <w:bidi w:val="0"/>
              <w:spacing w:before="0" w:after="283"/>
              <w:jc w:val="right"/>
              <w:rPr>
                <w:b/>
              </w:rPr>
            </w:pPr>
            <w:r>
              <w:rPr>
                <w:b/>
              </w:rPr>
              <w:t>1.6</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555" w:type="dxa"/>
            <w:tcBorders>
              <w:bottom w:val="single" w:sz="8" w:space="0" w:color="000000"/>
            </w:tcBorders>
            <w:shd w:fill="FFFFFF" w:val="clear"/>
            <w:vAlign w:val="center"/>
          </w:tcPr>
          <w:p>
            <w:pPr>
              <w:pStyle w:val="TableContents"/>
              <w:bidi w:val="0"/>
              <w:spacing w:before="0" w:after="283"/>
              <w:jc w:val="right"/>
              <w:rPr/>
            </w:pPr>
            <w:r>
              <w:rPr/>
              <w:t>1.2</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636" w:type="dxa"/>
            <w:tcBorders>
              <w:bottom w:val="single" w:sz="8" w:space="0" w:color="000000"/>
            </w:tcBorders>
            <w:shd w:fill="FFFFFF" w:val="clear"/>
            <w:vAlign w:val="center"/>
          </w:tcPr>
          <w:p>
            <w:pPr>
              <w:pStyle w:val="TableContents"/>
              <w:bidi w:val="0"/>
              <w:spacing w:before="0" w:after="283"/>
              <w:jc w:val="right"/>
              <w:rPr/>
            </w:pPr>
            <w:r>
              <w:rPr/>
              <w:t>0.4</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vAlign w:val="center"/>
          </w:tcPr>
          <w:p>
            <w:pPr>
              <w:pStyle w:val="TableContents"/>
              <w:bidi w:val="0"/>
              <w:spacing w:before="0" w:after="283"/>
              <w:jc w:val="left"/>
              <w:rPr/>
            </w:pPr>
            <w:r>
              <w:rPr/>
              <w:t> </w:t>
            </w:r>
          </w:p>
        </w:tc>
        <w:tc>
          <w:tcPr>
            <w:tcW w:w="137" w:type="dxa"/>
            <w:tcBorders>
              <w:bottom w:val="single" w:sz="8" w:space="0" w:color="000000"/>
            </w:tcBorders>
            <w:shd w:fill="FFFFFF" w:val="clear"/>
            <w:vAlign w:val="center"/>
          </w:tcPr>
          <w:p>
            <w:pPr>
              <w:pStyle w:val="TableContents"/>
              <w:bidi w:val="0"/>
              <w:spacing w:before="0" w:after="283"/>
              <w:jc w:val="left"/>
              <w:rPr/>
            </w:pPr>
            <w:r>
              <w:rPr/>
              <w:t> </w:t>
            </w:r>
          </w:p>
        </w:tc>
        <w:tc>
          <w:tcPr>
            <w:tcW w:w="873" w:type="dxa"/>
            <w:tcBorders>
              <w:bottom w:val="single" w:sz="8" w:space="0" w:color="000000"/>
            </w:tcBorders>
            <w:shd w:fill="FFFFFF" w:val="clear"/>
            <w:vAlign w:val="center"/>
          </w:tcPr>
          <w:p>
            <w:pPr>
              <w:pStyle w:val="TableContents"/>
              <w:bidi w:val="0"/>
              <w:spacing w:before="0" w:after="283"/>
              <w:jc w:val="right"/>
              <w:rPr/>
            </w:pPr>
            <w:r>
              <w:rPr/>
              <w:t>33</w:t>
            </w:r>
          </w:p>
        </w:tc>
        <w:tc>
          <w:tcPr>
            <w:tcW w:w="230" w:type="dxa"/>
            <w:tcBorders>
              <w:bottom w:val="single" w:sz="8" w:space="0" w:color="000000"/>
            </w:tcBorders>
            <w:shd w:fill="FFFFFF" w:val="clear"/>
            <w:vAlign w:val="center"/>
          </w:tcPr>
          <w:p>
            <w:pPr>
              <w:pStyle w:val="TableContents"/>
              <w:bidi w:val="0"/>
              <w:spacing w:before="0" w:after="283"/>
              <w:jc w:val="left"/>
              <w:rPr/>
            </w:pPr>
            <w:r>
              <w:rPr/>
              <w:t>%</w:t>
            </w:r>
          </w:p>
        </w:tc>
      </w:tr>
      <w:tr>
        <w:trPr/>
        <w:tc>
          <w:tcPr>
            <w:tcW w:w="491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763" w:type="dxa"/>
            <w:tcBorders>
              <w:bottom w:val="single" w:sz="8" w:space="0" w:color="000000"/>
            </w:tcBorders>
            <w:shd w:fill="CCEEFF" w:val="clear"/>
            <w:vAlign w:val="center"/>
          </w:tcPr>
          <w:p>
            <w:pPr>
              <w:pStyle w:val="TableContents"/>
              <w:bidi w:val="0"/>
              <w:spacing w:before="0" w:after="283"/>
              <w:jc w:val="right"/>
              <w:rPr>
                <w:b/>
              </w:rPr>
            </w:pPr>
            <w:r>
              <w:rPr>
                <w:b/>
              </w:rPr>
              <w:t>3.7</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555" w:type="dxa"/>
            <w:tcBorders>
              <w:bottom w:val="single" w:sz="8" w:space="0" w:color="000000"/>
            </w:tcBorders>
            <w:shd w:fill="CCEEFF" w:val="clear"/>
            <w:vAlign w:val="center"/>
          </w:tcPr>
          <w:p>
            <w:pPr>
              <w:pStyle w:val="TableContents"/>
              <w:bidi w:val="0"/>
              <w:spacing w:before="0" w:after="283"/>
              <w:jc w:val="right"/>
              <w:rPr/>
            </w:pPr>
            <w:r>
              <w:rPr/>
              <w:t>1.5</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636" w:type="dxa"/>
            <w:tcBorders>
              <w:bottom w:val="single" w:sz="8" w:space="0" w:color="000000"/>
            </w:tcBorders>
            <w:shd w:fill="CCEEFF" w:val="clear"/>
            <w:vAlign w:val="center"/>
          </w:tcPr>
          <w:p>
            <w:pPr>
              <w:pStyle w:val="TableContents"/>
              <w:bidi w:val="0"/>
              <w:spacing w:before="0" w:after="283"/>
              <w:jc w:val="right"/>
              <w:rPr/>
            </w:pPr>
            <w:r>
              <w:rPr/>
              <w:t>2.2</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c>
          <w:tcPr>
            <w:tcW w:w="873" w:type="dxa"/>
            <w:tcBorders>
              <w:bottom w:val="single" w:sz="8" w:space="0" w:color="000000"/>
            </w:tcBorders>
            <w:shd w:fill="CCEEFF" w:val="clear"/>
            <w:vAlign w:val="center"/>
          </w:tcPr>
          <w:p>
            <w:pPr>
              <w:pStyle w:val="TableContents"/>
              <w:bidi w:val="0"/>
              <w:spacing w:before="0" w:after="283"/>
              <w:jc w:val="right"/>
              <w:rPr/>
            </w:pPr>
            <w:r>
              <w:rPr/>
              <w:t>147</w:t>
            </w:r>
          </w:p>
        </w:tc>
        <w:tc>
          <w:tcPr>
            <w:tcW w:w="230"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4910" w:type="dxa"/>
            <w:tcBorders>
              <w:bottom w:val="single" w:sz="12" w:space="0" w:color="000000"/>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763" w:type="dxa"/>
            <w:tcBorders>
              <w:bottom w:val="single" w:sz="12" w:space="0" w:color="000000"/>
            </w:tcBorders>
            <w:shd w:fill="FFFFFF" w:val="clear"/>
            <w:vAlign w:val="center"/>
          </w:tcPr>
          <w:p>
            <w:pPr>
              <w:pStyle w:val="TableContents"/>
              <w:bidi w:val="0"/>
              <w:spacing w:before="0" w:after="283"/>
              <w:jc w:val="right"/>
              <w:rPr>
                <w:b/>
              </w:rPr>
            </w:pPr>
            <w:r>
              <w:rPr>
                <w:b/>
              </w:rPr>
              <w:t>10.9</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555" w:type="dxa"/>
            <w:tcBorders>
              <w:bottom w:val="single" w:sz="12" w:space="0" w:color="000000"/>
            </w:tcBorders>
            <w:shd w:fill="FFFFFF" w:val="clear"/>
            <w:vAlign w:val="center"/>
          </w:tcPr>
          <w:p>
            <w:pPr>
              <w:pStyle w:val="TableContents"/>
              <w:bidi w:val="0"/>
              <w:spacing w:before="0" w:after="283"/>
              <w:jc w:val="right"/>
              <w:rPr/>
            </w:pPr>
            <w:r>
              <w:rPr/>
              <w:t>6.0</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vAlign w:val="center"/>
          </w:tcPr>
          <w:p>
            <w:pPr>
              <w:pStyle w:val="TableContents"/>
              <w:bidi w:val="0"/>
              <w:spacing w:before="0" w:after="283"/>
              <w:jc w:val="left"/>
              <w:rPr/>
            </w:pPr>
            <w:r>
              <w:rPr/>
              <w:t> </w:t>
            </w:r>
          </w:p>
        </w:tc>
        <w:tc>
          <w:tcPr>
            <w:tcW w:w="636" w:type="dxa"/>
            <w:tcBorders>
              <w:bottom w:val="single" w:sz="12" w:space="0" w:color="000000"/>
            </w:tcBorders>
            <w:shd w:fill="FFFFFF" w:val="clear"/>
            <w:vAlign w:val="center"/>
          </w:tcPr>
          <w:p>
            <w:pPr>
              <w:pStyle w:val="TableContents"/>
              <w:bidi w:val="0"/>
              <w:spacing w:before="0" w:after="283"/>
              <w:jc w:val="right"/>
              <w:rPr/>
            </w:pPr>
            <w:r>
              <w:rPr/>
              <w:t>4.9</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vAlign w:val="center"/>
          </w:tcPr>
          <w:p>
            <w:pPr>
              <w:pStyle w:val="TableContents"/>
              <w:bidi w:val="0"/>
              <w:spacing w:before="0" w:after="283"/>
              <w:jc w:val="left"/>
              <w:rPr/>
            </w:pPr>
            <w:r>
              <w:rPr/>
              <w:t> </w:t>
            </w:r>
          </w:p>
        </w:tc>
        <w:tc>
          <w:tcPr>
            <w:tcW w:w="873" w:type="dxa"/>
            <w:tcBorders>
              <w:bottom w:val="single" w:sz="12" w:space="0" w:color="000000"/>
            </w:tcBorders>
            <w:shd w:fill="FFFFFF" w:val="clear"/>
            <w:vAlign w:val="center"/>
          </w:tcPr>
          <w:p>
            <w:pPr>
              <w:pStyle w:val="TableContents"/>
              <w:bidi w:val="0"/>
              <w:spacing w:before="0" w:after="283"/>
              <w:jc w:val="right"/>
              <w:rPr/>
            </w:pPr>
            <w:r>
              <w:rPr/>
              <w:t>82</w:t>
            </w:r>
          </w:p>
        </w:tc>
        <w:tc>
          <w:tcPr>
            <w:tcW w:w="23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earned the majority of its revenues during Q4 2024 from its Canadian operations, which accounted for 56% of total revenues, compared to 65% in Q4 2023. The Company’s operations in Paraguay, Argentina, and United States accounted for 18%, 14% and 11% of total revenues in Q4 2024, respectively, compared to 4%, 21% and 9% in Q4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Q4 2024, revenues from the Company’s operations in Paraguay, Canada and United States increased by $8.5 million, $1.4 million and $1.8 million, respectively, compared to Q4 2023. The increases are due to the average Hashrate increase of the Paraguay, Canada, and United States operations of 1.8 EH/s, or 600%; 2.1 EH/s, or 54%; and 0.6 EH/s, or 100%, respectively, and the increase in average BTC price, partially offset by the decrease in BTC Block Rewards following the BTC halving event that occurred on April 19, 2024 and the increase in Network Difficulty. The Stronghold Hosting agreements contributed to the Hashrate increase in the United States. Revenues from the Company’s operations in Argentina decreased by $1.8 million in Q4 2024, as compared to Q4 2023 due to the factors mentioned above, partially offset by the average Hashrate increase.</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21 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58"/>
        <w:gridCol w:w="8993"/>
      </w:tblGrid>
      <w:tr>
        <w:trPr/>
        <w:tc>
          <w:tcPr>
            <w:tcW w:w="1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b/>
              </w:rPr>
            </w:pPr>
            <w:r>
              <w:rPr>
                <w:b/>
              </w:rPr>
              <w:t>A.</w:t>
            </w:r>
          </w:p>
        </w:tc>
        <w:tc>
          <w:tcPr>
            <w:tcW w:w="8993" w:type="dxa"/>
            <w:tcBorders/>
            <w:vAlign w:val="center"/>
          </w:tcPr>
          <w:p>
            <w:pPr>
              <w:pStyle w:val="TableContents"/>
              <w:bidi w:val="0"/>
              <w:spacing w:before="0" w:after="283"/>
              <w:jc w:val="left"/>
              <w:rPr/>
            </w:pPr>
            <w:r>
              <w:rPr>
                <w:b/>
              </w:rPr>
              <w:t xml:space="preserve">Revenues </w:t>
            </w:r>
            <w:r>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$192.9 million in FY 2024 compared to $146.4 million in FY 2023, an increase of $46.5 million, or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significant factors impacting the increase in Bitfarms’ revenues in FY 2024, compared to FY 2023, are presented in the table below. Revenues increased mostly due to the increase in average BTC price and the increase in average Bitfarms’ Hashrate, partially offset by the increase in Network Difficulty and the fewer BTC earned resulting from lower BTC Block Rewards following the BTC halving event that occurred on April 19,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6178"/>
        <w:gridCol w:w="60"/>
        <w:gridCol w:w="150"/>
        <w:gridCol w:w="350"/>
        <w:gridCol w:w="60"/>
        <w:gridCol w:w="60"/>
        <w:gridCol w:w="60"/>
        <w:gridCol w:w="635"/>
        <w:gridCol w:w="95"/>
        <w:gridCol w:w="60"/>
        <w:gridCol w:w="60"/>
        <w:gridCol w:w="875"/>
        <w:gridCol w:w="95"/>
        <w:gridCol w:w="60"/>
        <w:gridCol w:w="129"/>
        <w:gridCol w:w="986"/>
        <w:gridCol w:w="292"/>
      </w:tblGrid>
      <w:tr>
        <w:trPr/>
        <w:tc>
          <w:tcPr>
            <w:tcW w:w="6178" w:type="dxa"/>
            <w:tcBorders>
              <w:top w:val="single" w:sz="8" w:space="0" w:color="000000"/>
            </w:tcBorders>
            <w:vAlign w:val="center"/>
          </w:tcPr>
          <w:p>
            <w:pPr>
              <w:pStyle w:val="TableContents"/>
              <w:bidi w:val="0"/>
              <w:spacing w:before="0" w:after="283"/>
              <w:ind w:left="0" w:right="0" w:hanging="180"/>
              <w:jc w:val="left"/>
              <w:rPr/>
            </w:pPr>
            <w:r>
              <w:rPr/>
              <w:t>(U.S. $ in thousands except where indicated)</w:t>
            </w:r>
          </w:p>
        </w:tc>
        <w:tc>
          <w:tcPr>
            <w:tcW w:w="60" w:type="dxa"/>
            <w:tcBorders>
              <w:top w:val="single" w:sz="8" w:space="0" w:color="000000"/>
            </w:tcBorders>
            <w:vAlign w:val="center"/>
          </w:tcPr>
          <w:p>
            <w:pPr>
              <w:pStyle w:val="TableContents"/>
              <w:bidi w:val="0"/>
              <w:spacing w:before="0" w:after="283"/>
              <w:jc w:val="left"/>
              <w:rPr/>
            </w:pPr>
            <w:r>
              <w:rPr/>
              <w:t> </w:t>
            </w:r>
          </w:p>
        </w:tc>
        <w:tc>
          <w:tcPr>
            <w:tcW w:w="500" w:type="dxa"/>
            <w:gridSpan w:val="2"/>
            <w:tcBorders>
              <w:top w:val="single" w:sz="8" w:space="0" w:color="000000"/>
            </w:tcBorders>
            <w:vAlign w:val="center"/>
          </w:tcPr>
          <w:p>
            <w:pPr>
              <w:pStyle w:val="TableContents"/>
              <w:bidi w:val="0"/>
              <w:spacing w:before="0" w:after="283"/>
              <w:jc w:val="right"/>
              <w:rPr>
                <w:b/>
              </w:rPr>
            </w:pPr>
            <w:r>
              <w:rPr>
                <w:b/>
              </w:rPr>
              <w:t>Note</w:t>
            </w:r>
          </w:p>
        </w:tc>
        <w:tc>
          <w:tcPr>
            <w:tcW w:w="60" w:type="dxa"/>
            <w:tcBorders>
              <w:top w:val="single" w:sz="8" w:space="0" w:color="000000"/>
            </w:tcBorders>
            <w:vAlign w:val="center"/>
          </w:tcPr>
          <w:p>
            <w:pPr>
              <w:pStyle w:val="TableContents"/>
              <w:bidi w:val="0"/>
              <w:spacing w:before="0" w:after="283"/>
              <w:jc w:val="left"/>
              <w:rPr/>
            </w:pPr>
            <w:r>
              <w:rPr/>
              <w:t> </w:t>
            </w:r>
          </w:p>
        </w:tc>
        <w:tc>
          <w:tcPr>
            <w:tcW w:w="60" w:type="dxa"/>
            <w:tcBorders>
              <w:top w:val="single" w:sz="8" w:space="0" w:color="000000"/>
            </w:tcBorders>
            <w:vAlign w:val="center"/>
          </w:tcPr>
          <w:p>
            <w:pPr>
              <w:pStyle w:val="TableContents"/>
              <w:bidi w:val="0"/>
              <w:spacing w:before="0" w:after="283"/>
              <w:jc w:val="left"/>
              <w:rPr/>
            </w:pPr>
            <w:r>
              <w:rPr/>
              <w:t> </w:t>
            </w:r>
          </w:p>
        </w:tc>
        <w:tc>
          <w:tcPr>
            <w:tcW w:w="695" w:type="dxa"/>
            <w:gridSpan w:val="2"/>
            <w:tcBorders>
              <w:top w:val="single" w:sz="8" w:space="0" w:color="000000"/>
            </w:tcBorders>
            <w:vAlign w:val="center"/>
          </w:tcPr>
          <w:p>
            <w:pPr>
              <w:pStyle w:val="TableContents"/>
              <w:bidi w:val="0"/>
              <w:spacing w:before="0" w:after="283"/>
              <w:jc w:val="right"/>
              <w:rPr>
                <w:b/>
              </w:rPr>
            </w:pPr>
            <w:r>
              <w:rPr>
                <w:b/>
              </w:rPr>
              <w:t>BTC</w:t>
            </w:r>
          </w:p>
        </w:tc>
        <w:tc>
          <w:tcPr>
            <w:tcW w:w="95" w:type="dxa"/>
            <w:tcBorders>
              <w:top w:val="single" w:sz="8" w:space="0" w:color="000000"/>
            </w:tcBorders>
            <w:vAlign w:val="center"/>
          </w:tcPr>
          <w:p>
            <w:pPr>
              <w:pStyle w:val="TableContents"/>
              <w:bidi w:val="0"/>
              <w:spacing w:before="0" w:after="283"/>
              <w:jc w:val="left"/>
              <w:rPr/>
            </w:pPr>
            <w:r>
              <w:rPr/>
              <w:t> </w:t>
            </w:r>
          </w:p>
        </w:tc>
        <w:tc>
          <w:tcPr>
            <w:tcW w:w="60" w:type="dxa"/>
            <w:tcBorders>
              <w:top w:val="single" w:sz="8" w:space="0" w:color="000000"/>
            </w:tcBorders>
            <w:vAlign w:val="center"/>
          </w:tcPr>
          <w:p>
            <w:pPr>
              <w:pStyle w:val="TableContents"/>
              <w:bidi w:val="0"/>
              <w:spacing w:before="0" w:after="283"/>
              <w:jc w:val="left"/>
              <w:rPr/>
            </w:pPr>
            <w:r>
              <w:rPr/>
              <w:t> </w:t>
            </w:r>
          </w:p>
        </w:tc>
        <w:tc>
          <w:tcPr>
            <w:tcW w:w="935" w:type="dxa"/>
            <w:gridSpan w:val="2"/>
            <w:tcBorders>
              <w:top w:val="single" w:sz="8" w:space="0" w:color="000000"/>
            </w:tcBorders>
            <w:vAlign w:val="center"/>
          </w:tcPr>
          <w:p>
            <w:pPr>
              <w:pStyle w:val="TableContents"/>
              <w:bidi w:val="0"/>
              <w:spacing w:before="0" w:after="283"/>
              <w:jc w:val="right"/>
              <w:rPr>
                <w:b/>
              </w:rPr>
            </w:pPr>
            <w:r>
              <w:rPr>
                <w:b/>
              </w:rPr>
              <w:t>$</w:t>
            </w:r>
          </w:p>
        </w:tc>
        <w:tc>
          <w:tcPr>
            <w:tcW w:w="95" w:type="dxa"/>
            <w:tcBorders>
              <w:top w:val="single" w:sz="8" w:space="0" w:color="000000"/>
            </w:tcBorders>
            <w:vAlign w:val="center"/>
          </w:tcPr>
          <w:p>
            <w:pPr>
              <w:pStyle w:val="TableContents"/>
              <w:bidi w:val="0"/>
              <w:spacing w:before="0" w:after="283"/>
              <w:jc w:val="left"/>
              <w:rPr/>
            </w:pPr>
            <w:r>
              <w:rPr/>
              <w:t> </w:t>
            </w:r>
          </w:p>
        </w:tc>
        <w:tc>
          <w:tcPr>
            <w:tcW w:w="60" w:type="dxa"/>
            <w:tcBorders>
              <w:top w:val="single" w:sz="8" w:space="0" w:color="000000"/>
            </w:tcBorders>
            <w:vAlign w:val="center"/>
          </w:tcPr>
          <w:p>
            <w:pPr>
              <w:pStyle w:val="TableContents"/>
              <w:bidi w:val="0"/>
              <w:spacing w:before="0" w:after="283"/>
              <w:jc w:val="left"/>
              <w:rPr/>
            </w:pPr>
            <w:r>
              <w:rPr/>
              <w:t> </w:t>
            </w:r>
          </w:p>
        </w:tc>
        <w:tc>
          <w:tcPr>
            <w:tcW w:w="1115" w:type="dxa"/>
            <w:gridSpan w:val="2"/>
            <w:tcBorders>
              <w:top w:val="single" w:sz="8" w:space="0" w:color="000000"/>
            </w:tcBorders>
            <w:vAlign w:val="center"/>
          </w:tcPr>
          <w:p>
            <w:pPr>
              <w:pStyle w:val="TableContents"/>
              <w:bidi w:val="0"/>
              <w:spacing w:before="0" w:after="283"/>
              <w:jc w:val="right"/>
              <w:rPr>
                <w:b/>
              </w:rPr>
            </w:pPr>
            <w:r>
              <w:rPr>
                <w:b/>
              </w:rPr>
              <w:t>% Change</w:t>
            </w:r>
          </w:p>
        </w:tc>
        <w:tc>
          <w:tcPr>
            <w:tcW w:w="292" w:type="dxa"/>
            <w:tcBorders>
              <w:top w:val="single" w:sz="8" w:space="0" w:color="000000"/>
            </w:tcBorders>
            <w:vAlign w:val="center"/>
          </w:tcPr>
          <w:p>
            <w:pPr>
              <w:pStyle w:val="TableContents"/>
              <w:bidi w:val="0"/>
              <w:spacing w:before="0" w:after="283"/>
              <w:ind w:left="0" w:right="0" w:hanging="180"/>
              <w:jc w:val="left"/>
              <w:rPr/>
            </w:pPr>
            <w:r>
              <w:rPr/>
              <w:t> </w:t>
            </w:r>
          </w:p>
        </w:tc>
      </w:tr>
      <w:tr>
        <w:trPr/>
        <w:tc>
          <w:tcPr>
            <w:tcW w:w="6178"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BTC and revenues, including Volta*, for the year ended December 31, 2023</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pPr>
            <w:r>
              <w:rPr/>
              <w:t>4,928</w:t>
            </w:r>
          </w:p>
        </w:tc>
        <w:tc>
          <w:tcPr>
            <w:tcW w:w="95"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pPr>
            <w:r>
              <w:rPr/>
              <w:t>146,366</w:t>
            </w:r>
          </w:p>
        </w:tc>
        <w:tc>
          <w:tcPr>
            <w:tcW w:w="95"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92" w:type="dxa"/>
            <w:tcBorders>
              <w:top w:val="single" w:sz="8" w:space="0" w:color="000000"/>
              <w:bottom w:val="single" w:sz="8" w:space="0" w:color="000000"/>
            </w:tcBorders>
            <w:shd w:fill="CCEEFF" w:val="clear"/>
            <w:tcMar>
              <w:bottom w:w="28" w:type="dxa"/>
            </w:tcMar>
            <w:vAlign w:val="center"/>
          </w:tcPr>
          <w:p>
            <w:pPr>
              <w:pStyle w:val="TableContents"/>
              <w:bidi w:val="0"/>
              <w:spacing w:before="0" w:after="283"/>
              <w:ind w:left="0" w:right="0" w:hanging="180"/>
              <w:jc w:val="left"/>
              <w:rPr/>
            </w:pPr>
            <w:r>
              <w:rPr/>
              <w:t> </w:t>
            </w:r>
          </w:p>
        </w:tc>
      </w:tr>
      <w:tr>
        <w:trPr/>
        <w:tc>
          <w:tcPr>
            <w:tcW w:w="6178" w:type="dxa"/>
            <w:tcBorders/>
            <w:shd w:fill="FFFFFF" w:val="clear"/>
            <w:tcMar>
              <w:top w:w="0" w:type="dxa"/>
            </w:tcMar>
            <w:vAlign w:val="center"/>
          </w:tcPr>
          <w:p>
            <w:pPr>
              <w:pStyle w:val="TableContents"/>
              <w:bidi w:val="0"/>
              <w:spacing w:before="0" w:after="283"/>
              <w:jc w:val="left"/>
              <w:rPr/>
            </w:pPr>
            <w:r>
              <w:rPr/>
              <w:t>Impact of BTC halving event on April 19, 2024 on Bitfarms’ quantity of BTC earned during FY 2024</w:t>
            </w:r>
          </w:p>
        </w:tc>
        <w:tc>
          <w:tcPr>
            <w:tcW w:w="60" w:type="dxa"/>
            <w:tcBorders/>
            <w:shd w:fill="FFFFFF" w:val="clear"/>
            <w:tcMar>
              <w:top w:w="0" w:type="dxa"/>
            </w:tcMar>
            <w:vAlign w:val="center"/>
          </w:tcPr>
          <w:p>
            <w:pPr>
              <w:pStyle w:val="TableContents"/>
              <w:bidi w:val="0"/>
              <w:spacing w:before="0" w:after="283"/>
              <w:jc w:val="left"/>
              <w:rPr/>
            </w:pPr>
            <w:r>
              <w:rPr/>
              <w:t> </w:t>
            </w:r>
          </w:p>
        </w:tc>
        <w:tc>
          <w:tcPr>
            <w:tcW w:w="150" w:type="dxa"/>
            <w:tcBorders/>
            <w:shd w:fill="FFFFFF" w:val="clear"/>
            <w:tcMar>
              <w:top w:w="0" w:type="dxa"/>
            </w:tcMar>
            <w:vAlign w:val="center"/>
          </w:tcPr>
          <w:p>
            <w:pPr>
              <w:pStyle w:val="TableContents"/>
              <w:bidi w:val="0"/>
              <w:spacing w:before="0" w:after="283"/>
              <w:jc w:val="left"/>
              <w:rPr/>
            </w:pPr>
            <w:r>
              <w:rPr/>
              <w:t> </w:t>
            </w:r>
          </w:p>
        </w:tc>
        <w:tc>
          <w:tcPr>
            <w:tcW w:w="350" w:type="dxa"/>
            <w:tcBorders/>
            <w:shd w:fill="FFFFFF" w:val="clear"/>
            <w:tcMar>
              <w:top w:w="0" w:type="dxa"/>
            </w:tcMar>
            <w:vAlign w:val="center"/>
          </w:tcPr>
          <w:p>
            <w:pPr>
              <w:pStyle w:val="TableContents"/>
              <w:bidi w:val="0"/>
              <w:spacing w:before="0" w:after="283"/>
              <w:jc w:val="right"/>
              <w:rPr/>
            </w:pPr>
            <w:r>
              <w:rPr/>
              <w:t>1</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35" w:type="dxa"/>
            <w:tcBorders/>
            <w:shd w:fill="FFFFFF" w:val="clear"/>
            <w:tcMar>
              <w:top w:w="0" w:type="dxa"/>
            </w:tcMar>
            <w:vAlign w:val="center"/>
          </w:tcPr>
          <w:p>
            <w:pPr>
              <w:pStyle w:val="TableContents"/>
              <w:bidi w:val="0"/>
              <w:spacing w:before="0" w:after="283"/>
              <w:jc w:val="right"/>
              <w:rPr/>
            </w:pPr>
            <w:r>
              <w:rPr/>
              <w:t>(1,682</w:t>
            </w:r>
          </w:p>
        </w:tc>
        <w:tc>
          <w:tcPr>
            <w:tcW w:w="95" w:type="dxa"/>
            <w:tcBorders/>
            <w:shd w:fill="FFFFFF" w:val="clear"/>
            <w:tcMar>
              <w:top w:w="0" w:type="dxa"/>
            </w:tcMar>
            <w:vAlign w:val="center"/>
          </w:tcPr>
          <w:p>
            <w:pPr>
              <w:pStyle w:val="TableContents"/>
              <w:bidi w:val="0"/>
              <w:spacing w:before="0" w:after="283"/>
              <w:jc w:val="left"/>
              <w:rPr/>
            </w:pPr>
            <w:r>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(118,041</w:t>
            </w:r>
          </w:p>
        </w:tc>
        <w:tc>
          <w:tcPr>
            <w:tcW w:w="95" w:type="dxa"/>
            <w:tcBorders/>
            <w:shd w:fill="FFFFFF" w:val="clear"/>
            <w:tcMar>
              <w:top w:w="0" w:type="dxa"/>
            </w:tcMar>
            <w:vAlign w:val="center"/>
          </w:tcPr>
          <w:p>
            <w:pPr>
              <w:pStyle w:val="TableContents"/>
              <w:bidi w:val="0"/>
              <w:spacing w:before="0" w:after="283"/>
              <w:jc w:val="left"/>
              <w:rPr/>
            </w:pPr>
            <w:r>
              <w:rPr/>
              <w:t>)</w:t>
            </w:r>
          </w:p>
        </w:tc>
        <w:tc>
          <w:tcPr>
            <w:tcW w:w="60"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986" w:type="dxa"/>
            <w:tcBorders/>
            <w:shd w:fill="FFFFFF" w:val="clear"/>
            <w:tcMar>
              <w:top w:w="0" w:type="dxa"/>
            </w:tcMar>
            <w:vAlign w:val="center"/>
          </w:tcPr>
          <w:p>
            <w:pPr>
              <w:pStyle w:val="TableContents"/>
              <w:bidi w:val="0"/>
              <w:spacing w:before="0" w:after="283"/>
              <w:jc w:val="right"/>
              <w:rPr/>
            </w:pPr>
            <w:r>
              <w:rPr/>
              <w:t>(81</w:t>
            </w:r>
          </w:p>
        </w:tc>
        <w:tc>
          <w:tcPr>
            <w:tcW w:w="292" w:type="dxa"/>
            <w:tcBorders/>
            <w:shd w:fill="FFFFFF" w:val="clear"/>
            <w:tcMar>
              <w:top w:w="0" w:type="dxa"/>
            </w:tcMar>
            <w:vAlign w:val="center"/>
          </w:tcPr>
          <w:p>
            <w:pPr>
              <w:pStyle w:val="TableContents"/>
              <w:bidi w:val="0"/>
              <w:spacing w:before="0" w:after="283"/>
              <w:ind w:left="0" w:right="0" w:hanging="180"/>
              <w:jc w:val="left"/>
              <w:rPr/>
            </w:pPr>
            <w:r>
              <w:rPr/>
              <w:t>)%</w:t>
            </w:r>
          </w:p>
        </w:tc>
      </w:tr>
      <w:tr>
        <w:trPr/>
        <w:tc>
          <w:tcPr>
            <w:tcW w:w="6178" w:type="dxa"/>
            <w:tcBorders/>
            <w:shd w:fill="CCEEFF" w:val="clear"/>
            <w:tcMar>
              <w:top w:w="0" w:type="dxa"/>
            </w:tcMar>
            <w:vAlign w:val="center"/>
          </w:tcPr>
          <w:p>
            <w:pPr>
              <w:pStyle w:val="TableContents"/>
              <w:bidi w:val="0"/>
              <w:spacing w:before="0" w:after="283"/>
              <w:jc w:val="left"/>
              <w:rPr/>
            </w:pPr>
            <w:r>
              <w:rPr/>
              <w:t>Impact of increase in Network Difficulty during FY 2024 as compared to FY 2023</w:t>
            </w:r>
          </w:p>
        </w:tc>
        <w:tc>
          <w:tcPr>
            <w:tcW w:w="60" w:type="dxa"/>
            <w:tcBorders/>
            <w:shd w:fill="CCEEFF" w:val="clear"/>
            <w:tcMar>
              <w:top w:w="0" w:type="dxa"/>
            </w:tcMar>
            <w:vAlign w:val="center"/>
          </w:tcPr>
          <w:p>
            <w:pPr>
              <w:pStyle w:val="TableContents"/>
              <w:bidi w:val="0"/>
              <w:spacing w:before="0" w:after="283"/>
              <w:jc w:val="left"/>
              <w:rPr/>
            </w:pPr>
            <w:r>
              <w:rPr/>
              <w:t> </w:t>
            </w:r>
          </w:p>
        </w:tc>
        <w:tc>
          <w:tcPr>
            <w:tcW w:w="150" w:type="dxa"/>
            <w:tcBorders/>
            <w:shd w:fill="CCEEFF" w:val="clear"/>
            <w:tcMar>
              <w:top w:w="0" w:type="dxa"/>
            </w:tcMar>
            <w:vAlign w:val="center"/>
          </w:tcPr>
          <w:p>
            <w:pPr>
              <w:pStyle w:val="TableContents"/>
              <w:bidi w:val="0"/>
              <w:spacing w:before="0" w:after="283"/>
              <w:jc w:val="left"/>
              <w:rPr/>
            </w:pPr>
            <w:r>
              <w:rPr/>
              <w:t> </w:t>
            </w:r>
          </w:p>
        </w:tc>
        <w:tc>
          <w:tcPr>
            <w:tcW w:w="350" w:type="dxa"/>
            <w:tcBorders/>
            <w:shd w:fill="CCEEFF" w:val="clear"/>
            <w:tcMar>
              <w:top w:w="0" w:type="dxa"/>
            </w:tcMar>
            <w:vAlign w:val="center"/>
          </w:tcPr>
          <w:p>
            <w:pPr>
              <w:pStyle w:val="TableContents"/>
              <w:bidi w:val="0"/>
              <w:spacing w:before="0" w:after="283"/>
              <w:jc w:val="right"/>
              <w:rPr/>
            </w:pPr>
            <w:r>
              <w:rPr/>
              <w:t>2</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35" w:type="dxa"/>
            <w:tcBorders/>
            <w:shd w:fill="CCEEFF" w:val="clear"/>
            <w:tcMar>
              <w:top w:w="0" w:type="dxa"/>
            </w:tcMar>
            <w:vAlign w:val="center"/>
          </w:tcPr>
          <w:p>
            <w:pPr>
              <w:pStyle w:val="TableContents"/>
              <w:bidi w:val="0"/>
              <w:spacing w:before="0" w:after="283"/>
              <w:jc w:val="right"/>
              <w:rPr/>
            </w:pPr>
            <w:r>
              <w:rPr/>
              <w:t>(3,235</w:t>
            </w:r>
          </w:p>
        </w:tc>
        <w:tc>
          <w:tcPr>
            <w:tcW w:w="95" w:type="dxa"/>
            <w:tcBorders/>
            <w:shd w:fill="CCEEFF" w:val="clear"/>
            <w:tcMar>
              <w:top w:w="0" w:type="dxa"/>
            </w:tcMar>
            <w:vAlign w:val="center"/>
          </w:tcPr>
          <w:p>
            <w:pPr>
              <w:pStyle w:val="TableContents"/>
              <w:bidi w:val="0"/>
              <w:spacing w:before="0" w:after="283"/>
              <w:jc w:val="left"/>
              <w:rPr/>
            </w:pPr>
            <w:r>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pPr>
            <w:r>
              <w:rPr/>
              <w:t>(201,907</w:t>
            </w:r>
          </w:p>
        </w:tc>
        <w:tc>
          <w:tcPr>
            <w:tcW w:w="95" w:type="dxa"/>
            <w:tcBorders/>
            <w:shd w:fill="CCEEFF" w:val="clear"/>
            <w:tcMar>
              <w:top w:w="0" w:type="dxa"/>
            </w:tcMar>
            <w:vAlign w:val="center"/>
          </w:tcPr>
          <w:p>
            <w:pPr>
              <w:pStyle w:val="TableContents"/>
              <w:bidi w:val="0"/>
              <w:spacing w:before="0" w:after="283"/>
              <w:jc w:val="left"/>
              <w:rPr/>
            </w:pPr>
            <w:r>
              <w:rPr/>
              <w:t>)</w:t>
            </w:r>
          </w:p>
        </w:tc>
        <w:tc>
          <w:tcPr>
            <w:tcW w:w="60"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986" w:type="dxa"/>
            <w:tcBorders/>
            <w:shd w:fill="CCEEFF" w:val="clear"/>
            <w:tcMar>
              <w:top w:w="0" w:type="dxa"/>
            </w:tcMar>
            <w:vAlign w:val="center"/>
          </w:tcPr>
          <w:p>
            <w:pPr>
              <w:pStyle w:val="TableContents"/>
              <w:bidi w:val="0"/>
              <w:spacing w:before="0" w:after="283"/>
              <w:jc w:val="right"/>
              <w:rPr/>
            </w:pPr>
            <w:r>
              <w:rPr/>
              <w:t>(137</w:t>
            </w:r>
          </w:p>
        </w:tc>
        <w:tc>
          <w:tcPr>
            <w:tcW w:w="292" w:type="dxa"/>
            <w:tcBorders/>
            <w:shd w:fill="CCEEFF" w:val="clear"/>
            <w:tcMar>
              <w:top w:w="0" w:type="dxa"/>
            </w:tcMar>
            <w:vAlign w:val="center"/>
          </w:tcPr>
          <w:p>
            <w:pPr>
              <w:pStyle w:val="TableContents"/>
              <w:bidi w:val="0"/>
              <w:spacing w:before="0" w:after="283"/>
              <w:ind w:left="0" w:right="0" w:hanging="180"/>
              <w:jc w:val="left"/>
              <w:rPr/>
            </w:pPr>
            <w:r>
              <w:rPr/>
              <w:t>)%</w:t>
            </w:r>
          </w:p>
        </w:tc>
      </w:tr>
      <w:tr>
        <w:trPr/>
        <w:tc>
          <w:tcPr>
            <w:tcW w:w="6178" w:type="dxa"/>
            <w:tcBorders/>
            <w:shd w:fill="FFFFFF" w:val="clear"/>
            <w:tcMar>
              <w:top w:w="0" w:type="dxa"/>
            </w:tcMar>
            <w:vAlign w:val="center"/>
          </w:tcPr>
          <w:p>
            <w:pPr>
              <w:pStyle w:val="TableContents"/>
              <w:bidi w:val="0"/>
              <w:spacing w:before="0" w:after="283"/>
              <w:jc w:val="left"/>
              <w:rPr/>
            </w:pPr>
            <w:r>
              <w:rPr/>
              <w:t>Impact of increase in average Bitfarms’ BTC Hashrate during FY 2024 as compared to FY 2023</w:t>
            </w:r>
          </w:p>
        </w:tc>
        <w:tc>
          <w:tcPr>
            <w:tcW w:w="60" w:type="dxa"/>
            <w:tcBorders/>
            <w:shd w:fill="FFFFFF" w:val="clear"/>
            <w:tcMar>
              <w:top w:w="0" w:type="dxa"/>
            </w:tcMar>
            <w:vAlign w:val="center"/>
          </w:tcPr>
          <w:p>
            <w:pPr>
              <w:pStyle w:val="TableContents"/>
              <w:bidi w:val="0"/>
              <w:spacing w:before="0" w:after="283"/>
              <w:jc w:val="left"/>
              <w:rPr/>
            </w:pPr>
            <w:r>
              <w:rPr/>
              <w:t> </w:t>
            </w:r>
          </w:p>
        </w:tc>
        <w:tc>
          <w:tcPr>
            <w:tcW w:w="150" w:type="dxa"/>
            <w:tcBorders/>
            <w:shd w:fill="FFFFFF" w:val="clear"/>
            <w:tcMar>
              <w:top w:w="0" w:type="dxa"/>
            </w:tcMar>
            <w:vAlign w:val="center"/>
          </w:tcPr>
          <w:p>
            <w:pPr>
              <w:pStyle w:val="TableContents"/>
              <w:bidi w:val="0"/>
              <w:spacing w:before="0" w:after="283"/>
              <w:jc w:val="left"/>
              <w:rPr/>
            </w:pPr>
            <w:r>
              <w:rPr/>
              <w:t> </w:t>
            </w:r>
          </w:p>
        </w:tc>
        <w:tc>
          <w:tcPr>
            <w:tcW w:w="350" w:type="dxa"/>
            <w:tcBorders/>
            <w:shd w:fill="FFFFFF" w:val="clear"/>
            <w:tcMar>
              <w:top w:w="0" w:type="dxa"/>
            </w:tcMar>
            <w:vAlign w:val="center"/>
          </w:tcPr>
          <w:p>
            <w:pPr>
              <w:pStyle w:val="TableContents"/>
              <w:bidi w:val="0"/>
              <w:spacing w:before="0" w:after="283"/>
              <w:jc w:val="right"/>
              <w:rPr/>
            </w:pPr>
            <w:r>
              <w:rPr/>
              <w:t>3</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35" w:type="dxa"/>
            <w:tcBorders/>
            <w:shd w:fill="FFFFFF" w:val="clear"/>
            <w:tcMar>
              <w:top w:w="0" w:type="dxa"/>
            </w:tcMar>
            <w:vAlign w:val="center"/>
          </w:tcPr>
          <w:p>
            <w:pPr>
              <w:pStyle w:val="TableContents"/>
              <w:bidi w:val="0"/>
              <w:spacing w:before="0" w:after="283"/>
              <w:jc w:val="right"/>
              <w:rPr/>
            </w:pPr>
            <w:r>
              <w:rPr/>
              <w:t>2,903</w:t>
            </w:r>
          </w:p>
        </w:tc>
        <w:tc>
          <w:tcPr>
            <w:tcW w:w="9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190,978</w:t>
            </w:r>
          </w:p>
        </w:tc>
        <w:tc>
          <w:tcPr>
            <w:tcW w:w="9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986" w:type="dxa"/>
            <w:tcBorders/>
            <w:shd w:fill="FFFFFF" w:val="clear"/>
            <w:tcMar>
              <w:top w:w="0" w:type="dxa"/>
            </w:tcMar>
            <w:vAlign w:val="center"/>
          </w:tcPr>
          <w:p>
            <w:pPr>
              <w:pStyle w:val="TableContents"/>
              <w:bidi w:val="0"/>
              <w:spacing w:before="0" w:after="283"/>
              <w:jc w:val="right"/>
              <w:rPr/>
            </w:pPr>
            <w:r>
              <w:rPr/>
              <w:t>130</w:t>
            </w:r>
          </w:p>
        </w:tc>
        <w:tc>
          <w:tcPr>
            <w:tcW w:w="292" w:type="dxa"/>
            <w:tcBorders/>
            <w:shd w:fill="FFFFFF" w:val="clear"/>
            <w:tcMar>
              <w:top w:w="0" w:type="dxa"/>
            </w:tcMar>
            <w:vAlign w:val="center"/>
          </w:tcPr>
          <w:p>
            <w:pPr>
              <w:pStyle w:val="TableContents"/>
              <w:bidi w:val="0"/>
              <w:spacing w:before="0" w:after="283"/>
              <w:ind w:left="0" w:right="0" w:hanging="180"/>
              <w:jc w:val="left"/>
              <w:rPr/>
            </w:pPr>
            <w:r>
              <w:rPr/>
              <w:t>%</w:t>
            </w:r>
          </w:p>
        </w:tc>
      </w:tr>
      <w:tr>
        <w:trPr/>
        <w:tc>
          <w:tcPr>
            <w:tcW w:w="6178" w:type="dxa"/>
            <w:tcBorders/>
            <w:shd w:fill="CCEEFF" w:val="clear"/>
            <w:tcMar>
              <w:top w:w="0" w:type="dxa"/>
            </w:tcMar>
            <w:vAlign w:val="center"/>
          </w:tcPr>
          <w:p>
            <w:pPr>
              <w:pStyle w:val="TableContents"/>
              <w:bidi w:val="0"/>
              <w:spacing w:before="0" w:after="283"/>
              <w:jc w:val="left"/>
              <w:rPr/>
            </w:pPr>
            <w:r>
              <w:rPr/>
              <w:t>Impact of difference in average BTC price in FY 2024 as compared to FY 2023</w:t>
            </w:r>
          </w:p>
        </w:tc>
        <w:tc>
          <w:tcPr>
            <w:tcW w:w="60" w:type="dxa"/>
            <w:tcBorders/>
            <w:shd w:fill="CCEEFF" w:val="clear"/>
            <w:tcMar>
              <w:top w:w="0" w:type="dxa"/>
            </w:tcMar>
            <w:vAlign w:val="center"/>
          </w:tcPr>
          <w:p>
            <w:pPr>
              <w:pStyle w:val="TableContents"/>
              <w:bidi w:val="0"/>
              <w:spacing w:before="0" w:after="283"/>
              <w:jc w:val="left"/>
              <w:rPr/>
            </w:pPr>
            <w:r>
              <w:rPr/>
              <w:t> </w:t>
            </w:r>
          </w:p>
        </w:tc>
        <w:tc>
          <w:tcPr>
            <w:tcW w:w="150" w:type="dxa"/>
            <w:tcBorders/>
            <w:shd w:fill="CCEEFF" w:val="clear"/>
            <w:tcMar>
              <w:top w:w="0" w:type="dxa"/>
            </w:tcMar>
            <w:vAlign w:val="center"/>
          </w:tcPr>
          <w:p>
            <w:pPr>
              <w:pStyle w:val="TableContents"/>
              <w:bidi w:val="0"/>
              <w:spacing w:before="0" w:after="283"/>
              <w:jc w:val="left"/>
              <w:rPr/>
            </w:pPr>
            <w:r>
              <w:rPr/>
              <w:t> </w:t>
            </w:r>
          </w:p>
        </w:tc>
        <w:tc>
          <w:tcPr>
            <w:tcW w:w="350" w:type="dxa"/>
            <w:tcBorders/>
            <w:shd w:fill="CCEEFF" w:val="clear"/>
            <w:tcMar>
              <w:top w:w="0" w:type="dxa"/>
            </w:tcMar>
            <w:vAlign w:val="center"/>
          </w:tcPr>
          <w:p>
            <w:pPr>
              <w:pStyle w:val="TableContents"/>
              <w:bidi w:val="0"/>
              <w:spacing w:before="0" w:after="283"/>
              <w:jc w:val="right"/>
              <w:rPr/>
            </w:pPr>
            <w:r>
              <w:rPr/>
              <w:t>4</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35" w:type="dxa"/>
            <w:tcBorders/>
            <w:shd w:fill="CCEEFF" w:val="clear"/>
            <w:tcMar>
              <w:top w:w="0" w:type="dxa"/>
            </w:tcMar>
            <w:vAlign w:val="center"/>
          </w:tcPr>
          <w:p>
            <w:pPr>
              <w:pStyle w:val="TableContents"/>
              <w:bidi w:val="0"/>
              <w:spacing w:before="0" w:after="283"/>
              <w:jc w:val="right"/>
              <w:rPr/>
            </w:pPr>
            <w:r>
              <w:rPr/>
              <w:t> </w:t>
            </w:r>
          </w:p>
        </w:tc>
        <w:tc>
          <w:tcPr>
            <w:tcW w:w="9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875" w:type="dxa"/>
            <w:tcBorders/>
            <w:shd w:fill="CCEEFF" w:val="clear"/>
            <w:tcMar>
              <w:top w:w="0" w:type="dxa"/>
            </w:tcMar>
            <w:vAlign w:val="center"/>
          </w:tcPr>
          <w:p>
            <w:pPr>
              <w:pStyle w:val="TableContents"/>
              <w:bidi w:val="0"/>
              <w:spacing w:before="0" w:after="283"/>
              <w:jc w:val="right"/>
              <w:rPr/>
            </w:pPr>
            <w:r>
              <w:rPr/>
              <w:t>174,191</w:t>
            </w:r>
          </w:p>
        </w:tc>
        <w:tc>
          <w:tcPr>
            <w:tcW w:w="95"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129" w:type="dxa"/>
            <w:tcBorders/>
            <w:shd w:fill="CCEEFF" w:val="clear"/>
            <w:tcMar>
              <w:top w:w="0" w:type="dxa"/>
            </w:tcMar>
            <w:vAlign w:val="center"/>
          </w:tcPr>
          <w:p>
            <w:pPr>
              <w:pStyle w:val="TableContents"/>
              <w:bidi w:val="0"/>
              <w:spacing w:before="0" w:after="283"/>
              <w:jc w:val="left"/>
              <w:rPr/>
            </w:pPr>
            <w:r>
              <w:rPr/>
              <w:t> </w:t>
            </w:r>
          </w:p>
        </w:tc>
        <w:tc>
          <w:tcPr>
            <w:tcW w:w="986" w:type="dxa"/>
            <w:tcBorders/>
            <w:shd w:fill="CCEEFF" w:val="clear"/>
            <w:tcMar>
              <w:top w:w="0" w:type="dxa"/>
            </w:tcMar>
            <w:vAlign w:val="center"/>
          </w:tcPr>
          <w:p>
            <w:pPr>
              <w:pStyle w:val="TableContents"/>
              <w:bidi w:val="0"/>
              <w:spacing w:before="0" w:after="283"/>
              <w:jc w:val="right"/>
              <w:rPr/>
            </w:pPr>
            <w:r>
              <w:rPr/>
              <w:t>119</w:t>
            </w:r>
          </w:p>
        </w:tc>
        <w:tc>
          <w:tcPr>
            <w:tcW w:w="292" w:type="dxa"/>
            <w:tcBorders/>
            <w:shd w:fill="CCEEFF" w:val="clear"/>
            <w:tcMar>
              <w:top w:w="0" w:type="dxa"/>
            </w:tcMar>
            <w:vAlign w:val="center"/>
          </w:tcPr>
          <w:p>
            <w:pPr>
              <w:pStyle w:val="TableContents"/>
              <w:bidi w:val="0"/>
              <w:spacing w:before="0" w:after="283"/>
              <w:ind w:left="0" w:right="0" w:hanging="180"/>
              <w:jc w:val="left"/>
              <w:rPr/>
            </w:pPr>
            <w:r>
              <w:rPr/>
              <w:t>%</w:t>
            </w:r>
          </w:p>
        </w:tc>
      </w:tr>
      <w:tr>
        <w:trPr/>
        <w:tc>
          <w:tcPr>
            <w:tcW w:w="6178" w:type="dxa"/>
            <w:tcBorders/>
            <w:shd w:fill="FFFFFF" w:val="clear"/>
            <w:tcMar>
              <w:top w:w="0" w:type="dxa"/>
            </w:tcMar>
            <w:vAlign w:val="center"/>
          </w:tcPr>
          <w:p>
            <w:pPr>
              <w:pStyle w:val="TableContents"/>
              <w:bidi w:val="0"/>
              <w:spacing w:before="0" w:after="283"/>
              <w:jc w:val="left"/>
              <w:rPr/>
            </w:pPr>
            <w:r>
              <w:rPr/>
              <w:t>Other Mining variance, Computational power sold in exchange for services variance and change in Volta*</w:t>
            </w:r>
          </w:p>
        </w:tc>
        <w:tc>
          <w:tcPr>
            <w:tcW w:w="60" w:type="dxa"/>
            <w:tcBorders/>
            <w:shd w:fill="FFFFFF" w:val="clear"/>
            <w:tcMar>
              <w:top w:w="0" w:type="dxa"/>
            </w:tcMar>
            <w:vAlign w:val="center"/>
          </w:tcPr>
          <w:p>
            <w:pPr>
              <w:pStyle w:val="TableContents"/>
              <w:bidi w:val="0"/>
              <w:spacing w:before="0" w:after="283"/>
              <w:jc w:val="left"/>
              <w:rPr/>
            </w:pPr>
            <w:r>
              <w:rPr/>
              <w:t> </w:t>
            </w:r>
          </w:p>
        </w:tc>
        <w:tc>
          <w:tcPr>
            <w:tcW w:w="150" w:type="dxa"/>
            <w:tcBorders/>
            <w:shd w:fill="FFFFFF" w:val="clear"/>
            <w:tcMar>
              <w:top w:w="0" w:type="dxa"/>
            </w:tcMar>
            <w:vAlign w:val="center"/>
          </w:tcPr>
          <w:p>
            <w:pPr>
              <w:pStyle w:val="TableContents"/>
              <w:bidi w:val="0"/>
              <w:spacing w:before="0" w:after="283"/>
              <w:jc w:val="left"/>
              <w:rPr/>
            </w:pPr>
            <w:r>
              <w:rPr/>
              <w:t> </w:t>
            </w:r>
          </w:p>
        </w:tc>
        <w:tc>
          <w:tcPr>
            <w:tcW w:w="350" w:type="dxa"/>
            <w:tcBorders/>
            <w:shd w:fill="FFFFFF" w:val="clear"/>
            <w:tcMar>
              <w:top w:w="0" w:type="dxa"/>
            </w:tcMar>
            <w:vAlign w:val="center"/>
          </w:tcPr>
          <w:p>
            <w:pPr>
              <w:pStyle w:val="TableContents"/>
              <w:bidi w:val="0"/>
              <w:spacing w:before="0" w:after="283"/>
              <w:jc w:val="righ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35" w:type="dxa"/>
            <w:tcBorders/>
            <w:shd w:fill="FFFFFF" w:val="clear"/>
            <w:tcMar>
              <w:top w:w="0" w:type="dxa"/>
            </w:tcMar>
            <w:vAlign w:val="center"/>
          </w:tcPr>
          <w:p>
            <w:pPr>
              <w:pStyle w:val="TableContents"/>
              <w:bidi w:val="0"/>
              <w:spacing w:before="0" w:after="283"/>
              <w:jc w:val="right"/>
              <w:rPr/>
            </w:pPr>
            <w:r>
              <w:rPr/>
              <w:t> </w:t>
            </w:r>
          </w:p>
        </w:tc>
        <w:tc>
          <w:tcPr>
            <w:tcW w:w="9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875" w:type="dxa"/>
            <w:tcBorders/>
            <w:shd w:fill="FFFFFF" w:val="clear"/>
            <w:tcMar>
              <w:top w:w="0" w:type="dxa"/>
            </w:tcMar>
            <w:vAlign w:val="center"/>
          </w:tcPr>
          <w:p>
            <w:pPr>
              <w:pStyle w:val="TableContents"/>
              <w:bidi w:val="0"/>
              <w:spacing w:before="0" w:after="283"/>
              <w:jc w:val="right"/>
              <w:rPr/>
            </w:pPr>
            <w:r>
              <w:rPr/>
              <w:t>1,294</w:t>
            </w:r>
          </w:p>
        </w:tc>
        <w:tc>
          <w:tcPr>
            <w:tcW w:w="95"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129" w:type="dxa"/>
            <w:tcBorders/>
            <w:shd w:fill="FFFFFF" w:val="clear"/>
            <w:tcMar>
              <w:top w:w="0" w:type="dxa"/>
            </w:tcMar>
            <w:vAlign w:val="center"/>
          </w:tcPr>
          <w:p>
            <w:pPr>
              <w:pStyle w:val="TableContents"/>
              <w:bidi w:val="0"/>
              <w:spacing w:before="0" w:after="283"/>
              <w:jc w:val="left"/>
              <w:rPr/>
            </w:pPr>
            <w:r>
              <w:rPr/>
              <w:t> </w:t>
            </w:r>
          </w:p>
        </w:tc>
        <w:tc>
          <w:tcPr>
            <w:tcW w:w="986" w:type="dxa"/>
            <w:tcBorders/>
            <w:shd w:fill="FFFFFF" w:val="clear"/>
            <w:tcMar>
              <w:top w:w="0" w:type="dxa"/>
            </w:tcMar>
            <w:vAlign w:val="center"/>
          </w:tcPr>
          <w:p>
            <w:pPr>
              <w:pStyle w:val="TableContents"/>
              <w:bidi w:val="0"/>
              <w:spacing w:before="0" w:after="283"/>
              <w:jc w:val="right"/>
              <w:rPr/>
            </w:pPr>
            <w:r>
              <w:rPr/>
              <w:t>1</w:t>
            </w:r>
          </w:p>
        </w:tc>
        <w:tc>
          <w:tcPr>
            <w:tcW w:w="292" w:type="dxa"/>
            <w:tcBorders/>
            <w:shd w:fill="FFFFFF" w:val="clear"/>
            <w:tcMar>
              <w:top w:w="0" w:type="dxa"/>
            </w:tcMar>
            <w:vAlign w:val="center"/>
          </w:tcPr>
          <w:p>
            <w:pPr>
              <w:pStyle w:val="TableContents"/>
              <w:bidi w:val="0"/>
              <w:spacing w:before="0" w:after="283"/>
              <w:ind w:left="0" w:right="0" w:hanging="180"/>
              <w:jc w:val="left"/>
              <w:rPr/>
            </w:pPr>
            <w:r>
              <w:rPr/>
              <w:t>%</w:t>
            </w:r>
          </w:p>
        </w:tc>
      </w:tr>
      <w:tr>
        <w:trPr/>
        <w:tc>
          <w:tcPr>
            <w:tcW w:w="6178"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b/>
              </w:rPr>
            </w:pPr>
            <w:r>
              <w:rPr>
                <w:b/>
              </w:rPr>
              <w:t>BTC and revenues, including Volta*, for the year ended December 31, 2024</w:t>
            </w:r>
          </w:p>
        </w:tc>
        <w:tc>
          <w:tcPr>
            <w:tcW w:w="60"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right"/>
              <w:rPr>
                <w:b/>
              </w:rPr>
            </w:pPr>
            <w:r>
              <w:rPr>
                <w:b/>
              </w:rPr>
              <w:t>2,914</w:t>
            </w:r>
          </w:p>
        </w:tc>
        <w:tc>
          <w:tcPr>
            <w:tcW w:w="95"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right"/>
              <w:rPr>
                <w:b/>
              </w:rPr>
            </w:pPr>
            <w:r>
              <w:rPr>
                <w:b/>
              </w:rPr>
              <w:t>192,881</w:t>
            </w:r>
          </w:p>
        </w:tc>
        <w:tc>
          <w:tcPr>
            <w:tcW w:w="95"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right"/>
              <w:rPr>
                <w:b/>
              </w:rPr>
            </w:pPr>
            <w:r>
              <w:rPr>
                <w:b/>
              </w:rPr>
              <w:t>32</w:t>
            </w:r>
          </w:p>
        </w:tc>
        <w:tc>
          <w:tcPr>
            <w:tcW w:w="292" w:type="dxa"/>
            <w:tcBorders>
              <w:top w:val="single" w:sz="8" w:space="0" w:color="000000"/>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*Volta is a wholly-owned subsidiary of the Company, assists the Company in building and maintaining its data centers and provides electrician services to both commercial and residential customers in Quebec, Canada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Notes</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center"/>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Calculated as the theoretical BTC earned based on Bitfarms’ actual Hashrate during FY 2024 assuming the BTC halving event did not occur, compared to actual BTC earned during the same period multiplied by average BTC price earned.</w:t>
            </w:r>
          </w:p>
        </w:tc>
      </w:tr>
      <w:tr>
        <w:trPr/>
        <w:tc>
          <w:tcPr>
            <w:tcW w:w="500" w:type="dxa"/>
            <w:tcBorders/>
            <w:vAlign w:val="center"/>
          </w:tcPr>
          <w:p>
            <w:pPr>
              <w:pStyle w:val="TableContents"/>
              <w:bidi w:val="0"/>
              <w:spacing w:before="0" w:after="283"/>
              <w:jc w:val="center"/>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Calculated as the difference in BTC earned in FY 2024 compared to FY 2023, based on the change in Network Difficulty, multiplied by FY 2024 average BTC price earned.</w:t>
            </w:r>
          </w:p>
        </w:tc>
      </w:tr>
      <w:tr>
        <w:trPr/>
        <w:tc>
          <w:tcPr>
            <w:tcW w:w="500" w:type="dxa"/>
            <w:tcBorders/>
            <w:vAlign w:val="center"/>
          </w:tcPr>
          <w:p>
            <w:pPr>
              <w:pStyle w:val="TableContents"/>
              <w:bidi w:val="0"/>
              <w:spacing w:before="0" w:after="283"/>
              <w:jc w:val="center"/>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Calculated as the difference in BTC earned in FY 2024 compared to FY 2023, based on the change in Bitfarms’ average Hashrate, multiplied by FY 2024 average BTC price earned.</w:t>
            </w:r>
          </w:p>
        </w:tc>
      </w:tr>
      <w:tr>
        <w:trPr/>
        <w:tc>
          <w:tcPr>
            <w:tcW w:w="500" w:type="dxa"/>
            <w:tcBorders/>
            <w:shd w:fill="FFFFFF" w:val="clear"/>
            <w:vAlign w:val="center"/>
          </w:tcPr>
          <w:p>
            <w:pPr>
              <w:pStyle w:val="TableContents"/>
              <w:bidi w:val="0"/>
              <w:spacing w:before="0" w:after="283"/>
              <w:jc w:val="center"/>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Calculated as the difference in average BTC price in FY 2024 compared to FY 2023 multiplied by BTC earned in FY 2023.</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22 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58"/>
        <w:gridCol w:w="8993"/>
      </w:tblGrid>
      <w:tr>
        <w:trPr/>
        <w:tc>
          <w:tcPr>
            <w:tcW w:w="1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b/>
              </w:rPr>
            </w:pPr>
            <w:r>
              <w:rPr>
                <w:b/>
              </w:rPr>
              <w:t>A.</w:t>
            </w:r>
          </w:p>
        </w:tc>
        <w:tc>
          <w:tcPr>
            <w:tcW w:w="8993" w:type="dxa"/>
            <w:tcBorders/>
            <w:vAlign w:val="center"/>
          </w:tcPr>
          <w:p>
            <w:pPr>
              <w:pStyle w:val="TableContents"/>
              <w:bidi w:val="0"/>
              <w:spacing w:before="0" w:after="283"/>
              <w:jc w:val="left"/>
              <w:rPr/>
            </w:pPr>
            <w:r>
              <w:rPr>
                <w:b/>
              </w:rPr>
              <w:t xml:space="preserve">Revenues </w:t>
            </w:r>
            <w:r>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FY 2024 v. FY 2023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Company’s revenues and average Hashrate for FY 2024 and FY 2023 by country:</w:t>
      </w:r>
    </w:p>
    <w:p>
      <w:pPr>
        <w:pStyle w:val="TextBody"/>
        <w:bidi w:val="0"/>
        <w:spacing w:before="0" w:after="0"/>
        <w:ind w:left="0" w:right="0" w:hanging="0"/>
        <w:jc w:val="both"/>
        <w:rPr>
          <w:caps w:val="false"/>
          <w:smallCaps w:val="false"/>
        </w:rPr>
      </w:pPr>
      <w:r>
        <w:rPr>
          <w:caps w:val="false"/>
          <w:smallCaps w:val="false"/>
        </w:rPr>
        <w:t> </w:t>
      </w:r>
    </w:p>
    <w:tbl>
      <w:tblPr>
        <w:tblW w:w="8535" w:type="dxa"/>
        <w:jc w:val="left"/>
        <w:tblInd w:w="0" w:type="dxa"/>
        <w:tblLayout w:type="fixed"/>
        <w:tblCellMar>
          <w:top w:w="28" w:type="dxa"/>
          <w:left w:w="0" w:type="dxa"/>
          <w:bottom w:w="28" w:type="dxa"/>
          <w:right w:w="0" w:type="dxa"/>
        </w:tblCellMar>
      </w:tblPr>
      <w:tblGrid>
        <w:gridCol w:w="4220"/>
        <w:gridCol w:w="60"/>
        <w:gridCol w:w="60"/>
        <w:gridCol w:w="800"/>
        <w:gridCol w:w="60"/>
        <w:gridCol w:w="60"/>
        <w:gridCol w:w="60"/>
        <w:gridCol w:w="800"/>
        <w:gridCol w:w="60"/>
        <w:gridCol w:w="60"/>
        <w:gridCol w:w="75"/>
        <w:gridCol w:w="860"/>
        <w:gridCol w:w="60"/>
        <w:gridCol w:w="60"/>
        <w:gridCol w:w="137"/>
        <w:gridCol w:w="873"/>
        <w:gridCol w:w="230"/>
      </w:tblGrid>
      <w:tr>
        <w:trPr/>
        <w:tc>
          <w:tcPr>
            <w:tcW w:w="4220" w:type="dxa"/>
            <w:tcBorders>
              <w:top w:val="single" w:sz="8" w:space="0" w:color="000000"/>
              <w:bottom w:val="single" w:sz="8" w:space="0" w:color="000000"/>
            </w:tcBorders>
            <w:vAlign w:val="center"/>
          </w:tcPr>
          <w:p>
            <w:pPr>
              <w:pStyle w:val="TableContents"/>
              <w:bidi w:val="0"/>
              <w:spacing w:before="0" w:after="283"/>
              <w:jc w:val="left"/>
              <w:rPr>
                <w:b/>
              </w:rPr>
            </w:pPr>
            <w:r>
              <w:rPr>
                <w:b/>
              </w:rPr>
              <w:t>Revenues</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4025" w:type="dxa"/>
            <w:gridSpan w:val="14"/>
            <w:tcBorders>
              <w:top w:val="single" w:sz="8" w:space="0" w:color="000000"/>
              <w:bottom w:val="single" w:sz="8" w:space="0" w:color="000000"/>
            </w:tcBorders>
            <w:vAlign w:val="center"/>
          </w:tcPr>
          <w:p>
            <w:pPr>
              <w:pStyle w:val="TableContents"/>
              <w:bidi w:val="0"/>
              <w:spacing w:before="0" w:after="283"/>
              <w:jc w:val="center"/>
              <w:rPr>
                <w:b/>
              </w:rPr>
            </w:pPr>
            <w:r>
              <w:rPr>
                <w:b/>
              </w:rPr>
              <w:t>Year ended December 31,</w:t>
            </w:r>
          </w:p>
        </w:tc>
        <w:tc>
          <w:tcPr>
            <w:tcW w:w="230" w:type="dxa"/>
            <w:tcBorders>
              <w:top w:val="single" w:sz="8" w:space="0" w:color="000000"/>
              <w:bottom w:val="single" w:sz="8" w:space="0" w:color="000000"/>
            </w:tcBorders>
            <w:vAlign w:val="center"/>
          </w:tcPr>
          <w:p>
            <w:pPr>
              <w:pStyle w:val="TableContents"/>
              <w:bidi w:val="0"/>
              <w:spacing w:before="0" w:after="283"/>
              <w:jc w:val="left"/>
              <w:rPr/>
            </w:pPr>
            <w:r>
              <w:rPr/>
              <w:t> </w:t>
            </w:r>
          </w:p>
        </w:tc>
      </w:tr>
      <w:tr>
        <w:trPr/>
        <w:tc>
          <w:tcPr>
            <w:tcW w:w="4220" w:type="dxa"/>
            <w:tcBorders>
              <w:bottom w:val="single" w:sz="8" w:space="0" w:color="000000"/>
            </w:tcBorders>
            <w:tcMar>
              <w:top w:w="0" w:type="dxa"/>
            </w:tcMar>
            <w:vAlign w:val="center"/>
          </w:tcPr>
          <w:p>
            <w:pPr>
              <w:pStyle w:val="TableContents"/>
              <w:bidi w:val="0"/>
              <w:spacing w:before="0" w:after="283"/>
              <w:jc w:val="left"/>
              <w:rPr/>
            </w:pPr>
            <w:r>
              <w:rPr/>
              <w:t>(U.S.$ in thousands except where indicated)</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top w:w="0" w:type="dxa"/>
            </w:tcMar>
            <w:vAlign w:val="center"/>
          </w:tcPr>
          <w:p>
            <w:pPr>
              <w:pStyle w:val="TableContents"/>
              <w:bidi w:val="0"/>
              <w:spacing w:before="0" w:after="283"/>
              <w:jc w:val="right"/>
              <w:rPr>
                <w:b/>
              </w:rPr>
            </w:pPr>
            <w:r>
              <w:rPr>
                <w:b/>
              </w:rPr>
              <w:t>2024</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top w:w="0" w:type="dxa"/>
            </w:tcMar>
            <w:vAlign w:val="center"/>
          </w:tcPr>
          <w:p>
            <w:pPr>
              <w:pStyle w:val="TableContents"/>
              <w:bidi w:val="0"/>
              <w:spacing w:before="0" w:after="283"/>
              <w:jc w:val="right"/>
              <w:rPr/>
            </w:pPr>
            <w:r>
              <w:rPr/>
              <w:t>2023</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top w:w="0" w:type="dxa"/>
            </w:tcMar>
            <w:vAlign w:val="center"/>
          </w:tcPr>
          <w:p>
            <w:pPr>
              <w:pStyle w:val="TableContents"/>
              <w:bidi w:val="0"/>
              <w:spacing w:before="0" w:after="283"/>
              <w:jc w:val="right"/>
              <w:rPr/>
            </w:pPr>
            <w:r>
              <w:rPr/>
              <w:t>$ Change</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top w:w="0" w:type="dxa"/>
            </w:tcMar>
            <w:vAlign w:val="center"/>
          </w:tcPr>
          <w:p>
            <w:pPr>
              <w:pStyle w:val="TableContents"/>
              <w:bidi w:val="0"/>
              <w:spacing w:before="0" w:after="283"/>
              <w:jc w:val="right"/>
              <w:rPr/>
            </w:pPr>
            <w:r>
              <w:rPr/>
              <w:t>% Change</w:t>
            </w:r>
          </w:p>
        </w:tc>
        <w:tc>
          <w:tcPr>
            <w:tcW w:w="230"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4220" w:type="dxa"/>
            <w:tcBorders/>
            <w:tcMar>
              <w:top w:w="0" w:type="dxa"/>
              <w:bottom w:w="0" w:type="dxa"/>
            </w:tcMar>
            <w:vAlign w:val="center"/>
          </w:tcPr>
          <w:p>
            <w:pPr>
              <w:pStyle w:val="TableContents"/>
              <w:bidi w:val="0"/>
              <w:spacing w:before="0" w:after="283"/>
              <w:jc w:val="left"/>
              <w:rPr>
                <w:b/>
              </w:rPr>
            </w:pPr>
            <w:r>
              <w:rPr>
                <w:b/>
              </w:rPr>
              <w:t>North America</w:t>
            </w:r>
          </w:p>
        </w:tc>
        <w:tc>
          <w:tcPr>
            <w:tcW w:w="60" w:type="dxa"/>
            <w:tcBorders/>
            <w:tcMar>
              <w:top w:w="0" w:type="dxa"/>
              <w:bottom w:w="0" w:type="dxa"/>
            </w:tcMar>
            <w:vAlign w:val="center"/>
          </w:tcPr>
          <w:p>
            <w:pPr>
              <w:pStyle w:val="TableContents"/>
              <w:bidi w:val="0"/>
              <w:spacing w:before="0" w:after="283"/>
              <w:jc w:val="left"/>
              <w:rPr/>
            </w:pPr>
            <w:r>
              <w:rPr/>
              <w:t> </w:t>
            </w:r>
          </w:p>
        </w:tc>
        <w:tc>
          <w:tcPr>
            <w:tcW w:w="860" w:type="dxa"/>
            <w:gridSpan w:val="2"/>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860" w:type="dxa"/>
            <w:gridSpan w:val="2"/>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935" w:type="dxa"/>
            <w:gridSpan w:val="2"/>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010" w:type="dxa"/>
            <w:gridSpan w:val="2"/>
            <w:tcBorders/>
            <w:tcMar>
              <w:top w:w="0" w:type="dxa"/>
              <w:bottom w:w="0" w:type="dxa"/>
            </w:tcMar>
            <w:vAlign w:val="center"/>
          </w:tcPr>
          <w:p>
            <w:pPr>
              <w:pStyle w:val="TableContents"/>
              <w:bidi w:val="0"/>
              <w:spacing w:before="0" w:after="283"/>
              <w:jc w:val="left"/>
              <w:rPr/>
            </w:pPr>
            <w:r>
              <w:rPr/>
              <w:t> </w:t>
            </w:r>
          </w:p>
        </w:tc>
        <w:tc>
          <w:tcPr>
            <w:tcW w:w="230" w:type="dxa"/>
            <w:tcBorders/>
            <w:tcMar>
              <w:top w:w="0" w:type="dxa"/>
              <w:bottom w:w="0" w:type="dxa"/>
            </w:tcMar>
            <w:vAlign w:val="center"/>
          </w:tcPr>
          <w:p>
            <w:pPr>
              <w:pStyle w:val="TableContents"/>
              <w:bidi w:val="0"/>
              <w:spacing w:before="0" w:after="283"/>
              <w:jc w:val="left"/>
              <w:rPr/>
            </w:pPr>
            <w:r>
              <w:rPr/>
              <w:t> </w:t>
            </w:r>
          </w:p>
        </w:tc>
      </w:tr>
      <w:tr>
        <w:trPr/>
        <w:tc>
          <w:tcPr>
            <w:tcW w:w="4220" w:type="dxa"/>
            <w:tcBorders/>
            <w:shd w:fill="CCEEFF" w:val="clear"/>
            <w:tcMar>
              <w:top w:w="0" w:type="dxa"/>
              <w:bottom w:w="0" w:type="dxa"/>
            </w:tcMar>
            <w:vAlign w:val="center"/>
          </w:tcPr>
          <w:p>
            <w:pPr>
              <w:pStyle w:val="TableContents"/>
              <w:bidi w:val="0"/>
              <w:spacing w:before="0" w:after="283"/>
              <w:jc w:val="left"/>
              <w:rPr/>
            </w:pPr>
            <w:r>
              <w:rPr/>
              <w:t>Canada</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00" w:type="dxa"/>
            <w:tcBorders/>
            <w:shd w:fill="CCEEFF" w:val="clear"/>
            <w:tcMar>
              <w:top w:w="0" w:type="dxa"/>
              <w:bottom w:w="0" w:type="dxa"/>
            </w:tcMar>
            <w:vAlign w:val="center"/>
          </w:tcPr>
          <w:p>
            <w:pPr>
              <w:pStyle w:val="TableContents"/>
              <w:bidi w:val="0"/>
              <w:spacing w:before="0" w:after="283"/>
              <w:jc w:val="right"/>
              <w:rPr>
                <w:b/>
              </w:rPr>
            </w:pPr>
            <w:r>
              <w:rPr>
                <w:b/>
              </w:rPr>
              <w:t>116,846</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00" w:type="dxa"/>
            <w:tcBorders/>
            <w:shd w:fill="CCEEFF" w:val="clear"/>
            <w:tcMar>
              <w:top w:w="0" w:type="dxa"/>
              <w:bottom w:w="0" w:type="dxa"/>
            </w:tcMar>
            <w:vAlign w:val="center"/>
          </w:tcPr>
          <w:p>
            <w:pPr>
              <w:pStyle w:val="TableContents"/>
              <w:bidi w:val="0"/>
              <w:spacing w:before="0" w:after="283"/>
              <w:jc w:val="right"/>
              <w:rPr/>
            </w:pPr>
            <w:r>
              <w:rPr/>
              <w:t>104,434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12,412</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12</w:t>
            </w:r>
          </w:p>
        </w:tc>
        <w:tc>
          <w:tcPr>
            <w:tcW w:w="230" w:type="dxa"/>
            <w:tcBorders/>
            <w:shd w:fill="CCEEFF" w:val="clear"/>
            <w:tcMar>
              <w:top w:w="0" w:type="dxa"/>
              <w:bottom w:w="0" w:type="dxa"/>
            </w:tcMar>
            <w:vAlign w:val="center"/>
          </w:tcPr>
          <w:p>
            <w:pPr>
              <w:pStyle w:val="TableContents"/>
              <w:bidi w:val="0"/>
              <w:spacing w:before="0" w:after="283"/>
              <w:jc w:val="left"/>
              <w:rPr/>
            </w:pPr>
            <w:r>
              <w:rPr/>
              <w:t>%</w:t>
            </w:r>
          </w:p>
        </w:tc>
      </w:tr>
      <w:tr>
        <w:trPr/>
        <w:tc>
          <w:tcPr>
            <w:tcW w:w="4220" w:type="dxa"/>
            <w:tcBorders>
              <w:bottom w:val="single" w:sz="8" w:space="0" w:color="000000"/>
            </w:tcBorders>
            <w:shd w:fill="FFFFFF" w:val="clear"/>
            <w:tcMar>
              <w:top w:w="0" w:type="dxa"/>
            </w:tcMar>
            <w:vAlign w:val="center"/>
          </w:tcPr>
          <w:p>
            <w:pPr>
              <w:pStyle w:val="TableContents"/>
              <w:bidi w:val="0"/>
              <w:spacing w:before="0" w:after="283"/>
              <w:jc w:val="left"/>
              <w:rPr/>
            </w:pPr>
            <w:r>
              <w:rPr/>
              <w:t>United States</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top w:w="0" w:type="dxa"/>
            </w:tcMar>
            <w:vAlign w:val="center"/>
          </w:tcPr>
          <w:p>
            <w:pPr>
              <w:pStyle w:val="TableContents"/>
              <w:bidi w:val="0"/>
              <w:spacing w:before="0" w:after="283"/>
              <w:jc w:val="right"/>
              <w:rPr>
                <w:b/>
              </w:rPr>
            </w:pPr>
            <w:r>
              <w:rPr>
                <w:b/>
              </w:rPr>
              <w:t>16,428</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top w:w="0" w:type="dxa"/>
            </w:tcMar>
            <w:vAlign w:val="center"/>
          </w:tcPr>
          <w:p>
            <w:pPr>
              <w:pStyle w:val="TableContents"/>
              <w:bidi w:val="0"/>
              <w:spacing w:before="0" w:after="283"/>
              <w:jc w:val="right"/>
              <w:rPr/>
            </w:pPr>
            <w:r>
              <w:rPr/>
              <w:t>15,966</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top w:w="0" w:type="dxa"/>
            </w:tcMar>
            <w:vAlign w:val="center"/>
          </w:tcPr>
          <w:p>
            <w:pPr>
              <w:pStyle w:val="TableContents"/>
              <w:bidi w:val="0"/>
              <w:spacing w:before="0" w:after="283"/>
              <w:jc w:val="right"/>
              <w:rPr/>
            </w:pPr>
            <w:r>
              <w:rPr/>
              <w:t>462</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37"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top w:w="0" w:type="dxa"/>
            </w:tcMar>
            <w:vAlign w:val="center"/>
          </w:tcPr>
          <w:p>
            <w:pPr>
              <w:pStyle w:val="TableContents"/>
              <w:bidi w:val="0"/>
              <w:spacing w:before="0" w:after="283"/>
              <w:jc w:val="right"/>
              <w:rPr/>
            </w:pPr>
            <w:r>
              <w:rPr/>
              <w:t>3</w:t>
            </w:r>
          </w:p>
        </w:tc>
        <w:tc>
          <w:tcPr>
            <w:tcW w:w="230" w:type="dxa"/>
            <w:tcBorders>
              <w:bottom w:val="single" w:sz="8" w:space="0" w:color="000000"/>
            </w:tcBorders>
            <w:shd w:fill="FFFFFF" w:val="clear"/>
            <w:tcMar>
              <w:top w:w="0" w:type="dxa"/>
            </w:tcMar>
            <w:vAlign w:val="center"/>
          </w:tcPr>
          <w:p>
            <w:pPr>
              <w:pStyle w:val="TableContents"/>
              <w:bidi w:val="0"/>
              <w:spacing w:before="0" w:after="283"/>
              <w:jc w:val="left"/>
              <w:rPr/>
            </w:pPr>
            <w:r>
              <w:rPr/>
              <w:t>%</w:t>
            </w:r>
          </w:p>
        </w:tc>
      </w:tr>
      <w:tr>
        <w:trPr/>
        <w:tc>
          <w:tcPr>
            <w:tcW w:w="422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00" w:type="dxa"/>
            <w:tcBorders/>
            <w:shd w:fill="CCEEFF" w:val="clear"/>
            <w:tcMar>
              <w:top w:w="0" w:type="dxa"/>
              <w:bottom w:w="0" w:type="dxa"/>
            </w:tcMar>
            <w:vAlign w:val="center"/>
          </w:tcPr>
          <w:p>
            <w:pPr>
              <w:pStyle w:val="TableContents"/>
              <w:bidi w:val="0"/>
              <w:spacing w:before="0" w:after="283"/>
              <w:jc w:val="right"/>
              <w:rPr>
                <w:b/>
              </w:rPr>
            </w:pPr>
            <w:r>
              <w:rPr>
                <w:b/>
              </w:rPr>
              <w:t>133,274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00" w:type="dxa"/>
            <w:tcBorders/>
            <w:shd w:fill="CCEEFF" w:val="clear"/>
            <w:tcMar>
              <w:top w:w="0" w:type="dxa"/>
              <w:bottom w:w="0" w:type="dxa"/>
            </w:tcMar>
            <w:vAlign w:val="center"/>
          </w:tcPr>
          <w:p>
            <w:pPr>
              <w:pStyle w:val="TableContents"/>
              <w:bidi w:val="0"/>
              <w:spacing w:before="0" w:after="283"/>
              <w:jc w:val="right"/>
              <w:rPr/>
            </w:pPr>
            <w:r>
              <w:rPr/>
              <w:t>120,400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12,874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11</w:t>
            </w:r>
          </w:p>
        </w:tc>
        <w:tc>
          <w:tcPr>
            <w:tcW w:w="230" w:type="dxa"/>
            <w:tcBorders/>
            <w:shd w:fill="CCEEFF" w:val="clear"/>
            <w:tcMar>
              <w:top w:w="0" w:type="dxa"/>
              <w:bottom w:w="0" w:type="dxa"/>
            </w:tcMar>
            <w:vAlign w:val="center"/>
          </w:tcPr>
          <w:p>
            <w:pPr>
              <w:pStyle w:val="TableContents"/>
              <w:bidi w:val="0"/>
              <w:spacing w:before="0" w:after="283"/>
              <w:jc w:val="left"/>
              <w:rPr/>
            </w:pPr>
            <w:r>
              <w:rPr/>
              <w:t>%</w:t>
            </w:r>
          </w:p>
        </w:tc>
      </w:tr>
      <w:tr>
        <w:trPr/>
        <w:tc>
          <w:tcPr>
            <w:tcW w:w="4220" w:type="dxa"/>
            <w:tcBorders/>
            <w:shd w:fill="FFFFFF" w:val="clear"/>
            <w:tcMar>
              <w:top w:w="0" w:type="dxa"/>
              <w:bottom w:w="0" w:type="dxa"/>
            </w:tcMar>
            <w:vAlign w:val="center"/>
          </w:tcPr>
          <w:p>
            <w:pPr>
              <w:pStyle w:val="TableContents"/>
              <w:bidi w:val="0"/>
              <w:spacing w:before="0" w:after="283"/>
              <w:jc w:val="left"/>
              <w:rPr>
                <w:b/>
              </w:rPr>
            </w:pPr>
            <w:r>
              <w:rPr>
                <w:b/>
              </w:rPr>
              <w:t>South America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00" w:type="dxa"/>
            <w:tcBorders/>
            <w:shd w:fill="FFFFFF" w:val="clear"/>
            <w:tcMar>
              <w:top w:w="0" w:type="dxa"/>
              <w:bottom w:w="0" w:type="dxa"/>
            </w:tcMar>
            <w:vAlign w:val="center"/>
          </w:tcPr>
          <w:p>
            <w:pPr>
              <w:pStyle w:val="TableContents"/>
              <w:bidi w:val="0"/>
              <w:spacing w:before="0" w:after="283"/>
              <w:jc w:val="righ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00" w:type="dxa"/>
            <w:tcBorders/>
            <w:shd w:fill="FFFFFF" w:val="clear"/>
            <w:tcMar>
              <w:top w:w="0" w:type="dxa"/>
              <w:bottom w:w="0" w:type="dxa"/>
            </w:tcMar>
            <w:vAlign w:val="center"/>
          </w:tcPr>
          <w:p>
            <w:pPr>
              <w:pStyle w:val="TableContents"/>
              <w:bidi w:val="0"/>
              <w:spacing w:before="0" w:after="283"/>
              <w:jc w:val="righ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 w:type="dxa"/>
            <w:tcBorders/>
            <w:shd w:fill="FFFFFF" w:val="clear"/>
            <w:tcMar>
              <w:top w:w="0" w:type="dxa"/>
              <w:bottom w:w="0" w:type="dxa"/>
            </w:tcMar>
            <w:vAlign w:val="center"/>
          </w:tcPr>
          <w:p>
            <w:pPr>
              <w:pStyle w:val="TableContents"/>
              <w:bidi w:val="0"/>
              <w:spacing w:before="0" w:after="283"/>
              <w:jc w:val="left"/>
              <w:rPr/>
            </w:pPr>
            <w:r>
              <w:rPr/>
              <w:t> </w:t>
            </w:r>
          </w:p>
        </w:tc>
        <w:tc>
          <w:tcPr>
            <w:tcW w:w="860" w:type="dxa"/>
            <w:tcBorders/>
            <w:shd w:fill="FFFFFF" w:val="clear"/>
            <w:tcMar>
              <w:top w:w="0" w:type="dxa"/>
              <w:bottom w:w="0" w:type="dxa"/>
            </w:tcMar>
            <w:vAlign w:val="center"/>
          </w:tcPr>
          <w:p>
            <w:pPr>
              <w:pStyle w:val="TableContents"/>
              <w:bidi w:val="0"/>
              <w:spacing w:before="0" w:after="283"/>
              <w:jc w:val="righ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7" w:type="dxa"/>
            <w:tcBorders/>
            <w:shd w:fill="FFFFFF" w:val="clear"/>
            <w:tcMar>
              <w:top w:w="0" w:type="dxa"/>
              <w:bottom w:w="0" w:type="dxa"/>
            </w:tcMar>
            <w:vAlign w:val="center"/>
          </w:tcPr>
          <w:p>
            <w:pPr>
              <w:pStyle w:val="TableContents"/>
              <w:bidi w:val="0"/>
              <w:spacing w:before="0" w:after="283"/>
              <w:jc w:val="left"/>
              <w:rPr/>
            </w:pPr>
            <w:r>
              <w:rPr/>
              <w:t> </w:t>
            </w:r>
          </w:p>
        </w:tc>
        <w:tc>
          <w:tcPr>
            <w:tcW w:w="873" w:type="dxa"/>
            <w:tcBorders/>
            <w:shd w:fill="FFFFFF" w:val="clear"/>
            <w:tcMar>
              <w:top w:w="0" w:type="dxa"/>
              <w:bottom w:w="0" w:type="dxa"/>
            </w:tcMar>
            <w:vAlign w:val="center"/>
          </w:tcPr>
          <w:p>
            <w:pPr>
              <w:pStyle w:val="TableContents"/>
              <w:bidi w:val="0"/>
              <w:spacing w:before="0" w:after="283"/>
              <w:jc w:val="right"/>
              <w:rPr/>
            </w:pPr>
            <w:r>
              <w:rPr/>
              <w:t> </w:t>
            </w:r>
          </w:p>
        </w:tc>
        <w:tc>
          <w:tcPr>
            <w:tcW w:w="230" w:type="dxa"/>
            <w:tcBorders/>
            <w:shd w:fill="FFFFFF" w:val="clear"/>
            <w:tcMar>
              <w:top w:w="0" w:type="dxa"/>
              <w:bottom w:w="0" w:type="dxa"/>
            </w:tcMar>
            <w:vAlign w:val="center"/>
          </w:tcPr>
          <w:p>
            <w:pPr>
              <w:pStyle w:val="TableContents"/>
              <w:bidi w:val="0"/>
              <w:spacing w:before="0" w:after="283"/>
              <w:jc w:val="left"/>
              <w:rPr/>
            </w:pPr>
            <w:r>
              <w:rPr/>
              <w:t> </w:t>
            </w:r>
          </w:p>
        </w:tc>
      </w:tr>
      <w:tr>
        <w:trPr/>
        <w:tc>
          <w:tcPr>
            <w:tcW w:w="4220" w:type="dxa"/>
            <w:tcBorders/>
            <w:shd w:fill="CCEEFF" w:val="clear"/>
            <w:tcMar>
              <w:top w:w="0" w:type="dxa"/>
              <w:bottom w:w="0" w:type="dxa"/>
            </w:tcMar>
            <w:vAlign w:val="center"/>
          </w:tcPr>
          <w:p>
            <w:pPr>
              <w:pStyle w:val="TableContents"/>
              <w:bidi w:val="0"/>
              <w:spacing w:before="0" w:after="283"/>
              <w:jc w:val="left"/>
              <w:rPr/>
            </w:pPr>
            <w:r>
              <w:rPr/>
              <w:t>Paraguay</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00" w:type="dxa"/>
            <w:tcBorders/>
            <w:shd w:fill="CCEEFF" w:val="clear"/>
            <w:tcMar>
              <w:top w:w="0" w:type="dxa"/>
              <w:bottom w:w="0" w:type="dxa"/>
            </w:tcMar>
            <w:vAlign w:val="center"/>
          </w:tcPr>
          <w:p>
            <w:pPr>
              <w:pStyle w:val="TableContents"/>
              <w:bidi w:val="0"/>
              <w:spacing w:before="0" w:after="283"/>
              <w:jc w:val="right"/>
              <w:rPr>
                <w:b/>
              </w:rPr>
            </w:pPr>
            <w:r>
              <w:rPr>
                <w:b/>
              </w:rPr>
              <w:t>25,960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00" w:type="dxa"/>
            <w:tcBorders/>
            <w:shd w:fill="CCEEFF" w:val="clear"/>
            <w:tcMar>
              <w:top w:w="0" w:type="dxa"/>
              <w:bottom w:w="0" w:type="dxa"/>
            </w:tcMar>
            <w:vAlign w:val="center"/>
          </w:tcPr>
          <w:p>
            <w:pPr>
              <w:pStyle w:val="TableContents"/>
              <w:bidi w:val="0"/>
              <w:spacing w:before="0" w:after="283"/>
              <w:jc w:val="right"/>
              <w:rPr/>
            </w:pPr>
            <w:r>
              <w:rPr/>
              <w:t>6,916</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19,044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275</w:t>
            </w:r>
          </w:p>
        </w:tc>
        <w:tc>
          <w:tcPr>
            <w:tcW w:w="230" w:type="dxa"/>
            <w:tcBorders/>
            <w:shd w:fill="CCEEFF" w:val="clear"/>
            <w:tcMar>
              <w:top w:w="0" w:type="dxa"/>
              <w:bottom w:w="0" w:type="dxa"/>
            </w:tcMar>
            <w:vAlign w:val="center"/>
          </w:tcPr>
          <w:p>
            <w:pPr>
              <w:pStyle w:val="TableContents"/>
              <w:bidi w:val="0"/>
              <w:spacing w:before="0" w:after="283"/>
              <w:jc w:val="left"/>
              <w:rPr/>
            </w:pPr>
            <w:r>
              <w:rPr/>
              <w:t>%</w:t>
            </w:r>
          </w:p>
        </w:tc>
      </w:tr>
      <w:tr>
        <w:trPr/>
        <w:tc>
          <w:tcPr>
            <w:tcW w:w="4220" w:type="dxa"/>
            <w:tcBorders>
              <w:bottom w:val="single" w:sz="8" w:space="0" w:color="000000"/>
            </w:tcBorders>
            <w:shd w:fill="FFFFFF" w:val="clear"/>
            <w:tcMar>
              <w:top w:w="0" w:type="dxa"/>
            </w:tcMar>
            <w:vAlign w:val="center"/>
          </w:tcPr>
          <w:p>
            <w:pPr>
              <w:pStyle w:val="TableContents"/>
              <w:bidi w:val="0"/>
              <w:spacing w:before="0" w:after="283"/>
              <w:jc w:val="left"/>
              <w:rPr/>
            </w:pPr>
            <w:r>
              <w:rPr/>
              <w:t>Argentina</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top w:w="0" w:type="dxa"/>
            </w:tcMar>
            <w:vAlign w:val="center"/>
          </w:tcPr>
          <w:p>
            <w:pPr>
              <w:pStyle w:val="TableContents"/>
              <w:bidi w:val="0"/>
              <w:spacing w:before="0" w:after="283"/>
              <w:jc w:val="right"/>
              <w:rPr>
                <w:b/>
              </w:rPr>
            </w:pPr>
            <w:r>
              <w:rPr>
                <w:b/>
              </w:rPr>
              <w:t>33,647</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top w:w="0" w:type="dxa"/>
            </w:tcMar>
            <w:vAlign w:val="center"/>
          </w:tcPr>
          <w:p>
            <w:pPr>
              <w:pStyle w:val="TableContents"/>
              <w:bidi w:val="0"/>
              <w:spacing w:before="0" w:after="283"/>
              <w:jc w:val="right"/>
              <w:rPr/>
            </w:pPr>
            <w:r>
              <w:rPr/>
              <w:t>19,050</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top w:w="0" w:type="dxa"/>
            </w:tcMar>
            <w:vAlign w:val="center"/>
          </w:tcPr>
          <w:p>
            <w:pPr>
              <w:pStyle w:val="TableContents"/>
              <w:bidi w:val="0"/>
              <w:spacing w:before="0" w:after="283"/>
              <w:jc w:val="right"/>
              <w:rPr/>
            </w:pPr>
            <w:r>
              <w:rPr/>
              <w:t>14,597</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137"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top w:w="0" w:type="dxa"/>
            </w:tcMar>
            <w:vAlign w:val="center"/>
          </w:tcPr>
          <w:p>
            <w:pPr>
              <w:pStyle w:val="TableContents"/>
              <w:bidi w:val="0"/>
              <w:spacing w:before="0" w:after="283"/>
              <w:jc w:val="right"/>
              <w:rPr/>
            </w:pPr>
            <w:r>
              <w:rPr/>
              <w:t>77</w:t>
            </w:r>
          </w:p>
        </w:tc>
        <w:tc>
          <w:tcPr>
            <w:tcW w:w="230" w:type="dxa"/>
            <w:tcBorders>
              <w:bottom w:val="single" w:sz="8" w:space="0" w:color="000000"/>
            </w:tcBorders>
            <w:shd w:fill="FFFFFF" w:val="clear"/>
            <w:tcMar>
              <w:top w:w="0" w:type="dxa"/>
            </w:tcMar>
            <w:vAlign w:val="center"/>
          </w:tcPr>
          <w:p>
            <w:pPr>
              <w:pStyle w:val="TableContents"/>
              <w:bidi w:val="0"/>
              <w:spacing w:before="0" w:after="283"/>
              <w:jc w:val="left"/>
              <w:rPr/>
            </w:pPr>
            <w:r>
              <w:rPr/>
              <w:t>%</w:t>
            </w:r>
          </w:p>
        </w:tc>
      </w:tr>
      <w:tr>
        <w:trPr/>
        <w:tc>
          <w:tcPr>
            <w:tcW w:w="422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top w:w="0" w:type="dxa"/>
            </w:tcMar>
            <w:vAlign w:val="center"/>
          </w:tcPr>
          <w:p>
            <w:pPr>
              <w:pStyle w:val="TableContents"/>
              <w:bidi w:val="0"/>
              <w:spacing w:before="0" w:after="283"/>
              <w:jc w:val="right"/>
              <w:rPr>
                <w:b/>
              </w:rPr>
            </w:pPr>
            <w:r>
              <w:rPr>
                <w:b/>
              </w:rPr>
              <w:t>59,607</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top w:w="0" w:type="dxa"/>
            </w:tcMar>
            <w:vAlign w:val="center"/>
          </w:tcPr>
          <w:p>
            <w:pPr>
              <w:pStyle w:val="TableContents"/>
              <w:bidi w:val="0"/>
              <w:spacing w:before="0" w:after="283"/>
              <w:jc w:val="right"/>
              <w:rPr/>
            </w:pPr>
            <w:r>
              <w:rPr/>
              <w:t>25,966</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top w:w="0" w:type="dxa"/>
            </w:tcMar>
            <w:vAlign w:val="center"/>
          </w:tcPr>
          <w:p>
            <w:pPr>
              <w:pStyle w:val="TableContents"/>
              <w:bidi w:val="0"/>
              <w:spacing w:before="0" w:after="283"/>
              <w:jc w:val="right"/>
              <w:rPr/>
            </w:pPr>
            <w:r>
              <w:rPr/>
              <w:t>33,641</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top w:w="0"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top w:w="0" w:type="dxa"/>
            </w:tcMar>
            <w:vAlign w:val="center"/>
          </w:tcPr>
          <w:p>
            <w:pPr>
              <w:pStyle w:val="TableContents"/>
              <w:bidi w:val="0"/>
              <w:spacing w:before="0" w:after="283"/>
              <w:jc w:val="right"/>
              <w:rPr/>
            </w:pPr>
            <w:r>
              <w:rPr/>
              <w:t>130</w:t>
            </w:r>
          </w:p>
        </w:tc>
        <w:tc>
          <w:tcPr>
            <w:tcW w:w="230" w:type="dxa"/>
            <w:tcBorders>
              <w:bottom w:val="single" w:sz="8" w:space="0" w:color="000000"/>
            </w:tcBorders>
            <w:shd w:fill="CCEEFF" w:val="clear"/>
            <w:tcMar>
              <w:top w:w="0" w:type="dxa"/>
            </w:tcMar>
            <w:vAlign w:val="center"/>
          </w:tcPr>
          <w:p>
            <w:pPr>
              <w:pStyle w:val="TableContents"/>
              <w:bidi w:val="0"/>
              <w:spacing w:before="0" w:after="283"/>
              <w:jc w:val="left"/>
              <w:rPr/>
            </w:pPr>
            <w:r>
              <w:rPr/>
              <w:t>%</w:t>
            </w:r>
          </w:p>
        </w:tc>
      </w:tr>
      <w:tr>
        <w:trPr/>
        <w:tc>
          <w:tcPr>
            <w:tcW w:w="422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top w:w="0" w:type="dxa"/>
            </w:tcMar>
            <w:vAlign w:val="center"/>
          </w:tcPr>
          <w:p>
            <w:pPr>
              <w:pStyle w:val="TableContents"/>
              <w:bidi w:val="0"/>
              <w:spacing w:before="0" w:after="283"/>
              <w:jc w:val="right"/>
              <w:rPr>
                <w:b/>
              </w:rPr>
            </w:pPr>
            <w:r>
              <w:rPr>
                <w:b/>
              </w:rPr>
              <w:t>192,881</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top w:w="0" w:type="dxa"/>
            </w:tcMar>
            <w:vAlign w:val="center"/>
          </w:tcPr>
          <w:p>
            <w:pPr>
              <w:pStyle w:val="TableContents"/>
              <w:bidi w:val="0"/>
              <w:spacing w:before="0" w:after="283"/>
              <w:jc w:val="right"/>
              <w:rPr/>
            </w:pPr>
            <w:r>
              <w:rPr/>
              <w:t>146,366</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top w:w="0" w:type="dxa"/>
            </w:tcMar>
            <w:vAlign w:val="center"/>
          </w:tcPr>
          <w:p>
            <w:pPr>
              <w:pStyle w:val="TableContents"/>
              <w:bidi w:val="0"/>
              <w:spacing w:before="0" w:after="283"/>
              <w:jc w:val="right"/>
              <w:rPr/>
            </w:pPr>
            <w:r>
              <w:rPr/>
              <w:t>46,515</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top w:w="0"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top w:w="0" w:type="dxa"/>
            </w:tcMar>
            <w:vAlign w:val="center"/>
          </w:tcPr>
          <w:p>
            <w:pPr>
              <w:pStyle w:val="TableContents"/>
              <w:bidi w:val="0"/>
              <w:spacing w:before="0" w:after="283"/>
              <w:jc w:val="right"/>
              <w:rPr/>
            </w:pPr>
            <w:r>
              <w:rPr/>
              <w:t>32</w:t>
            </w:r>
          </w:p>
        </w:tc>
        <w:tc>
          <w:tcPr>
            <w:tcW w:w="230" w:type="dxa"/>
            <w:tcBorders>
              <w:bottom w:val="single" w:sz="12" w:space="0" w:color="000000"/>
            </w:tcBorders>
            <w:shd w:fill="FFFFFF" w:val="clear"/>
            <w:tcMar>
              <w:top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8497" w:type="dxa"/>
        <w:jc w:val="left"/>
        <w:tblInd w:w="0" w:type="dxa"/>
        <w:tblLayout w:type="fixed"/>
        <w:tblCellMar>
          <w:top w:w="0" w:type="dxa"/>
          <w:left w:w="0" w:type="dxa"/>
          <w:bottom w:w="28" w:type="dxa"/>
          <w:right w:w="0" w:type="dxa"/>
        </w:tblCellMar>
      </w:tblPr>
      <w:tblGrid>
        <w:gridCol w:w="4910"/>
        <w:gridCol w:w="60"/>
        <w:gridCol w:w="82"/>
        <w:gridCol w:w="438"/>
        <w:gridCol w:w="82"/>
        <w:gridCol w:w="82"/>
        <w:gridCol w:w="82"/>
        <w:gridCol w:w="438"/>
        <w:gridCol w:w="82"/>
        <w:gridCol w:w="82"/>
        <w:gridCol w:w="119"/>
        <w:gridCol w:w="636"/>
        <w:gridCol w:w="82"/>
        <w:gridCol w:w="82"/>
        <w:gridCol w:w="137"/>
        <w:gridCol w:w="873"/>
        <w:gridCol w:w="230"/>
      </w:tblGrid>
      <w:tr>
        <w:trPr/>
        <w:tc>
          <w:tcPr>
            <w:tcW w:w="4910" w:type="dxa"/>
            <w:tcBorders>
              <w:bottom w:val="single" w:sz="8" w:space="0" w:color="000000"/>
            </w:tcBorders>
            <w:vAlign w:val="center"/>
          </w:tcPr>
          <w:p>
            <w:pPr>
              <w:pStyle w:val="TableContents"/>
              <w:bidi w:val="0"/>
              <w:spacing w:before="0" w:after="283"/>
              <w:jc w:val="left"/>
              <w:rPr>
                <w:b/>
              </w:rPr>
            </w:pPr>
            <w:r>
              <w:rPr>
                <w:b/>
              </w:rPr>
              <w:t>Average Hashrate</w:t>
            </w:r>
          </w:p>
        </w:tc>
        <w:tc>
          <w:tcPr>
            <w:tcW w:w="60" w:type="dxa"/>
            <w:tcBorders>
              <w:bottom w:val="single" w:sz="8" w:space="0" w:color="000000"/>
            </w:tcBorders>
            <w:vAlign w:val="center"/>
          </w:tcPr>
          <w:p>
            <w:pPr>
              <w:pStyle w:val="TableContents"/>
              <w:bidi w:val="0"/>
              <w:spacing w:before="0" w:after="283"/>
              <w:jc w:val="left"/>
              <w:rPr/>
            </w:pPr>
            <w:r>
              <w:rPr/>
              <w:t> </w:t>
            </w:r>
          </w:p>
        </w:tc>
        <w:tc>
          <w:tcPr>
            <w:tcW w:w="3297" w:type="dxa"/>
            <w:gridSpan w:val="14"/>
            <w:tcBorders>
              <w:bottom w:val="single" w:sz="8" w:space="0" w:color="000000"/>
            </w:tcBorders>
            <w:vAlign w:val="center"/>
          </w:tcPr>
          <w:p>
            <w:pPr>
              <w:pStyle w:val="TableContents"/>
              <w:bidi w:val="0"/>
              <w:spacing w:before="0" w:after="283"/>
              <w:jc w:val="center"/>
              <w:rPr>
                <w:b/>
              </w:rPr>
            </w:pPr>
            <w:r>
              <w:rPr>
                <w:b/>
              </w:rPr>
              <w:t>Year ended December 31,</w:t>
            </w:r>
          </w:p>
        </w:tc>
        <w:tc>
          <w:tcPr>
            <w:tcW w:w="230" w:type="dxa"/>
            <w:tcBorders>
              <w:bottom w:val="single" w:sz="8" w:space="0" w:color="000000"/>
            </w:tcBorders>
            <w:vAlign w:val="center"/>
          </w:tcPr>
          <w:p>
            <w:pPr>
              <w:pStyle w:val="TableContents"/>
              <w:bidi w:val="0"/>
              <w:spacing w:before="0" w:after="283"/>
              <w:jc w:val="left"/>
              <w:rPr/>
            </w:pPr>
            <w:r>
              <w:rPr/>
              <w:t> </w:t>
            </w:r>
          </w:p>
        </w:tc>
      </w:tr>
      <w:tr>
        <w:trPr/>
        <w:tc>
          <w:tcPr>
            <w:tcW w:w="4910" w:type="dxa"/>
            <w:tcBorders>
              <w:bottom w:val="single" w:sz="8" w:space="0" w:color="000000"/>
            </w:tcBorders>
            <w:vAlign w:val="center"/>
          </w:tcPr>
          <w:p>
            <w:pPr>
              <w:pStyle w:val="TableContents"/>
              <w:bidi w:val="0"/>
              <w:spacing w:before="0" w:after="283"/>
              <w:jc w:val="left"/>
              <w:rPr/>
            </w:pPr>
            <w:r>
              <w:rPr/>
              <w:t>(Average Hashrate in EH/s except where indicated)</w:t>
            </w:r>
          </w:p>
        </w:tc>
        <w:tc>
          <w:tcPr>
            <w:tcW w:w="60" w:type="dxa"/>
            <w:tcBorders>
              <w:bottom w:val="single" w:sz="8" w:space="0" w:color="000000"/>
            </w:tcBorders>
            <w:vAlign w:val="center"/>
          </w:tcPr>
          <w:p>
            <w:pPr>
              <w:pStyle w:val="TableContents"/>
              <w:bidi w:val="0"/>
              <w:spacing w:before="0" w:after="283"/>
              <w:jc w:val="left"/>
              <w:rPr/>
            </w:pPr>
            <w:r>
              <w:rPr/>
              <w:t> </w:t>
            </w:r>
          </w:p>
        </w:tc>
        <w:tc>
          <w:tcPr>
            <w:tcW w:w="520" w:type="dxa"/>
            <w:gridSpan w:val="2"/>
            <w:tcBorders>
              <w:bottom w:val="single" w:sz="8" w:space="0" w:color="000000"/>
            </w:tcBorders>
            <w:vAlign w:val="center"/>
          </w:tcPr>
          <w:p>
            <w:pPr>
              <w:pStyle w:val="TableContents"/>
              <w:bidi w:val="0"/>
              <w:spacing w:before="0" w:after="283"/>
              <w:jc w:val="right"/>
              <w:rPr>
                <w:b/>
              </w:rPr>
            </w:pPr>
            <w:r>
              <w:rPr>
                <w:b/>
              </w:rPr>
              <w:t>2024</w:t>
            </w:r>
          </w:p>
        </w:tc>
        <w:tc>
          <w:tcPr>
            <w:tcW w:w="82" w:type="dxa"/>
            <w:tcBorders>
              <w:bottom w:val="single" w:sz="8" w:space="0" w:color="000000"/>
            </w:tcBorders>
            <w:vAlign w:val="center"/>
          </w:tcPr>
          <w:p>
            <w:pPr>
              <w:pStyle w:val="TableContents"/>
              <w:bidi w:val="0"/>
              <w:spacing w:before="0" w:after="283"/>
              <w:jc w:val="left"/>
              <w:rPr/>
            </w:pPr>
            <w:r>
              <w:rPr/>
              <w:t> </w:t>
            </w:r>
          </w:p>
        </w:tc>
        <w:tc>
          <w:tcPr>
            <w:tcW w:w="82" w:type="dxa"/>
            <w:tcBorders>
              <w:bottom w:val="single" w:sz="8" w:space="0" w:color="000000"/>
            </w:tcBorders>
            <w:vAlign w:val="center"/>
          </w:tcPr>
          <w:p>
            <w:pPr>
              <w:pStyle w:val="TableContents"/>
              <w:bidi w:val="0"/>
              <w:spacing w:before="0" w:after="283"/>
              <w:jc w:val="left"/>
              <w:rPr/>
            </w:pPr>
            <w:r>
              <w:rPr/>
              <w:t> </w:t>
            </w:r>
          </w:p>
        </w:tc>
        <w:tc>
          <w:tcPr>
            <w:tcW w:w="520" w:type="dxa"/>
            <w:gridSpan w:val="2"/>
            <w:tcBorders>
              <w:bottom w:val="single" w:sz="8" w:space="0" w:color="000000"/>
            </w:tcBorders>
            <w:vAlign w:val="center"/>
          </w:tcPr>
          <w:p>
            <w:pPr>
              <w:pStyle w:val="TableContents"/>
              <w:bidi w:val="0"/>
              <w:spacing w:before="0" w:after="283"/>
              <w:jc w:val="right"/>
              <w:rPr/>
            </w:pPr>
            <w:r>
              <w:rPr/>
              <w:t>2023</w:t>
            </w:r>
          </w:p>
        </w:tc>
        <w:tc>
          <w:tcPr>
            <w:tcW w:w="82" w:type="dxa"/>
            <w:tcBorders>
              <w:bottom w:val="single" w:sz="8" w:space="0" w:color="000000"/>
            </w:tcBorders>
            <w:vAlign w:val="center"/>
          </w:tcPr>
          <w:p>
            <w:pPr>
              <w:pStyle w:val="TableContents"/>
              <w:bidi w:val="0"/>
              <w:spacing w:before="0" w:after="283"/>
              <w:jc w:val="left"/>
              <w:rPr/>
            </w:pPr>
            <w:r>
              <w:rPr/>
              <w:t> </w:t>
            </w:r>
          </w:p>
        </w:tc>
        <w:tc>
          <w:tcPr>
            <w:tcW w:w="82" w:type="dxa"/>
            <w:tcBorders>
              <w:bottom w:val="single" w:sz="8" w:space="0" w:color="000000"/>
            </w:tcBorders>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right"/>
              <w:rPr/>
            </w:pPr>
            <w:r>
              <w:rPr/>
              <w:t>Change</w:t>
            </w:r>
          </w:p>
        </w:tc>
        <w:tc>
          <w:tcPr>
            <w:tcW w:w="82" w:type="dxa"/>
            <w:tcBorders>
              <w:bottom w:val="single" w:sz="8" w:space="0" w:color="000000"/>
            </w:tcBorders>
            <w:vAlign w:val="center"/>
          </w:tcPr>
          <w:p>
            <w:pPr>
              <w:pStyle w:val="TableContents"/>
              <w:bidi w:val="0"/>
              <w:spacing w:before="0" w:after="283"/>
              <w:jc w:val="left"/>
              <w:rPr/>
            </w:pPr>
            <w:r>
              <w:rPr/>
              <w:t> </w:t>
            </w:r>
          </w:p>
        </w:tc>
        <w:tc>
          <w:tcPr>
            <w:tcW w:w="82" w:type="dxa"/>
            <w:tcBorders>
              <w:bottom w:val="single" w:sz="8" w:space="0" w:color="000000"/>
            </w:tcBorders>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right"/>
              <w:rPr/>
            </w:pPr>
            <w:r>
              <w:rPr/>
              <w:t>% Change</w:t>
            </w:r>
          </w:p>
        </w:tc>
        <w:tc>
          <w:tcPr>
            <w:tcW w:w="230" w:type="dxa"/>
            <w:tcBorders>
              <w:bottom w:val="single" w:sz="8" w:space="0" w:color="000000"/>
            </w:tcBorders>
            <w:vAlign w:val="center"/>
          </w:tcPr>
          <w:p>
            <w:pPr>
              <w:pStyle w:val="TableContents"/>
              <w:bidi w:val="0"/>
              <w:spacing w:before="0" w:after="283"/>
              <w:jc w:val="left"/>
              <w:rPr/>
            </w:pPr>
            <w:r>
              <w:rPr/>
              <w:t> </w:t>
            </w:r>
          </w:p>
        </w:tc>
      </w:tr>
      <w:tr>
        <w:trPr/>
        <w:tc>
          <w:tcPr>
            <w:tcW w:w="4910" w:type="dxa"/>
            <w:tcBorders/>
            <w:tcMar>
              <w:bottom w:w="0" w:type="dxa"/>
            </w:tcMar>
            <w:vAlign w:val="center"/>
          </w:tcPr>
          <w:p>
            <w:pPr>
              <w:pStyle w:val="TableContents"/>
              <w:bidi w:val="0"/>
              <w:spacing w:before="0" w:after="283"/>
              <w:jc w:val="left"/>
              <w:rPr>
                <w:b/>
              </w:rPr>
            </w:pPr>
            <w:r>
              <w:rPr>
                <w:b/>
              </w:rPr>
              <w:t>North America</w:t>
            </w:r>
          </w:p>
        </w:tc>
        <w:tc>
          <w:tcPr>
            <w:tcW w:w="60" w:type="dxa"/>
            <w:tcBorders/>
            <w:tcMar>
              <w:bottom w:w="0" w:type="dxa"/>
            </w:tcMar>
            <w:vAlign w:val="center"/>
          </w:tcPr>
          <w:p>
            <w:pPr>
              <w:pStyle w:val="TableContents"/>
              <w:bidi w:val="0"/>
              <w:spacing w:before="0" w:after="283"/>
              <w:jc w:val="left"/>
              <w:rPr/>
            </w:pPr>
            <w:r>
              <w:rPr/>
              <w:t> </w:t>
            </w:r>
          </w:p>
        </w:tc>
        <w:tc>
          <w:tcPr>
            <w:tcW w:w="520" w:type="dxa"/>
            <w:gridSpan w:val="2"/>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520" w:type="dxa"/>
            <w:gridSpan w:val="2"/>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101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910" w:type="dxa"/>
            <w:tcBorders/>
            <w:shd w:fill="CCEEFF" w:val="clear"/>
            <w:tcMar>
              <w:bottom w:w="0" w:type="dxa"/>
            </w:tcMar>
            <w:vAlign w:val="center"/>
          </w:tcPr>
          <w:p>
            <w:pPr>
              <w:pStyle w:val="TableContents"/>
              <w:bidi w:val="0"/>
              <w:spacing w:before="0" w:after="283"/>
              <w:jc w:val="left"/>
              <w:rPr/>
            </w:pPr>
            <w:r>
              <w:rPr/>
              <w:t>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438" w:type="dxa"/>
            <w:tcBorders/>
            <w:shd w:fill="CCEEFF" w:val="clear"/>
            <w:tcMar>
              <w:bottom w:w="0" w:type="dxa"/>
            </w:tcMar>
            <w:vAlign w:val="center"/>
          </w:tcPr>
          <w:p>
            <w:pPr>
              <w:pStyle w:val="TableContents"/>
              <w:bidi w:val="0"/>
              <w:spacing w:before="0" w:after="283"/>
              <w:jc w:val="right"/>
              <w:rPr>
                <w:b/>
              </w:rPr>
            </w:pPr>
            <w:r>
              <w:rPr>
                <w:b/>
              </w:rPr>
              <w:t>4.9</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438" w:type="dxa"/>
            <w:tcBorders/>
            <w:shd w:fill="CCEEFF" w:val="clear"/>
            <w:tcMar>
              <w:bottom w:w="0" w:type="dxa"/>
            </w:tcMar>
            <w:vAlign w:val="center"/>
          </w:tcPr>
          <w:p>
            <w:pPr>
              <w:pStyle w:val="TableContents"/>
              <w:bidi w:val="0"/>
              <w:spacing w:before="0" w:after="283"/>
              <w:jc w:val="right"/>
              <w:rPr/>
            </w:pPr>
            <w:r>
              <w:rPr/>
              <w:t>3.6</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pPr>
            <w:r>
              <w:rPr/>
              <w:t>1.3</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36</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910" w:type="dxa"/>
            <w:tcBorders>
              <w:bottom w:val="single" w:sz="8" w:space="0" w:color="000000"/>
            </w:tcBorders>
            <w:shd w:fill="FFFFFF" w:val="clear"/>
            <w:vAlign w:val="center"/>
          </w:tcPr>
          <w:p>
            <w:pPr>
              <w:pStyle w:val="TableContents"/>
              <w:bidi w:val="0"/>
              <w:spacing w:before="0" w:after="283"/>
              <w:jc w:val="left"/>
              <w:rPr/>
            </w:pPr>
            <w:r>
              <w:rPr/>
              <w:t>United States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438" w:type="dxa"/>
            <w:tcBorders>
              <w:bottom w:val="single" w:sz="8" w:space="0" w:color="000000"/>
            </w:tcBorders>
            <w:shd w:fill="FFFFFF" w:val="clear"/>
            <w:vAlign w:val="center"/>
          </w:tcPr>
          <w:p>
            <w:pPr>
              <w:pStyle w:val="TableContents"/>
              <w:bidi w:val="0"/>
              <w:spacing w:before="0" w:after="283"/>
              <w:jc w:val="right"/>
              <w:rPr>
                <w:b/>
              </w:rPr>
            </w:pPr>
            <w:r>
              <w:rPr>
                <w:b/>
              </w:rPr>
              <w:t>0.6</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438" w:type="dxa"/>
            <w:tcBorders>
              <w:bottom w:val="single" w:sz="8" w:space="0" w:color="000000"/>
            </w:tcBorders>
            <w:shd w:fill="FFFFFF" w:val="clear"/>
            <w:vAlign w:val="center"/>
          </w:tcPr>
          <w:p>
            <w:pPr>
              <w:pStyle w:val="TableContents"/>
              <w:bidi w:val="0"/>
              <w:spacing w:before="0" w:after="283"/>
              <w:jc w:val="right"/>
              <w:rPr/>
            </w:pPr>
            <w:r>
              <w:rPr/>
              <w:t>0.6</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636" w:type="dxa"/>
            <w:tcBorders>
              <w:bottom w:val="single" w:sz="8" w:space="0" w:color="000000"/>
            </w:tcBorders>
            <w:shd w:fill="FFFFFF" w:val="clear"/>
            <w:vAlign w:val="center"/>
          </w:tcPr>
          <w:p>
            <w:pPr>
              <w:pStyle w:val="TableContents"/>
              <w:bidi w:val="0"/>
              <w:spacing w:before="0" w:after="283"/>
              <w:jc w:val="right"/>
              <w:rPr/>
            </w:pPr>
            <w:r>
              <w:rPr/>
              <w:t>—</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137" w:type="dxa"/>
            <w:tcBorders>
              <w:bottom w:val="single" w:sz="8" w:space="0" w:color="000000"/>
            </w:tcBorders>
            <w:shd w:fill="FFFFFF" w:val="clear"/>
            <w:vAlign w:val="center"/>
          </w:tcPr>
          <w:p>
            <w:pPr>
              <w:pStyle w:val="TableContents"/>
              <w:bidi w:val="0"/>
              <w:spacing w:before="0" w:after="283"/>
              <w:jc w:val="left"/>
              <w:rPr/>
            </w:pPr>
            <w:r>
              <w:rPr/>
              <w:t> </w:t>
            </w:r>
          </w:p>
        </w:tc>
        <w:tc>
          <w:tcPr>
            <w:tcW w:w="873" w:type="dxa"/>
            <w:tcBorders>
              <w:bottom w:val="single" w:sz="8" w:space="0" w:color="000000"/>
            </w:tcBorders>
            <w:shd w:fill="FFFFFF" w:val="clear"/>
            <w:vAlign w:val="center"/>
          </w:tcPr>
          <w:p>
            <w:pPr>
              <w:pStyle w:val="TableContents"/>
              <w:bidi w:val="0"/>
              <w:spacing w:before="0" w:after="283"/>
              <w:jc w:val="right"/>
              <w:rPr/>
            </w:pPr>
            <w:r>
              <w:rPr/>
              <w:t>—</w:t>
            </w:r>
          </w:p>
        </w:tc>
        <w:tc>
          <w:tcPr>
            <w:tcW w:w="230" w:type="dxa"/>
            <w:tcBorders>
              <w:bottom w:val="single" w:sz="8" w:space="0" w:color="000000"/>
            </w:tcBorders>
            <w:shd w:fill="FFFFFF" w:val="clear"/>
            <w:vAlign w:val="center"/>
          </w:tcPr>
          <w:p>
            <w:pPr>
              <w:pStyle w:val="TableContents"/>
              <w:bidi w:val="0"/>
              <w:spacing w:before="0" w:after="283"/>
              <w:jc w:val="left"/>
              <w:rPr/>
            </w:pPr>
            <w:r>
              <w:rPr/>
              <w:t>%</w:t>
            </w:r>
          </w:p>
        </w:tc>
      </w:tr>
      <w:tr>
        <w:trPr/>
        <w:tc>
          <w:tcPr>
            <w:tcW w:w="49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438" w:type="dxa"/>
            <w:tcBorders/>
            <w:shd w:fill="CCEEFF" w:val="clear"/>
            <w:tcMar>
              <w:bottom w:w="0" w:type="dxa"/>
            </w:tcMar>
            <w:vAlign w:val="center"/>
          </w:tcPr>
          <w:p>
            <w:pPr>
              <w:pStyle w:val="TableContents"/>
              <w:bidi w:val="0"/>
              <w:spacing w:before="0" w:after="283"/>
              <w:jc w:val="right"/>
              <w:rPr>
                <w:b/>
              </w:rPr>
            </w:pPr>
            <w:r>
              <w:rPr>
                <w:b/>
              </w:rPr>
              <w:t>5.5</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438" w:type="dxa"/>
            <w:tcBorders/>
            <w:shd w:fill="CCEEFF" w:val="clear"/>
            <w:tcMar>
              <w:bottom w:w="0" w:type="dxa"/>
            </w:tcMar>
            <w:vAlign w:val="center"/>
          </w:tcPr>
          <w:p>
            <w:pPr>
              <w:pStyle w:val="TableContents"/>
              <w:bidi w:val="0"/>
              <w:spacing w:before="0" w:after="283"/>
              <w:jc w:val="right"/>
              <w:rPr/>
            </w:pPr>
            <w:r>
              <w:rPr/>
              <w:t>4.2</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pPr>
            <w:r>
              <w:rPr/>
              <w:t>1.3</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31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910" w:type="dxa"/>
            <w:tcBorders/>
            <w:shd w:fill="FFFFFF" w:val="clear"/>
            <w:tcMar>
              <w:bottom w:w="0" w:type="dxa"/>
            </w:tcMar>
            <w:vAlign w:val="center"/>
          </w:tcPr>
          <w:p>
            <w:pPr>
              <w:pStyle w:val="TableContents"/>
              <w:bidi w:val="0"/>
              <w:spacing w:before="0" w:after="283"/>
              <w:jc w:val="left"/>
              <w:rPr>
                <w:b/>
              </w:rPr>
            </w:pPr>
            <w:r>
              <w:rPr>
                <w:b/>
              </w:rPr>
              <w:t>South America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438" w:type="dxa"/>
            <w:tcBorders/>
            <w:shd w:fill="FFFFFF" w:val="clear"/>
            <w:tcMar>
              <w:bottom w:w="0" w:type="dxa"/>
            </w:tcMar>
            <w:vAlign w:val="center"/>
          </w:tcPr>
          <w:p>
            <w:pPr>
              <w:pStyle w:val="TableContents"/>
              <w:bidi w:val="0"/>
              <w:spacing w:before="0" w:after="283"/>
              <w:jc w:val="righ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438" w:type="dxa"/>
            <w:tcBorders/>
            <w:shd w:fill="FFFFFF" w:val="clear"/>
            <w:tcMar>
              <w:bottom w:w="0" w:type="dxa"/>
            </w:tcMar>
            <w:vAlign w:val="center"/>
          </w:tcPr>
          <w:p>
            <w:pPr>
              <w:pStyle w:val="TableContents"/>
              <w:bidi w:val="0"/>
              <w:spacing w:before="0" w:after="283"/>
              <w:jc w:val="righ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636" w:type="dxa"/>
            <w:tcBorders/>
            <w:shd w:fill="FFFFFF" w:val="clear"/>
            <w:tcMar>
              <w:bottom w:w="0" w:type="dxa"/>
            </w:tcMar>
            <w:vAlign w:val="center"/>
          </w:tcPr>
          <w:p>
            <w:pPr>
              <w:pStyle w:val="TableContents"/>
              <w:bidi w:val="0"/>
              <w:spacing w:before="0" w:after="283"/>
              <w:jc w:val="righ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910" w:type="dxa"/>
            <w:tcBorders/>
            <w:shd w:fill="CCEEFF" w:val="clear"/>
            <w:tcMar>
              <w:bottom w:w="0" w:type="dxa"/>
            </w:tcMar>
            <w:vAlign w:val="center"/>
          </w:tcPr>
          <w:p>
            <w:pPr>
              <w:pStyle w:val="TableContents"/>
              <w:bidi w:val="0"/>
              <w:spacing w:before="0" w:after="283"/>
              <w:jc w:val="left"/>
              <w:rPr/>
            </w:pPr>
            <w:r>
              <w:rPr/>
              <w:t>Paraguay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438" w:type="dxa"/>
            <w:tcBorders/>
            <w:shd w:fill="CCEEFF" w:val="clear"/>
            <w:tcMar>
              <w:bottom w:w="0" w:type="dxa"/>
            </w:tcMar>
            <w:vAlign w:val="center"/>
          </w:tcPr>
          <w:p>
            <w:pPr>
              <w:pStyle w:val="TableContents"/>
              <w:bidi w:val="0"/>
              <w:spacing w:before="0" w:after="283"/>
              <w:jc w:val="right"/>
              <w:rPr>
                <w:b/>
              </w:rPr>
            </w:pPr>
            <w:r>
              <w:rPr>
                <w:b/>
              </w:rPr>
              <w:t>1.4</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438" w:type="dxa"/>
            <w:tcBorders/>
            <w:shd w:fill="CCEEFF" w:val="clear"/>
            <w:tcMar>
              <w:bottom w:w="0" w:type="dxa"/>
            </w:tcMar>
            <w:vAlign w:val="center"/>
          </w:tcPr>
          <w:p>
            <w:pPr>
              <w:pStyle w:val="TableContents"/>
              <w:bidi w:val="0"/>
              <w:spacing w:before="0" w:after="283"/>
              <w:jc w:val="right"/>
              <w:rPr/>
            </w:pPr>
            <w:r>
              <w:rPr/>
              <w:t>0.3</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636" w:type="dxa"/>
            <w:tcBorders/>
            <w:shd w:fill="CCEEFF" w:val="clear"/>
            <w:tcMar>
              <w:bottom w:w="0" w:type="dxa"/>
            </w:tcMar>
            <w:vAlign w:val="center"/>
          </w:tcPr>
          <w:p>
            <w:pPr>
              <w:pStyle w:val="TableContents"/>
              <w:bidi w:val="0"/>
              <w:spacing w:before="0" w:after="283"/>
              <w:jc w:val="right"/>
              <w:rPr/>
            </w:pPr>
            <w:r>
              <w:rPr/>
              <w:t>1.1</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367</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910" w:type="dxa"/>
            <w:tcBorders>
              <w:bottom w:val="single" w:sz="8" w:space="0" w:color="000000"/>
            </w:tcBorders>
            <w:shd w:fill="FFFFFF" w:val="clear"/>
            <w:vAlign w:val="center"/>
          </w:tcPr>
          <w:p>
            <w:pPr>
              <w:pStyle w:val="TableContents"/>
              <w:bidi w:val="0"/>
              <w:spacing w:before="0" w:after="283"/>
              <w:jc w:val="left"/>
              <w:rPr/>
            </w:pPr>
            <w:r>
              <w:rPr/>
              <w:t>Argentina</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438" w:type="dxa"/>
            <w:tcBorders>
              <w:bottom w:val="single" w:sz="8" w:space="0" w:color="000000"/>
            </w:tcBorders>
            <w:shd w:fill="FFFFFF" w:val="clear"/>
            <w:vAlign w:val="center"/>
          </w:tcPr>
          <w:p>
            <w:pPr>
              <w:pStyle w:val="TableContents"/>
              <w:bidi w:val="0"/>
              <w:spacing w:before="0" w:after="283"/>
              <w:jc w:val="right"/>
              <w:rPr>
                <w:b/>
              </w:rPr>
            </w:pPr>
            <w:r>
              <w:rPr>
                <w:b/>
              </w:rPr>
              <w:t>1.4</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438" w:type="dxa"/>
            <w:tcBorders>
              <w:bottom w:val="single" w:sz="8" w:space="0" w:color="000000"/>
            </w:tcBorders>
            <w:shd w:fill="FFFFFF" w:val="clear"/>
            <w:vAlign w:val="center"/>
          </w:tcPr>
          <w:p>
            <w:pPr>
              <w:pStyle w:val="TableContents"/>
              <w:bidi w:val="0"/>
              <w:spacing w:before="0" w:after="283"/>
              <w:jc w:val="right"/>
              <w:rPr/>
            </w:pPr>
            <w:r>
              <w:rPr/>
              <w:t>0.7</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vAlign w:val="center"/>
          </w:tcPr>
          <w:p>
            <w:pPr>
              <w:pStyle w:val="TableContents"/>
              <w:bidi w:val="0"/>
              <w:spacing w:before="0" w:after="283"/>
              <w:jc w:val="left"/>
              <w:rPr/>
            </w:pPr>
            <w:r>
              <w:rPr/>
              <w:t> </w:t>
            </w:r>
          </w:p>
        </w:tc>
        <w:tc>
          <w:tcPr>
            <w:tcW w:w="636" w:type="dxa"/>
            <w:tcBorders>
              <w:bottom w:val="single" w:sz="8" w:space="0" w:color="000000"/>
            </w:tcBorders>
            <w:shd w:fill="FFFFFF" w:val="clear"/>
            <w:vAlign w:val="center"/>
          </w:tcPr>
          <w:p>
            <w:pPr>
              <w:pStyle w:val="TableContents"/>
              <w:bidi w:val="0"/>
              <w:spacing w:before="0" w:after="283"/>
              <w:jc w:val="right"/>
              <w:rPr/>
            </w:pPr>
            <w:r>
              <w:rPr/>
              <w:t>0.7</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137" w:type="dxa"/>
            <w:tcBorders>
              <w:bottom w:val="single" w:sz="8" w:space="0" w:color="000000"/>
            </w:tcBorders>
            <w:shd w:fill="FFFFFF" w:val="clear"/>
            <w:vAlign w:val="center"/>
          </w:tcPr>
          <w:p>
            <w:pPr>
              <w:pStyle w:val="TableContents"/>
              <w:bidi w:val="0"/>
              <w:spacing w:before="0" w:after="283"/>
              <w:jc w:val="left"/>
              <w:rPr/>
            </w:pPr>
            <w:r>
              <w:rPr/>
              <w:t> </w:t>
            </w:r>
          </w:p>
        </w:tc>
        <w:tc>
          <w:tcPr>
            <w:tcW w:w="873" w:type="dxa"/>
            <w:tcBorders>
              <w:bottom w:val="single" w:sz="8" w:space="0" w:color="000000"/>
            </w:tcBorders>
            <w:shd w:fill="FFFFFF" w:val="clear"/>
            <w:vAlign w:val="center"/>
          </w:tcPr>
          <w:p>
            <w:pPr>
              <w:pStyle w:val="TableContents"/>
              <w:bidi w:val="0"/>
              <w:spacing w:before="0" w:after="283"/>
              <w:jc w:val="right"/>
              <w:rPr/>
            </w:pPr>
            <w:r>
              <w:rPr/>
              <w:t>100</w:t>
            </w:r>
          </w:p>
        </w:tc>
        <w:tc>
          <w:tcPr>
            <w:tcW w:w="230" w:type="dxa"/>
            <w:tcBorders>
              <w:bottom w:val="single" w:sz="8" w:space="0" w:color="000000"/>
            </w:tcBorders>
            <w:shd w:fill="FFFFFF" w:val="clear"/>
            <w:vAlign w:val="center"/>
          </w:tcPr>
          <w:p>
            <w:pPr>
              <w:pStyle w:val="TableContents"/>
              <w:bidi w:val="0"/>
              <w:spacing w:before="0" w:after="283"/>
              <w:jc w:val="left"/>
              <w:rPr/>
            </w:pPr>
            <w:r>
              <w:rPr/>
              <w:t>%</w:t>
            </w:r>
          </w:p>
        </w:tc>
      </w:tr>
      <w:tr>
        <w:trPr/>
        <w:tc>
          <w:tcPr>
            <w:tcW w:w="491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vAlign w:val="center"/>
          </w:tcPr>
          <w:p>
            <w:pPr>
              <w:pStyle w:val="TableContents"/>
              <w:bidi w:val="0"/>
              <w:spacing w:before="0" w:after="283"/>
              <w:jc w:val="left"/>
              <w:rPr/>
            </w:pPr>
            <w:r>
              <w:rPr/>
              <w:t> </w:t>
            </w:r>
          </w:p>
        </w:tc>
        <w:tc>
          <w:tcPr>
            <w:tcW w:w="438" w:type="dxa"/>
            <w:tcBorders>
              <w:bottom w:val="single" w:sz="8" w:space="0" w:color="000000"/>
            </w:tcBorders>
            <w:shd w:fill="CCEEFF" w:val="clear"/>
            <w:vAlign w:val="center"/>
          </w:tcPr>
          <w:p>
            <w:pPr>
              <w:pStyle w:val="TableContents"/>
              <w:bidi w:val="0"/>
              <w:spacing w:before="0" w:after="283"/>
              <w:jc w:val="right"/>
              <w:rPr>
                <w:b/>
              </w:rPr>
            </w:pPr>
            <w:r>
              <w:rPr>
                <w:b/>
              </w:rPr>
              <w:t>2.8</w:t>
            </w:r>
          </w:p>
        </w:tc>
        <w:tc>
          <w:tcPr>
            <w:tcW w:w="82" w:type="dxa"/>
            <w:tcBorders>
              <w:bottom w:val="single" w:sz="8" w:space="0" w:color="000000"/>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vAlign w:val="center"/>
          </w:tcPr>
          <w:p>
            <w:pPr>
              <w:pStyle w:val="TableContents"/>
              <w:bidi w:val="0"/>
              <w:spacing w:before="0" w:after="283"/>
              <w:jc w:val="left"/>
              <w:rPr/>
            </w:pPr>
            <w:r>
              <w:rPr/>
              <w:t> </w:t>
            </w:r>
          </w:p>
        </w:tc>
        <w:tc>
          <w:tcPr>
            <w:tcW w:w="438" w:type="dxa"/>
            <w:tcBorders>
              <w:bottom w:val="single" w:sz="8" w:space="0" w:color="000000"/>
            </w:tcBorders>
            <w:shd w:fill="CCEEFF" w:val="clear"/>
            <w:vAlign w:val="center"/>
          </w:tcPr>
          <w:p>
            <w:pPr>
              <w:pStyle w:val="TableContents"/>
              <w:bidi w:val="0"/>
              <w:spacing w:before="0" w:after="283"/>
              <w:jc w:val="right"/>
              <w:rPr/>
            </w:pPr>
            <w:r>
              <w:rPr/>
              <w:t>1.0</w:t>
            </w:r>
          </w:p>
        </w:tc>
        <w:tc>
          <w:tcPr>
            <w:tcW w:w="82" w:type="dxa"/>
            <w:tcBorders>
              <w:bottom w:val="single" w:sz="8" w:space="0" w:color="000000"/>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vAlign w:val="center"/>
          </w:tcPr>
          <w:p>
            <w:pPr>
              <w:pStyle w:val="TableContents"/>
              <w:bidi w:val="0"/>
              <w:spacing w:before="0" w:after="283"/>
              <w:jc w:val="left"/>
              <w:rPr/>
            </w:pPr>
            <w:r>
              <w:rPr/>
              <w:t> </w:t>
            </w:r>
          </w:p>
        </w:tc>
        <w:tc>
          <w:tcPr>
            <w:tcW w:w="636" w:type="dxa"/>
            <w:tcBorders>
              <w:bottom w:val="single" w:sz="8" w:space="0" w:color="000000"/>
            </w:tcBorders>
            <w:shd w:fill="CCEEFF" w:val="clear"/>
            <w:vAlign w:val="center"/>
          </w:tcPr>
          <w:p>
            <w:pPr>
              <w:pStyle w:val="TableContents"/>
              <w:bidi w:val="0"/>
              <w:spacing w:before="0" w:after="283"/>
              <w:jc w:val="right"/>
              <w:rPr/>
            </w:pPr>
            <w:r>
              <w:rPr/>
              <w:t>1.8</w:t>
            </w:r>
          </w:p>
        </w:tc>
        <w:tc>
          <w:tcPr>
            <w:tcW w:w="82" w:type="dxa"/>
            <w:tcBorders>
              <w:bottom w:val="single" w:sz="8" w:space="0" w:color="000000"/>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vAlign w:val="center"/>
          </w:tcPr>
          <w:p>
            <w:pPr>
              <w:pStyle w:val="TableContents"/>
              <w:bidi w:val="0"/>
              <w:spacing w:before="0" w:after="283"/>
              <w:jc w:val="left"/>
              <w:rPr/>
            </w:pPr>
            <w:r>
              <w:rPr/>
              <w:t> </w:t>
            </w:r>
          </w:p>
        </w:tc>
        <w:tc>
          <w:tcPr>
            <w:tcW w:w="873" w:type="dxa"/>
            <w:tcBorders>
              <w:bottom w:val="single" w:sz="8" w:space="0" w:color="000000"/>
            </w:tcBorders>
            <w:shd w:fill="CCEEFF" w:val="clear"/>
            <w:vAlign w:val="center"/>
          </w:tcPr>
          <w:p>
            <w:pPr>
              <w:pStyle w:val="TableContents"/>
              <w:bidi w:val="0"/>
              <w:spacing w:before="0" w:after="283"/>
              <w:jc w:val="right"/>
              <w:rPr/>
            </w:pPr>
            <w:r>
              <w:rPr/>
              <w:t>180</w:t>
            </w:r>
          </w:p>
        </w:tc>
        <w:tc>
          <w:tcPr>
            <w:tcW w:w="230" w:type="dxa"/>
            <w:tcBorders>
              <w:bottom w:val="single" w:sz="8" w:space="0" w:color="000000"/>
            </w:tcBorders>
            <w:shd w:fill="CCEEFF" w:val="clear"/>
            <w:vAlign w:val="center"/>
          </w:tcPr>
          <w:p>
            <w:pPr>
              <w:pStyle w:val="TableContents"/>
              <w:bidi w:val="0"/>
              <w:spacing w:before="0" w:after="283"/>
              <w:jc w:val="left"/>
              <w:rPr/>
            </w:pPr>
            <w:r>
              <w:rPr/>
              <w:t>%</w:t>
            </w:r>
          </w:p>
        </w:tc>
      </w:tr>
      <w:tr>
        <w:trPr/>
        <w:tc>
          <w:tcPr>
            <w:tcW w:w="4910" w:type="dxa"/>
            <w:tcBorders>
              <w:bottom w:val="single" w:sz="12" w:space="0" w:color="000000"/>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vAlign w:val="center"/>
          </w:tcPr>
          <w:p>
            <w:pPr>
              <w:pStyle w:val="TableContents"/>
              <w:bidi w:val="0"/>
              <w:spacing w:before="0" w:after="283"/>
              <w:jc w:val="left"/>
              <w:rPr/>
            </w:pPr>
            <w:r>
              <w:rPr/>
              <w:t> </w:t>
            </w:r>
          </w:p>
        </w:tc>
        <w:tc>
          <w:tcPr>
            <w:tcW w:w="438" w:type="dxa"/>
            <w:tcBorders>
              <w:bottom w:val="single" w:sz="12" w:space="0" w:color="000000"/>
            </w:tcBorders>
            <w:shd w:fill="FFFFFF" w:val="clear"/>
            <w:vAlign w:val="center"/>
          </w:tcPr>
          <w:p>
            <w:pPr>
              <w:pStyle w:val="TableContents"/>
              <w:bidi w:val="0"/>
              <w:spacing w:before="0" w:after="283"/>
              <w:jc w:val="right"/>
              <w:rPr>
                <w:b/>
              </w:rPr>
            </w:pPr>
            <w:r>
              <w:rPr>
                <w:b/>
              </w:rPr>
              <w:t>8.3</w:t>
            </w:r>
          </w:p>
        </w:tc>
        <w:tc>
          <w:tcPr>
            <w:tcW w:w="82" w:type="dxa"/>
            <w:tcBorders>
              <w:bottom w:val="single" w:sz="12" w:space="0" w:color="000000"/>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vAlign w:val="center"/>
          </w:tcPr>
          <w:p>
            <w:pPr>
              <w:pStyle w:val="TableContents"/>
              <w:bidi w:val="0"/>
              <w:spacing w:before="0" w:after="283"/>
              <w:jc w:val="left"/>
              <w:rPr/>
            </w:pPr>
            <w:r>
              <w:rPr/>
              <w:t> </w:t>
            </w:r>
          </w:p>
        </w:tc>
        <w:tc>
          <w:tcPr>
            <w:tcW w:w="438" w:type="dxa"/>
            <w:tcBorders>
              <w:bottom w:val="single" w:sz="12" w:space="0" w:color="000000"/>
            </w:tcBorders>
            <w:shd w:fill="FFFFFF" w:val="clear"/>
            <w:vAlign w:val="center"/>
          </w:tcPr>
          <w:p>
            <w:pPr>
              <w:pStyle w:val="TableContents"/>
              <w:bidi w:val="0"/>
              <w:spacing w:before="0" w:after="283"/>
              <w:jc w:val="right"/>
              <w:rPr/>
            </w:pPr>
            <w:r>
              <w:rPr/>
              <w:t>5.2</w:t>
            </w:r>
          </w:p>
        </w:tc>
        <w:tc>
          <w:tcPr>
            <w:tcW w:w="82" w:type="dxa"/>
            <w:tcBorders>
              <w:bottom w:val="single" w:sz="12" w:space="0" w:color="000000"/>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vAlign w:val="center"/>
          </w:tcPr>
          <w:p>
            <w:pPr>
              <w:pStyle w:val="TableContents"/>
              <w:bidi w:val="0"/>
              <w:spacing w:before="0" w:after="283"/>
              <w:jc w:val="left"/>
              <w:rPr/>
            </w:pPr>
            <w:r>
              <w:rPr/>
              <w:t> </w:t>
            </w:r>
          </w:p>
        </w:tc>
        <w:tc>
          <w:tcPr>
            <w:tcW w:w="636" w:type="dxa"/>
            <w:tcBorders>
              <w:bottom w:val="single" w:sz="12" w:space="0" w:color="000000"/>
            </w:tcBorders>
            <w:shd w:fill="FFFFFF" w:val="clear"/>
            <w:vAlign w:val="center"/>
          </w:tcPr>
          <w:p>
            <w:pPr>
              <w:pStyle w:val="TableContents"/>
              <w:bidi w:val="0"/>
              <w:spacing w:before="0" w:after="283"/>
              <w:jc w:val="right"/>
              <w:rPr/>
            </w:pPr>
            <w:r>
              <w:rPr/>
              <w:t>3.1</w:t>
            </w:r>
          </w:p>
        </w:tc>
        <w:tc>
          <w:tcPr>
            <w:tcW w:w="82" w:type="dxa"/>
            <w:tcBorders>
              <w:bottom w:val="single" w:sz="12" w:space="0" w:color="000000"/>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vAlign w:val="center"/>
          </w:tcPr>
          <w:p>
            <w:pPr>
              <w:pStyle w:val="TableContents"/>
              <w:bidi w:val="0"/>
              <w:spacing w:before="0" w:after="283"/>
              <w:jc w:val="left"/>
              <w:rPr/>
            </w:pPr>
            <w:r>
              <w:rPr/>
              <w:t> </w:t>
            </w:r>
          </w:p>
        </w:tc>
        <w:tc>
          <w:tcPr>
            <w:tcW w:w="873" w:type="dxa"/>
            <w:tcBorders>
              <w:bottom w:val="single" w:sz="12" w:space="0" w:color="000000"/>
            </w:tcBorders>
            <w:shd w:fill="FFFFFF" w:val="clear"/>
            <w:vAlign w:val="center"/>
          </w:tcPr>
          <w:p>
            <w:pPr>
              <w:pStyle w:val="TableContents"/>
              <w:bidi w:val="0"/>
              <w:spacing w:before="0" w:after="283"/>
              <w:jc w:val="right"/>
              <w:rPr/>
            </w:pPr>
            <w:r>
              <w:rPr/>
              <w:t>60</w:t>
            </w:r>
          </w:p>
        </w:tc>
        <w:tc>
          <w:tcPr>
            <w:tcW w:w="230" w:type="dxa"/>
            <w:tcBorders>
              <w:bottom w:val="single" w:sz="12" w:space="0" w:color="000000"/>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earned the majority of its revenues from its Canadian operations in FY 2024, which accounted for 61% of total revenues, compared to 71% in FY 2023, but accounted for a smaller proportion of total revenues in FY 2024 largely due to the expansion of operations in Argentina and Paraguay during FY 2023 and FY 2024, respectively. The Company’s operations in Argentina, Paraguay and United States accounted for 17%, 13% and 9% of total revenues in FY 2024, respectively, compared to 13%, 5% and 11% in FY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Canadian operations, the impact of the increases in average BTC price and the average Hashrate increase of 1.3 EH/s, or 36%, were partially offset by the increase in Network Difficulty and the decrease in Block Rewards following the BTC halving event that occurred on April 19, 2024, resulting in revenues increasing by $12.4 million during FY 2024 as compared to FY 2023. The average Hashrate increase of the Argentina and Paraguay operations of 0.7 EH/s, or 100%; and 1.1 EH/s, or 367%, respectively, resulted in FY 2024 revenues increasing by $14.6 million and $19.0 million, respectively, compared to FY 2023. Revenues from the Company’s United States operations increased by $0.5 million during FY 2024 as compared to FY 2023 due to the increase in average BTC price, partially offset by the increase in Network Difficulty and the decrease in Block Rewards following the BTC halving event that occurred on April 19, 2024.</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23 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60"/>
        <w:gridCol w:w="1850"/>
      </w:tblGrid>
      <w:tr>
        <w:trPr/>
        <w:tc>
          <w:tcPr>
            <w:tcW w:w="260" w:type="dxa"/>
            <w:tcBorders/>
            <w:vAlign w:val="center"/>
          </w:tcPr>
          <w:p>
            <w:pPr>
              <w:pStyle w:val="TableContents"/>
              <w:bidi w:val="0"/>
              <w:spacing w:before="0" w:after="283"/>
              <w:jc w:val="left"/>
              <w:rPr>
                <w:b/>
              </w:rPr>
            </w:pPr>
            <w:r>
              <w:rPr>
                <w:b/>
              </w:rPr>
              <w:t>B.</w:t>
            </w:r>
          </w:p>
        </w:tc>
        <w:tc>
          <w:tcPr>
            <w:tcW w:w="1850" w:type="dxa"/>
            <w:tcBorders/>
            <w:vAlign w:val="center"/>
          </w:tcPr>
          <w:p>
            <w:pPr>
              <w:pStyle w:val="TableContents"/>
              <w:bidi w:val="0"/>
              <w:spacing w:before="0" w:after="283"/>
              <w:jc w:val="left"/>
              <w:rPr>
                <w:b/>
              </w:rPr>
            </w:pPr>
            <w:r>
              <w:rPr>
                <w:b/>
              </w:rPr>
              <w:t xml:space="preserve">Cost of Revenues </w:t>
            </w:r>
          </w:p>
        </w:tc>
      </w:tr>
      <w:tr>
        <w:trPr/>
        <w:tc>
          <w:tcPr>
            <w:tcW w:w="2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28" w:type="dxa"/>
          <w:right w:w="0" w:type="dxa"/>
        </w:tblCellMar>
      </w:tblPr>
      <w:tblGrid>
        <w:gridCol w:w="2064"/>
        <w:gridCol w:w="60"/>
        <w:gridCol w:w="60"/>
        <w:gridCol w:w="761"/>
        <w:gridCol w:w="95"/>
        <w:gridCol w:w="60"/>
        <w:gridCol w:w="60"/>
        <w:gridCol w:w="761"/>
        <w:gridCol w:w="95"/>
        <w:gridCol w:w="60"/>
        <w:gridCol w:w="62"/>
        <w:gridCol w:w="779"/>
        <w:gridCol w:w="95"/>
        <w:gridCol w:w="60"/>
        <w:gridCol w:w="113"/>
        <w:gridCol w:w="490"/>
        <w:gridCol w:w="407"/>
        <w:gridCol w:w="60"/>
        <w:gridCol w:w="60"/>
        <w:gridCol w:w="875"/>
        <w:gridCol w:w="95"/>
        <w:gridCol w:w="60"/>
        <w:gridCol w:w="60"/>
        <w:gridCol w:w="875"/>
        <w:gridCol w:w="95"/>
        <w:gridCol w:w="60"/>
        <w:gridCol w:w="61"/>
        <w:gridCol w:w="775"/>
        <w:gridCol w:w="99"/>
        <w:gridCol w:w="60"/>
        <w:gridCol w:w="78"/>
        <w:gridCol w:w="498"/>
        <w:gridCol w:w="312"/>
      </w:tblGrid>
      <w:tr>
        <w:trPr/>
        <w:tc>
          <w:tcPr>
            <w:tcW w:w="2064" w:type="dxa"/>
            <w:tcBorders>
              <w:bottom w:val="single" w:sz="8" w:space="0" w:color="000000"/>
            </w:tcBorders>
            <w:vAlign w:val="center"/>
          </w:tcPr>
          <w:p>
            <w:pPr>
              <w:pStyle w:val="TableContents"/>
              <w:bidi w:val="0"/>
              <w:spacing w:before="0" w:after="283"/>
              <w:ind w:left="0" w:right="0" w:hanging="180"/>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3958" w:type="dxa"/>
            <w:gridSpan w:val="15"/>
            <w:tcBorders>
              <w:bottom w:val="single" w:sz="8" w:space="0" w:color="000000"/>
            </w:tcBorders>
            <w:vAlign w:val="center"/>
          </w:tcPr>
          <w:p>
            <w:pPr>
              <w:pStyle w:val="TableContents"/>
              <w:bidi w:val="0"/>
              <w:spacing w:before="0" w:after="283"/>
              <w:jc w:val="center"/>
              <w:rPr>
                <w:b/>
              </w:rPr>
            </w:pPr>
            <w:r>
              <w:rPr>
                <w:b/>
              </w:rPr>
              <w:t>Three months ended December 31,</w:t>
            </w:r>
          </w:p>
        </w:tc>
        <w:tc>
          <w:tcPr>
            <w:tcW w:w="60" w:type="dxa"/>
            <w:tcBorders>
              <w:bottom w:val="single" w:sz="8" w:space="0" w:color="000000"/>
            </w:tcBorders>
            <w:vAlign w:val="center"/>
          </w:tcPr>
          <w:p>
            <w:pPr>
              <w:pStyle w:val="TableContents"/>
              <w:bidi w:val="0"/>
              <w:spacing w:before="0" w:after="283"/>
              <w:jc w:val="left"/>
              <w:rPr/>
            </w:pPr>
            <w:r>
              <w:rPr/>
              <w:t> </w:t>
            </w:r>
          </w:p>
        </w:tc>
        <w:tc>
          <w:tcPr>
            <w:tcW w:w="4063" w:type="dxa"/>
            <w:gridSpan w:val="15"/>
            <w:tcBorders>
              <w:bottom w:val="single" w:sz="8" w:space="0" w:color="000000"/>
            </w:tcBorders>
            <w:vAlign w:val="center"/>
          </w:tcPr>
          <w:p>
            <w:pPr>
              <w:pStyle w:val="TableContents"/>
              <w:bidi w:val="0"/>
              <w:spacing w:before="0" w:after="283"/>
              <w:ind w:left="0" w:right="0" w:hanging="0"/>
              <w:jc w:val="center"/>
              <w:rPr>
                <w:b/>
              </w:rPr>
            </w:pPr>
            <w:r>
              <w:rPr>
                <w:b/>
              </w:rPr>
              <w:t>Year ended December 31,</w:t>
            </w:r>
          </w:p>
        </w:tc>
      </w:tr>
      <w:tr>
        <w:trPr/>
        <w:tc>
          <w:tcPr>
            <w:tcW w:w="2064" w:type="dxa"/>
            <w:tcBorders>
              <w:bottom w:val="single" w:sz="8" w:space="0" w:color="000000"/>
            </w:tcBorders>
            <w:vAlign w:val="center"/>
          </w:tcPr>
          <w:p>
            <w:pPr>
              <w:pStyle w:val="TableContents"/>
              <w:bidi w:val="0"/>
              <w:spacing w:before="0" w:after="283"/>
              <w:jc w:val="left"/>
              <w:rPr/>
            </w:pPr>
            <w:r>
              <w:rPr/>
              <w:t>(U.S.$ in thousands except where indicated)</w:t>
            </w:r>
          </w:p>
        </w:tc>
        <w:tc>
          <w:tcPr>
            <w:tcW w:w="60" w:type="dxa"/>
            <w:tcBorders>
              <w:bottom w:val="single" w:sz="8" w:space="0" w:color="000000"/>
            </w:tcBorders>
            <w:vAlign w:val="center"/>
          </w:tcPr>
          <w:p>
            <w:pPr>
              <w:pStyle w:val="TableContents"/>
              <w:bidi w:val="0"/>
              <w:spacing w:before="0" w:after="283"/>
              <w:jc w:val="left"/>
              <w:rPr/>
            </w:pPr>
            <w:r>
              <w:rPr/>
              <w:t> </w:t>
            </w:r>
          </w:p>
        </w:tc>
        <w:tc>
          <w:tcPr>
            <w:tcW w:w="916" w:type="dxa"/>
            <w:gridSpan w:val="3"/>
            <w:tcBorders>
              <w:bottom w:val="single" w:sz="8" w:space="0" w:color="000000"/>
            </w:tcBorders>
            <w:vAlign w:val="center"/>
          </w:tcPr>
          <w:p>
            <w:pPr>
              <w:pStyle w:val="TableContents"/>
              <w:bidi w:val="0"/>
              <w:spacing w:before="0" w:after="283"/>
              <w:jc w:val="right"/>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916" w:type="dxa"/>
            <w:gridSpan w:val="3"/>
            <w:tcBorders>
              <w:bottom w:val="single" w:sz="8" w:space="0" w:color="000000"/>
            </w:tcBorders>
            <w:vAlign w:val="center"/>
          </w:tcPr>
          <w:p>
            <w:pPr>
              <w:pStyle w:val="TableContents"/>
              <w:bidi w:val="0"/>
              <w:spacing w:before="0" w:after="283"/>
              <w:jc w:val="right"/>
              <w:rPr/>
            </w:pPr>
            <w:r>
              <w:rPr/>
              <w:t>2023</w:t>
            </w:r>
          </w:p>
        </w:tc>
        <w:tc>
          <w:tcPr>
            <w:tcW w:w="60" w:type="dxa"/>
            <w:tcBorders>
              <w:bottom w:val="single" w:sz="8" w:space="0" w:color="000000"/>
            </w:tcBorders>
            <w:vAlign w:val="center"/>
          </w:tcPr>
          <w:p>
            <w:pPr>
              <w:pStyle w:val="TableContents"/>
              <w:bidi w:val="0"/>
              <w:spacing w:before="0" w:after="283"/>
              <w:jc w:val="left"/>
              <w:rPr/>
            </w:pPr>
            <w:r>
              <w:rPr/>
              <w:t> </w:t>
            </w:r>
          </w:p>
        </w:tc>
        <w:tc>
          <w:tcPr>
            <w:tcW w:w="936" w:type="dxa"/>
            <w:gridSpan w:val="3"/>
            <w:tcBorders>
              <w:bottom w:val="single" w:sz="8" w:space="0" w:color="000000"/>
            </w:tcBorders>
            <w:vAlign w:val="center"/>
          </w:tcPr>
          <w:p>
            <w:pPr>
              <w:pStyle w:val="TableContents"/>
              <w:bidi w:val="0"/>
              <w:spacing w:before="0" w:after="283"/>
              <w:jc w:val="right"/>
              <w:rPr/>
            </w:pPr>
            <w:r>
              <w:rPr/>
              <w:t>$ Change</w:t>
            </w:r>
          </w:p>
        </w:tc>
        <w:tc>
          <w:tcPr>
            <w:tcW w:w="60" w:type="dxa"/>
            <w:tcBorders>
              <w:bottom w:val="single" w:sz="8" w:space="0" w:color="000000"/>
            </w:tcBorders>
            <w:vAlign w:val="center"/>
          </w:tcPr>
          <w:p>
            <w:pPr>
              <w:pStyle w:val="TableContents"/>
              <w:bidi w:val="0"/>
              <w:spacing w:before="0" w:after="283"/>
              <w:jc w:val="left"/>
              <w:rPr/>
            </w:pPr>
            <w:r>
              <w:rPr/>
              <w:t> </w:t>
            </w:r>
          </w:p>
        </w:tc>
        <w:tc>
          <w:tcPr>
            <w:tcW w:w="1010" w:type="dxa"/>
            <w:gridSpan w:val="3"/>
            <w:tcBorders>
              <w:bottom w:val="single" w:sz="8" w:space="0" w:color="000000"/>
            </w:tcBorders>
            <w:vAlign w:val="center"/>
          </w:tcPr>
          <w:p>
            <w:pPr>
              <w:pStyle w:val="TableContents"/>
              <w:bidi w:val="0"/>
              <w:spacing w:before="0" w:after="283"/>
              <w:jc w:val="right"/>
              <w:rPr/>
            </w:pPr>
            <w:r>
              <w:rPr/>
              <w:t>% Change</w:t>
            </w:r>
          </w:p>
        </w:tc>
        <w:tc>
          <w:tcPr>
            <w:tcW w:w="60" w:type="dxa"/>
            <w:tcBorders>
              <w:bottom w:val="single" w:sz="8" w:space="0" w:color="000000"/>
            </w:tcBorders>
            <w:vAlign w:val="center"/>
          </w:tcPr>
          <w:p>
            <w:pPr>
              <w:pStyle w:val="TableContents"/>
              <w:bidi w:val="0"/>
              <w:spacing w:before="0" w:after="283"/>
              <w:jc w:val="left"/>
              <w:rPr/>
            </w:pPr>
            <w:r>
              <w:rPr/>
              <w:t> </w:t>
            </w:r>
          </w:p>
        </w:tc>
        <w:tc>
          <w:tcPr>
            <w:tcW w:w="1030" w:type="dxa"/>
            <w:gridSpan w:val="3"/>
            <w:tcBorders>
              <w:bottom w:val="single" w:sz="8" w:space="0" w:color="000000"/>
            </w:tcBorders>
            <w:vAlign w:val="center"/>
          </w:tcPr>
          <w:p>
            <w:pPr>
              <w:pStyle w:val="TableContents"/>
              <w:bidi w:val="0"/>
              <w:spacing w:before="0" w:after="283"/>
              <w:jc w:val="right"/>
              <w:rPr>
                <w:b/>
              </w:rPr>
            </w:pPr>
            <w:r>
              <w:rPr>
                <w:b/>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1030" w:type="dxa"/>
            <w:gridSpan w:val="3"/>
            <w:tcBorders>
              <w:bottom w:val="single" w:sz="8" w:space="0" w:color="000000"/>
            </w:tcBorders>
            <w:vAlign w:val="center"/>
          </w:tcPr>
          <w:p>
            <w:pPr>
              <w:pStyle w:val="TableContents"/>
              <w:bidi w:val="0"/>
              <w:spacing w:before="0" w:after="283"/>
              <w:jc w:val="right"/>
              <w:rPr/>
            </w:pPr>
            <w:r>
              <w:rPr/>
              <w:t>2023</w:t>
            </w:r>
          </w:p>
        </w:tc>
        <w:tc>
          <w:tcPr>
            <w:tcW w:w="60" w:type="dxa"/>
            <w:tcBorders>
              <w:bottom w:val="single" w:sz="8" w:space="0" w:color="000000"/>
            </w:tcBorders>
            <w:vAlign w:val="center"/>
          </w:tcPr>
          <w:p>
            <w:pPr>
              <w:pStyle w:val="TableContents"/>
              <w:bidi w:val="0"/>
              <w:spacing w:before="0" w:after="283"/>
              <w:jc w:val="left"/>
              <w:rPr/>
            </w:pPr>
            <w:r>
              <w:rPr/>
              <w:t> </w:t>
            </w:r>
          </w:p>
        </w:tc>
        <w:tc>
          <w:tcPr>
            <w:tcW w:w="935" w:type="dxa"/>
            <w:gridSpan w:val="3"/>
            <w:tcBorders>
              <w:bottom w:val="single" w:sz="8" w:space="0" w:color="000000"/>
            </w:tcBorders>
            <w:vAlign w:val="center"/>
          </w:tcPr>
          <w:p>
            <w:pPr>
              <w:pStyle w:val="TableContents"/>
              <w:bidi w:val="0"/>
              <w:spacing w:before="0" w:after="283"/>
              <w:jc w:val="right"/>
              <w:rPr/>
            </w:pPr>
            <w:r>
              <w:rPr/>
              <w:t>$ Change</w:t>
            </w:r>
          </w:p>
        </w:tc>
        <w:tc>
          <w:tcPr>
            <w:tcW w:w="60" w:type="dxa"/>
            <w:tcBorders>
              <w:bottom w:val="single" w:sz="8" w:space="0" w:color="000000"/>
            </w:tcBorders>
            <w:vAlign w:val="center"/>
          </w:tcPr>
          <w:p>
            <w:pPr>
              <w:pStyle w:val="TableContents"/>
              <w:bidi w:val="0"/>
              <w:spacing w:before="0" w:after="283"/>
              <w:jc w:val="left"/>
              <w:rPr/>
            </w:pPr>
            <w:r>
              <w:rPr/>
              <w:t> </w:t>
            </w:r>
          </w:p>
        </w:tc>
        <w:tc>
          <w:tcPr>
            <w:tcW w:w="888" w:type="dxa"/>
            <w:gridSpan w:val="3"/>
            <w:tcBorders>
              <w:bottom w:val="single" w:sz="8" w:space="0" w:color="000000"/>
            </w:tcBorders>
            <w:vAlign w:val="center"/>
          </w:tcPr>
          <w:p>
            <w:pPr>
              <w:pStyle w:val="TableContents"/>
              <w:bidi w:val="0"/>
              <w:spacing w:before="0" w:after="283"/>
              <w:ind w:left="0" w:right="0" w:hanging="180"/>
              <w:jc w:val="right"/>
              <w:rPr/>
            </w:pPr>
            <w:r>
              <w:rPr/>
              <w:t>% Change</w:t>
            </w:r>
          </w:p>
        </w:tc>
      </w:tr>
      <w:tr>
        <w:trPr/>
        <w:tc>
          <w:tcPr>
            <w:tcW w:w="2064" w:type="dxa"/>
            <w:tcBorders/>
            <w:shd w:fill="CCEEFF" w:val="clear"/>
            <w:tcMar>
              <w:bottom w:w="0" w:type="dxa"/>
            </w:tcMar>
            <w:vAlign w:val="center"/>
          </w:tcPr>
          <w:p>
            <w:pPr>
              <w:pStyle w:val="TableContents"/>
              <w:bidi w:val="0"/>
              <w:spacing w:before="0" w:after="283"/>
              <w:jc w:val="left"/>
              <w:rPr/>
            </w:pPr>
            <w:r>
              <w:rPr/>
              <w:t>Energy and infrastructure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 w:type="dxa"/>
            <w:tcBorders/>
            <w:shd w:fill="CCEEFF" w:val="clear"/>
            <w:tcMar>
              <w:bottom w:w="0" w:type="dxa"/>
            </w:tcMar>
            <w:vAlign w:val="center"/>
          </w:tcPr>
          <w:p>
            <w:pPr>
              <w:pStyle w:val="TableContents"/>
              <w:bidi w:val="0"/>
              <w:spacing w:before="0" w:after="283"/>
              <w:jc w:val="right"/>
              <w:rPr>
                <w:b/>
              </w:rPr>
            </w:pPr>
            <w:r>
              <w:rPr>
                <w:b/>
              </w:rPr>
              <w:t>(28,789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 w:type="dxa"/>
            <w:tcBorders/>
            <w:shd w:fill="CCEEFF" w:val="clear"/>
            <w:tcMar>
              <w:bottom w:w="0" w:type="dxa"/>
            </w:tcMar>
            <w:vAlign w:val="center"/>
          </w:tcPr>
          <w:p>
            <w:pPr>
              <w:pStyle w:val="TableContents"/>
              <w:bidi w:val="0"/>
              <w:spacing w:before="0" w:after="283"/>
              <w:jc w:val="right"/>
              <w:rPr/>
            </w:pPr>
            <w:r>
              <w:rPr/>
              <w:t>(21,603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779" w:type="dxa"/>
            <w:tcBorders/>
            <w:shd w:fill="CCEEFF" w:val="clear"/>
            <w:tcMar>
              <w:bottom w:w="0" w:type="dxa"/>
            </w:tcMar>
            <w:vAlign w:val="center"/>
          </w:tcPr>
          <w:p>
            <w:pPr>
              <w:pStyle w:val="TableContents"/>
              <w:bidi w:val="0"/>
              <w:spacing w:before="0" w:after="283"/>
              <w:jc w:val="right"/>
              <w:rPr/>
            </w:pPr>
            <w:r>
              <w:rPr/>
              <w:t>(7,186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0" w:type="dxa"/>
            <w:tcBorders/>
            <w:shd w:fill="CCEEFF" w:val="clear"/>
            <w:tcMar>
              <w:bottom w:w="0" w:type="dxa"/>
            </w:tcMar>
            <w:vAlign w:val="center"/>
          </w:tcPr>
          <w:p>
            <w:pPr>
              <w:pStyle w:val="TableContents"/>
              <w:bidi w:val="0"/>
              <w:spacing w:before="0" w:after="283"/>
              <w:jc w:val="right"/>
              <w:rPr/>
            </w:pPr>
            <w:r>
              <w:rPr/>
              <w:t>33</w:t>
            </w:r>
          </w:p>
        </w:tc>
        <w:tc>
          <w:tcPr>
            <w:tcW w:w="407"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b/>
              </w:rPr>
            </w:pPr>
            <w:r>
              <w:rPr>
                <w:b/>
              </w:rPr>
              <w:t>(97,209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(78,942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75" w:type="dxa"/>
            <w:tcBorders/>
            <w:shd w:fill="CCEEFF" w:val="clear"/>
            <w:tcMar>
              <w:bottom w:w="0" w:type="dxa"/>
            </w:tcMar>
            <w:vAlign w:val="center"/>
          </w:tcPr>
          <w:p>
            <w:pPr>
              <w:pStyle w:val="TableContents"/>
              <w:bidi w:val="0"/>
              <w:spacing w:before="0" w:after="283"/>
              <w:jc w:val="right"/>
              <w:rPr/>
            </w:pPr>
            <w:r>
              <w:rPr/>
              <w:t>(18,267</w:t>
            </w:r>
          </w:p>
        </w:tc>
        <w:tc>
          <w:tcPr>
            <w:tcW w:w="99"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498" w:type="dxa"/>
            <w:tcBorders/>
            <w:shd w:fill="CCEEFF" w:val="clear"/>
            <w:tcMar>
              <w:bottom w:w="0" w:type="dxa"/>
            </w:tcMar>
            <w:vAlign w:val="center"/>
          </w:tcPr>
          <w:p>
            <w:pPr>
              <w:pStyle w:val="TableContents"/>
              <w:bidi w:val="0"/>
              <w:spacing w:before="0" w:after="283"/>
              <w:jc w:val="right"/>
              <w:rPr/>
            </w:pPr>
            <w:r>
              <w:rPr/>
              <w:t>23</w:t>
            </w:r>
          </w:p>
        </w:tc>
        <w:tc>
          <w:tcPr>
            <w:tcW w:w="31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064" w:type="dxa"/>
            <w:tcBorders/>
            <w:shd w:fill="FFFFFF" w:val="clear"/>
            <w:tcMar>
              <w:bottom w:w="0" w:type="dxa"/>
            </w:tcMar>
            <w:vAlign w:val="center"/>
          </w:tcPr>
          <w:p>
            <w:pPr>
              <w:pStyle w:val="TableContents"/>
              <w:bidi w:val="0"/>
              <w:spacing w:before="0" w:after="283"/>
              <w:jc w:val="left"/>
              <w:rPr/>
            </w:pPr>
            <w:r>
              <w:rPr/>
              <w:t>Sales tax recovery - energy and infrastructure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77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0" w:type="dxa"/>
            <w:tcBorders/>
            <w:shd w:fill="FFFFFF" w:val="clear"/>
            <w:tcMar>
              <w:bottom w:w="0" w:type="dxa"/>
            </w:tcMar>
            <w:vAlign w:val="center"/>
          </w:tcPr>
          <w:p>
            <w:pPr>
              <w:pStyle w:val="TableContents"/>
              <w:bidi w:val="0"/>
              <w:spacing w:before="0" w:after="283"/>
              <w:jc w:val="right"/>
              <w:rPr/>
            </w:pPr>
            <w:r>
              <w:rPr/>
              <w:t>—</w:t>
            </w:r>
          </w:p>
        </w:tc>
        <w:tc>
          <w:tcPr>
            <w:tcW w:w="407"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17,017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75" w:type="dxa"/>
            <w:tcBorders/>
            <w:shd w:fill="FFFFFF" w:val="clear"/>
            <w:tcMar>
              <w:bottom w:w="0" w:type="dxa"/>
            </w:tcMar>
            <w:vAlign w:val="center"/>
          </w:tcPr>
          <w:p>
            <w:pPr>
              <w:pStyle w:val="TableContents"/>
              <w:bidi w:val="0"/>
              <w:spacing w:before="0" w:after="283"/>
              <w:jc w:val="right"/>
              <w:rPr/>
            </w:pPr>
            <w:r>
              <w:rPr/>
              <w:t>17,017</w:t>
            </w:r>
          </w:p>
        </w:tc>
        <w:tc>
          <w:tcPr>
            <w:tcW w:w="9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498" w:type="dxa"/>
            <w:tcBorders/>
            <w:shd w:fill="FFFFFF" w:val="clear"/>
            <w:tcMar>
              <w:bottom w:w="0" w:type="dxa"/>
            </w:tcMar>
            <w:vAlign w:val="center"/>
          </w:tcPr>
          <w:p>
            <w:pPr>
              <w:pStyle w:val="TableContents"/>
              <w:bidi w:val="0"/>
              <w:spacing w:before="0" w:after="283"/>
              <w:jc w:val="right"/>
              <w:rPr/>
            </w:pPr>
            <w:r>
              <w:rPr/>
              <w:t>100</w:t>
            </w:r>
          </w:p>
        </w:tc>
        <w:tc>
          <w:tcPr>
            <w:tcW w:w="31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064"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 w:type="dxa"/>
            <w:tcBorders/>
            <w:shd w:fill="CCEEFF" w:val="clear"/>
            <w:tcMar>
              <w:bottom w:w="0" w:type="dxa"/>
            </w:tcMar>
            <w:vAlign w:val="center"/>
          </w:tcPr>
          <w:p>
            <w:pPr>
              <w:pStyle w:val="TableContents"/>
              <w:bidi w:val="0"/>
              <w:spacing w:before="0" w:after="283"/>
              <w:jc w:val="right"/>
              <w:rPr>
                <w:b/>
              </w:rPr>
            </w:pPr>
            <w:r>
              <w:rPr>
                <w:b/>
              </w:rPr>
              <w:t>(24,584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 w:type="dxa"/>
            <w:tcBorders/>
            <w:shd w:fill="CCEEFF" w:val="clear"/>
            <w:tcMar>
              <w:bottom w:w="0" w:type="dxa"/>
            </w:tcMar>
            <w:vAlign w:val="center"/>
          </w:tcPr>
          <w:p>
            <w:pPr>
              <w:pStyle w:val="TableContents"/>
              <w:bidi w:val="0"/>
              <w:spacing w:before="0" w:after="283"/>
              <w:jc w:val="right"/>
              <w:rPr/>
            </w:pPr>
            <w:r>
              <w:rPr/>
              <w:t>(21,790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779" w:type="dxa"/>
            <w:tcBorders/>
            <w:shd w:fill="CCEEFF" w:val="clear"/>
            <w:tcMar>
              <w:bottom w:w="0" w:type="dxa"/>
            </w:tcMar>
            <w:vAlign w:val="center"/>
          </w:tcPr>
          <w:p>
            <w:pPr>
              <w:pStyle w:val="TableContents"/>
              <w:bidi w:val="0"/>
              <w:spacing w:before="0" w:after="283"/>
              <w:jc w:val="right"/>
              <w:rPr/>
            </w:pPr>
            <w:r>
              <w:rPr/>
              <w:t>(2,794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0" w:type="dxa"/>
            <w:tcBorders/>
            <w:shd w:fill="CCEEFF" w:val="clear"/>
            <w:tcMar>
              <w:bottom w:w="0" w:type="dxa"/>
            </w:tcMar>
            <w:vAlign w:val="center"/>
          </w:tcPr>
          <w:p>
            <w:pPr>
              <w:pStyle w:val="TableContents"/>
              <w:bidi w:val="0"/>
              <w:spacing w:before="0" w:after="283"/>
              <w:jc w:val="right"/>
              <w:rPr/>
            </w:pPr>
            <w:r>
              <w:rPr/>
              <w:t>13</w:t>
            </w:r>
          </w:p>
        </w:tc>
        <w:tc>
          <w:tcPr>
            <w:tcW w:w="407"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b/>
              </w:rPr>
            </w:pPr>
            <w:r>
              <w:rPr>
                <w:b/>
              </w:rPr>
              <w:t>(149,727</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(84,785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75" w:type="dxa"/>
            <w:tcBorders/>
            <w:shd w:fill="CCEEFF" w:val="clear"/>
            <w:tcMar>
              <w:bottom w:w="0" w:type="dxa"/>
            </w:tcMar>
            <w:vAlign w:val="center"/>
          </w:tcPr>
          <w:p>
            <w:pPr>
              <w:pStyle w:val="TableContents"/>
              <w:bidi w:val="0"/>
              <w:spacing w:before="0" w:after="283"/>
              <w:jc w:val="right"/>
              <w:rPr/>
            </w:pPr>
            <w:r>
              <w:rPr/>
              <w:t>(64,942</w:t>
            </w:r>
          </w:p>
        </w:tc>
        <w:tc>
          <w:tcPr>
            <w:tcW w:w="99"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498" w:type="dxa"/>
            <w:tcBorders/>
            <w:shd w:fill="CCEEFF" w:val="clear"/>
            <w:tcMar>
              <w:bottom w:w="0" w:type="dxa"/>
            </w:tcMar>
            <w:vAlign w:val="center"/>
          </w:tcPr>
          <w:p>
            <w:pPr>
              <w:pStyle w:val="TableContents"/>
              <w:bidi w:val="0"/>
              <w:spacing w:before="0" w:after="283"/>
              <w:jc w:val="right"/>
              <w:rPr/>
            </w:pPr>
            <w:r>
              <w:rPr/>
              <w:t>77</w:t>
            </w:r>
          </w:p>
        </w:tc>
        <w:tc>
          <w:tcPr>
            <w:tcW w:w="312"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064" w:type="dxa"/>
            <w:tcBorders/>
            <w:shd w:fill="FFFFFF" w:val="clear"/>
            <w:tcMar>
              <w:bottom w:w="0" w:type="dxa"/>
            </w:tcMar>
            <w:vAlign w:val="center"/>
          </w:tcPr>
          <w:p>
            <w:pPr>
              <w:pStyle w:val="TableContents"/>
              <w:bidi w:val="0"/>
              <w:spacing w:before="0" w:after="283"/>
              <w:jc w:val="left"/>
              <w:rPr/>
            </w:pPr>
            <w:r>
              <w:rPr/>
              <w:t>Sales tax recovery - 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77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0" w:type="dxa"/>
            <w:tcBorders/>
            <w:shd w:fill="FFFFFF" w:val="clear"/>
            <w:tcMar>
              <w:bottom w:w="0" w:type="dxa"/>
            </w:tcMar>
            <w:vAlign w:val="center"/>
          </w:tcPr>
          <w:p>
            <w:pPr>
              <w:pStyle w:val="TableContents"/>
              <w:bidi w:val="0"/>
              <w:spacing w:before="0" w:after="283"/>
              <w:jc w:val="right"/>
              <w:rPr/>
            </w:pPr>
            <w:r>
              <w:rPr/>
              <w:t>—</w:t>
            </w:r>
          </w:p>
        </w:tc>
        <w:tc>
          <w:tcPr>
            <w:tcW w:w="407"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8,760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75" w:type="dxa"/>
            <w:tcBorders/>
            <w:shd w:fill="FFFFFF" w:val="clear"/>
            <w:tcMar>
              <w:bottom w:w="0" w:type="dxa"/>
            </w:tcMar>
            <w:vAlign w:val="center"/>
          </w:tcPr>
          <w:p>
            <w:pPr>
              <w:pStyle w:val="TableContents"/>
              <w:bidi w:val="0"/>
              <w:spacing w:before="0" w:after="283"/>
              <w:jc w:val="right"/>
              <w:rPr/>
            </w:pPr>
            <w:r>
              <w:rPr/>
              <w:t>8,760</w:t>
            </w:r>
          </w:p>
        </w:tc>
        <w:tc>
          <w:tcPr>
            <w:tcW w:w="9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498" w:type="dxa"/>
            <w:tcBorders/>
            <w:shd w:fill="FFFFFF" w:val="clear"/>
            <w:tcMar>
              <w:bottom w:w="0" w:type="dxa"/>
            </w:tcMar>
            <w:vAlign w:val="center"/>
          </w:tcPr>
          <w:p>
            <w:pPr>
              <w:pStyle w:val="TableContents"/>
              <w:bidi w:val="0"/>
              <w:spacing w:before="0" w:after="283"/>
              <w:jc w:val="right"/>
              <w:rPr/>
            </w:pPr>
            <w:r>
              <w:rPr/>
              <w:t>100</w:t>
            </w:r>
          </w:p>
        </w:tc>
        <w:tc>
          <w:tcPr>
            <w:tcW w:w="31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064" w:type="dxa"/>
            <w:tcBorders>
              <w:bottom w:val="single" w:sz="8" w:space="0" w:color="000000"/>
            </w:tcBorders>
            <w:shd w:fill="CCEEFF" w:val="clear"/>
            <w:vAlign w:val="center"/>
          </w:tcPr>
          <w:p>
            <w:pPr>
              <w:pStyle w:val="TableContents"/>
              <w:bidi w:val="0"/>
              <w:spacing w:before="0" w:after="283"/>
              <w:jc w:val="left"/>
              <w:rPr/>
            </w:pPr>
            <w:r>
              <w:rPr/>
              <w:t>Electrical components and salaries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61" w:type="dxa"/>
            <w:tcBorders>
              <w:bottom w:val="single" w:sz="8" w:space="0" w:color="000000"/>
            </w:tcBorders>
            <w:shd w:fill="CCEEFF" w:val="clear"/>
            <w:vAlign w:val="center"/>
          </w:tcPr>
          <w:p>
            <w:pPr>
              <w:pStyle w:val="TableContents"/>
              <w:bidi w:val="0"/>
              <w:spacing w:before="0" w:after="283"/>
              <w:jc w:val="right"/>
              <w:rPr>
                <w:b/>
              </w:rPr>
            </w:pPr>
            <w:r>
              <w:rPr>
                <w:b/>
              </w:rPr>
              <w:t>(1,403</w:t>
            </w:r>
          </w:p>
        </w:tc>
        <w:tc>
          <w:tcPr>
            <w:tcW w:w="9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61" w:type="dxa"/>
            <w:tcBorders>
              <w:bottom w:val="single" w:sz="8" w:space="0" w:color="000000"/>
            </w:tcBorders>
            <w:shd w:fill="CCEEFF" w:val="clear"/>
            <w:vAlign w:val="center"/>
          </w:tcPr>
          <w:p>
            <w:pPr>
              <w:pStyle w:val="TableContents"/>
              <w:bidi w:val="0"/>
              <w:spacing w:before="0" w:after="283"/>
              <w:jc w:val="right"/>
              <w:rPr/>
            </w:pPr>
            <w:r>
              <w:rPr/>
              <w:t>(1,091</w:t>
            </w:r>
          </w:p>
        </w:tc>
        <w:tc>
          <w:tcPr>
            <w:tcW w:w="95"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779" w:type="dxa"/>
            <w:tcBorders>
              <w:bottom w:val="single" w:sz="8" w:space="0" w:color="000000"/>
            </w:tcBorders>
            <w:shd w:fill="CCEEFF" w:val="clear"/>
            <w:vAlign w:val="center"/>
          </w:tcPr>
          <w:p>
            <w:pPr>
              <w:pStyle w:val="TableContents"/>
              <w:bidi w:val="0"/>
              <w:spacing w:before="0" w:after="283"/>
              <w:jc w:val="right"/>
              <w:rPr/>
            </w:pPr>
            <w:r>
              <w:rPr/>
              <w:t>(312</w:t>
            </w:r>
          </w:p>
        </w:tc>
        <w:tc>
          <w:tcPr>
            <w:tcW w:w="95"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vAlign w:val="center"/>
          </w:tcPr>
          <w:p>
            <w:pPr>
              <w:pStyle w:val="TableContents"/>
              <w:bidi w:val="0"/>
              <w:spacing w:before="0" w:after="283"/>
              <w:jc w:val="left"/>
              <w:rPr/>
            </w:pPr>
            <w:r>
              <w:rPr/>
              <w:t> </w:t>
            </w:r>
          </w:p>
        </w:tc>
        <w:tc>
          <w:tcPr>
            <w:tcW w:w="490" w:type="dxa"/>
            <w:tcBorders>
              <w:bottom w:val="single" w:sz="8" w:space="0" w:color="000000"/>
            </w:tcBorders>
            <w:shd w:fill="CCEEFF" w:val="clear"/>
            <w:vAlign w:val="center"/>
          </w:tcPr>
          <w:p>
            <w:pPr>
              <w:pStyle w:val="TableContents"/>
              <w:bidi w:val="0"/>
              <w:spacing w:before="0" w:after="283"/>
              <w:jc w:val="right"/>
              <w:rPr/>
            </w:pPr>
            <w:r>
              <w:rPr/>
              <w:t>29</w:t>
            </w:r>
          </w:p>
        </w:tc>
        <w:tc>
          <w:tcPr>
            <w:tcW w:w="407"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75" w:type="dxa"/>
            <w:tcBorders>
              <w:bottom w:val="single" w:sz="8" w:space="0" w:color="000000"/>
            </w:tcBorders>
            <w:shd w:fill="CCEEFF" w:val="clear"/>
            <w:vAlign w:val="center"/>
          </w:tcPr>
          <w:p>
            <w:pPr>
              <w:pStyle w:val="TableContents"/>
              <w:bidi w:val="0"/>
              <w:spacing w:before="0" w:after="283"/>
              <w:jc w:val="right"/>
              <w:rPr>
                <w:b/>
              </w:rPr>
            </w:pPr>
            <w:r>
              <w:rPr>
                <w:b/>
              </w:rPr>
              <w:t>(4,081</w:t>
            </w:r>
          </w:p>
        </w:tc>
        <w:tc>
          <w:tcPr>
            <w:tcW w:w="9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75" w:type="dxa"/>
            <w:tcBorders>
              <w:bottom w:val="single" w:sz="8" w:space="0" w:color="000000"/>
            </w:tcBorders>
            <w:shd w:fill="CCEEFF" w:val="clear"/>
            <w:vAlign w:val="center"/>
          </w:tcPr>
          <w:p>
            <w:pPr>
              <w:pStyle w:val="TableContents"/>
              <w:bidi w:val="0"/>
              <w:spacing w:before="0" w:after="283"/>
              <w:jc w:val="right"/>
              <w:rPr/>
            </w:pPr>
            <w:r>
              <w:rPr/>
              <w:t>(4,141</w:t>
            </w:r>
          </w:p>
        </w:tc>
        <w:tc>
          <w:tcPr>
            <w:tcW w:w="95" w:type="dxa"/>
            <w:tcBorders>
              <w:bottom w:val="single" w:sz="8" w:space="0" w:color="000000"/>
            </w:tcBorders>
            <w:shd w:fill="CCEEFF" w:val="cle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vAlign w:val="center"/>
          </w:tcPr>
          <w:p>
            <w:pPr>
              <w:pStyle w:val="TableContents"/>
              <w:bidi w:val="0"/>
              <w:spacing w:before="0" w:after="283"/>
              <w:jc w:val="left"/>
              <w:rPr/>
            </w:pPr>
            <w:r>
              <w:rPr/>
              <w:t> </w:t>
            </w:r>
          </w:p>
        </w:tc>
        <w:tc>
          <w:tcPr>
            <w:tcW w:w="775" w:type="dxa"/>
            <w:tcBorders>
              <w:bottom w:val="single" w:sz="8" w:space="0" w:color="000000"/>
            </w:tcBorders>
            <w:shd w:fill="CCEEFF" w:val="clear"/>
            <w:vAlign w:val="center"/>
          </w:tcPr>
          <w:p>
            <w:pPr>
              <w:pStyle w:val="TableContents"/>
              <w:bidi w:val="0"/>
              <w:spacing w:before="0" w:after="283"/>
              <w:jc w:val="right"/>
              <w:rPr/>
            </w:pPr>
            <w:r>
              <w:rPr/>
              <w:t>60</w:t>
            </w:r>
          </w:p>
        </w:tc>
        <w:tc>
          <w:tcPr>
            <w:tcW w:w="99"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vAlign w:val="center"/>
          </w:tcPr>
          <w:p>
            <w:pPr>
              <w:pStyle w:val="TableContents"/>
              <w:bidi w:val="0"/>
              <w:spacing w:before="0" w:after="283"/>
              <w:jc w:val="left"/>
              <w:rPr/>
            </w:pPr>
            <w:r>
              <w:rPr/>
              <w:t> </w:t>
            </w:r>
          </w:p>
        </w:tc>
        <w:tc>
          <w:tcPr>
            <w:tcW w:w="498" w:type="dxa"/>
            <w:tcBorders>
              <w:bottom w:val="single" w:sz="8" w:space="0" w:color="000000"/>
            </w:tcBorders>
            <w:shd w:fill="CCEEFF" w:val="clear"/>
            <w:vAlign w:val="center"/>
          </w:tcPr>
          <w:p>
            <w:pPr>
              <w:pStyle w:val="TableContents"/>
              <w:bidi w:val="0"/>
              <w:spacing w:before="0" w:after="283"/>
              <w:jc w:val="right"/>
              <w:rPr/>
            </w:pPr>
            <w:r>
              <w:rPr/>
              <w:t>(1</w:t>
            </w:r>
          </w:p>
        </w:tc>
        <w:tc>
          <w:tcPr>
            <w:tcW w:w="312" w:type="dxa"/>
            <w:tcBorders>
              <w:bottom w:val="single" w:sz="8" w:space="0" w:color="000000"/>
            </w:tcBorders>
            <w:shd w:fill="CCEEFF" w:val="clear"/>
            <w:vAlign w:val="center"/>
          </w:tcPr>
          <w:p>
            <w:pPr>
              <w:pStyle w:val="TableContents"/>
              <w:bidi w:val="0"/>
              <w:spacing w:before="0" w:after="283"/>
              <w:ind w:left="0" w:right="0" w:hanging="180"/>
              <w:jc w:val="left"/>
              <w:rPr/>
            </w:pPr>
            <w:r>
              <w:rPr/>
              <w:t>)%</w:t>
            </w:r>
          </w:p>
        </w:tc>
      </w:tr>
      <w:tr>
        <w:trPr/>
        <w:tc>
          <w:tcPr>
            <w:tcW w:w="2064"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61" w:type="dxa"/>
            <w:tcBorders>
              <w:bottom w:val="single" w:sz="8" w:space="0" w:color="000000"/>
            </w:tcBorders>
            <w:shd w:fill="FFFFFF" w:val="clear"/>
            <w:vAlign w:val="center"/>
          </w:tcPr>
          <w:p>
            <w:pPr>
              <w:pStyle w:val="TableContents"/>
              <w:bidi w:val="0"/>
              <w:spacing w:before="0" w:after="283"/>
              <w:jc w:val="right"/>
              <w:rPr>
                <w:b/>
              </w:rPr>
            </w:pPr>
            <w:r>
              <w:rPr>
                <w:b/>
              </w:rPr>
              <w:t>(54,776</w:t>
            </w:r>
          </w:p>
        </w:tc>
        <w:tc>
          <w:tcPr>
            <w:tcW w:w="95"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61" w:type="dxa"/>
            <w:tcBorders>
              <w:bottom w:val="single" w:sz="8" w:space="0" w:color="000000"/>
            </w:tcBorders>
            <w:shd w:fill="FFFFFF" w:val="clear"/>
            <w:vAlign w:val="center"/>
          </w:tcPr>
          <w:p>
            <w:pPr>
              <w:pStyle w:val="TableContents"/>
              <w:bidi w:val="0"/>
              <w:spacing w:before="0" w:after="283"/>
              <w:jc w:val="right"/>
              <w:rPr/>
            </w:pPr>
            <w:r>
              <w:rPr/>
              <w:t>(44,484</w:t>
            </w:r>
          </w:p>
        </w:tc>
        <w:tc>
          <w:tcPr>
            <w:tcW w:w="95"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779" w:type="dxa"/>
            <w:tcBorders>
              <w:bottom w:val="single" w:sz="8" w:space="0" w:color="000000"/>
            </w:tcBorders>
            <w:shd w:fill="FFFFFF" w:val="clear"/>
            <w:vAlign w:val="center"/>
          </w:tcPr>
          <w:p>
            <w:pPr>
              <w:pStyle w:val="TableContents"/>
              <w:bidi w:val="0"/>
              <w:spacing w:before="0" w:after="283"/>
              <w:jc w:val="right"/>
              <w:rPr/>
            </w:pPr>
            <w:r>
              <w:rPr/>
              <w:t>(10,292</w:t>
            </w:r>
          </w:p>
        </w:tc>
        <w:tc>
          <w:tcPr>
            <w:tcW w:w="95"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vAlign w:val="center"/>
          </w:tcPr>
          <w:p>
            <w:pPr>
              <w:pStyle w:val="TableContents"/>
              <w:bidi w:val="0"/>
              <w:spacing w:before="0" w:after="283"/>
              <w:jc w:val="left"/>
              <w:rPr/>
            </w:pPr>
            <w:r>
              <w:rPr/>
              <w:t> </w:t>
            </w:r>
          </w:p>
        </w:tc>
        <w:tc>
          <w:tcPr>
            <w:tcW w:w="490" w:type="dxa"/>
            <w:tcBorders>
              <w:bottom w:val="single" w:sz="8" w:space="0" w:color="000000"/>
            </w:tcBorders>
            <w:shd w:fill="FFFFFF" w:val="clear"/>
            <w:vAlign w:val="center"/>
          </w:tcPr>
          <w:p>
            <w:pPr>
              <w:pStyle w:val="TableContents"/>
              <w:bidi w:val="0"/>
              <w:spacing w:before="0" w:after="283"/>
              <w:jc w:val="right"/>
              <w:rPr/>
            </w:pPr>
            <w:r>
              <w:rPr/>
              <w:t>23</w:t>
            </w:r>
          </w:p>
        </w:tc>
        <w:tc>
          <w:tcPr>
            <w:tcW w:w="407"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vAlign w:val="center"/>
          </w:tcPr>
          <w:p>
            <w:pPr>
              <w:pStyle w:val="TableContents"/>
              <w:bidi w:val="0"/>
              <w:spacing w:before="0" w:after="283"/>
              <w:jc w:val="right"/>
              <w:rPr>
                <w:b/>
              </w:rPr>
            </w:pPr>
            <w:r>
              <w:rPr>
                <w:b/>
              </w:rPr>
              <w:t>(225,240</w:t>
            </w:r>
          </w:p>
        </w:tc>
        <w:tc>
          <w:tcPr>
            <w:tcW w:w="95"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vAlign w:val="center"/>
          </w:tcPr>
          <w:p>
            <w:pPr>
              <w:pStyle w:val="TableContents"/>
              <w:bidi w:val="0"/>
              <w:spacing w:before="0" w:after="283"/>
              <w:jc w:val="right"/>
              <w:rPr/>
            </w:pPr>
            <w:r>
              <w:rPr/>
              <w:t>(167,868</w:t>
            </w:r>
          </w:p>
        </w:tc>
        <w:tc>
          <w:tcPr>
            <w:tcW w:w="95"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vAlign w:val="center"/>
          </w:tcPr>
          <w:p>
            <w:pPr>
              <w:pStyle w:val="TableContents"/>
              <w:bidi w:val="0"/>
              <w:spacing w:before="0" w:after="283"/>
              <w:jc w:val="left"/>
              <w:rPr/>
            </w:pPr>
            <w:r>
              <w:rPr/>
              <w:t> </w:t>
            </w:r>
          </w:p>
        </w:tc>
        <w:tc>
          <w:tcPr>
            <w:tcW w:w="775" w:type="dxa"/>
            <w:tcBorders>
              <w:bottom w:val="single" w:sz="8" w:space="0" w:color="000000"/>
            </w:tcBorders>
            <w:shd w:fill="FFFFFF" w:val="clear"/>
            <w:vAlign w:val="center"/>
          </w:tcPr>
          <w:p>
            <w:pPr>
              <w:pStyle w:val="TableContents"/>
              <w:bidi w:val="0"/>
              <w:spacing w:before="0" w:after="283"/>
              <w:jc w:val="right"/>
              <w:rPr/>
            </w:pPr>
            <w:r>
              <w:rPr/>
              <w:t>(57,372</w:t>
            </w:r>
          </w:p>
        </w:tc>
        <w:tc>
          <w:tcPr>
            <w:tcW w:w="99" w:type="dxa"/>
            <w:tcBorders>
              <w:bottom w:val="single" w:sz="8" w:space="0" w:color="000000"/>
            </w:tcBorders>
            <w:shd w:fill="FFFFFF" w:val="cle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vAlign w:val="center"/>
          </w:tcPr>
          <w:p>
            <w:pPr>
              <w:pStyle w:val="TableContents"/>
              <w:bidi w:val="0"/>
              <w:spacing w:before="0" w:after="283"/>
              <w:jc w:val="left"/>
              <w:rPr/>
            </w:pPr>
            <w:r>
              <w:rPr/>
              <w:t> </w:t>
            </w:r>
          </w:p>
        </w:tc>
        <w:tc>
          <w:tcPr>
            <w:tcW w:w="498" w:type="dxa"/>
            <w:tcBorders>
              <w:bottom w:val="single" w:sz="8" w:space="0" w:color="000000"/>
            </w:tcBorders>
            <w:shd w:fill="FFFFFF" w:val="clear"/>
            <w:vAlign w:val="center"/>
          </w:tcPr>
          <w:p>
            <w:pPr>
              <w:pStyle w:val="TableContents"/>
              <w:bidi w:val="0"/>
              <w:spacing w:before="0" w:after="283"/>
              <w:jc w:val="right"/>
              <w:rPr/>
            </w:pPr>
            <w:r>
              <w:rPr/>
              <w:t>34</w:t>
            </w:r>
          </w:p>
        </w:tc>
        <w:tc>
          <w:tcPr>
            <w:tcW w:w="312" w:type="dxa"/>
            <w:tcBorders>
              <w:bottom w:val="single" w:sz="8" w:space="0" w:color="000000"/>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Q4 2024 v. Q4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cost of revenues for Q4 2024 was $54.8 million, compared to $44.5 million for Q4 2023. The increase in cost of revenues was mainly attributable to:</w:t>
      </w:r>
    </w:p>
    <w:p>
      <w:pPr>
        <w:pStyle w:val="TextBody"/>
        <w:bidi w:val="0"/>
        <w:spacing w:before="0" w:after="0"/>
        <w:ind w:left="0" w:right="0" w:hanging="0"/>
        <w:jc w:val="left"/>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pPr>
            <w:r>
              <w:rPr/>
              <w:t>A $7.2 million, or 33%, increase in energy and infrastructure expenses, mainly due to:</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sz w:val="20"/>
              </w:rPr>
            </w:pPr>
            <w:r>
              <w:rPr>
                <w:sz w:val="20"/>
              </w:rPr>
              <w:t xml:space="preserve">The Company adding new and more efficient Miners, which increased energy utilization to an average of 249 MW during Q4 2024 versus 218 MW for the same period in 2023, partially offset by Canadian sales taxes on its energy and infrastructure expenses that were refundable in Q4 2024 compared to expensed in Q4 2023, resulting in a net increase in total electricity costs of $2.0 million. Refer to Note 29b - </w:t>
            </w:r>
            <w:r>
              <w:rPr>
                <w:i/>
                <w:sz w:val="20"/>
              </w:rPr>
              <w:t>Additional Details to the Statement of Profit or Loss and Comprehensive Profit or Loss (Canadian sales tax refund)</w:t>
            </w:r>
            <w:r>
              <w:rPr>
                <w:sz w:val="20"/>
              </w:rPr>
              <w:t xml:space="preserve"> to the Financial Statements;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$2.0 million increase in hosting expenses as the Company had its Miners hosted at Stronghold’s Panther Creek and Scrubgrass facilities in Q4 2024.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 $2.8 million increase in non-cash depreciation and amortization expense as the Company added new Miners and electrical infrastructure. In addition, the increase in depreciation reflects the change in estimated useful lives of Miners effective December 1, 2024, by modifying the useful life from 5 to 3 years and the depreciation method from sum-of-years to the straight-line. Refer to Note 12 - </w:t>
            </w:r>
            <w:r>
              <w:rPr>
                <w:i/>
              </w:rPr>
              <w:t>Property, Plant and Equipment</w:t>
            </w:r>
            <w:r>
              <w:rPr/>
              <w:t xml:space="preserve"> to the Financial Statements.</w:t>
            </w:r>
          </w:p>
        </w:tc>
      </w:tr>
    </w:tbl>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cost of revenues was $225.2 million for FY 2024 compared to $167.9 million for FY 2023. The increase in cost of revenues was mainly due to:</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 $64.9 million increase in non-cash depreciation and amortization expense mainly attributable to accelerated depreciation of the older Miners that were replaced through the fleet upgrade as the Company progressively installed new Miners in 2024. Refer to Note 12 - </w:t>
            </w:r>
            <w:r>
              <w:rPr>
                <w:i/>
              </w:rPr>
              <w:t>Property, Plant and Equipment</w:t>
            </w:r>
            <w:r>
              <w:rPr/>
              <w:t xml:space="preserve"> to the Financial Statements.</w:t>
            </w:r>
          </w:p>
        </w:tc>
      </w:tr>
    </w:tbl>
    <w:p>
      <w:pPr>
        <w:pStyle w:val="TextBody"/>
        <w:bidi w:val="0"/>
        <w:spacing w:before="0" w:after="283"/>
        <w:jc w:val="left"/>
        <w:rPr/>
      </w:pPr>
      <w:r>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24 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FINANCIAL PERFORMANCE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764"/>
        <w:gridCol w:w="9323"/>
      </w:tblGrid>
      <w:tr>
        <w:trPr/>
        <w:tc>
          <w:tcPr>
            <w:tcW w:w="11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b/>
              </w:rPr>
            </w:pPr>
            <w:r>
              <w:rPr>
                <w:b/>
              </w:rPr>
              <w:t>B.</w:t>
            </w:r>
          </w:p>
        </w:tc>
        <w:tc>
          <w:tcPr>
            <w:tcW w:w="9323" w:type="dxa"/>
            <w:tcBorders/>
            <w:vAlign w:val="center"/>
          </w:tcPr>
          <w:p>
            <w:pPr>
              <w:pStyle w:val="TableContents"/>
              <w:bidi w:val="0"/>
              <w:spacing w:before="0" w:after="283"/>
              <w:jc w:val="left"/>
              <w:rPr/>
            </w:pPr>
            <w:r>
              <w:rPr>
                <w:b/>
              </w:rPr>
              <w:t xml:space="preserve">Cost of Revenues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FY 2024 v. FY 2023 </w:t>
      </w:r>
      <w:r>
        <w:rPr>
          <w:rFonts w:ascii="Times New Roman;Times;Serif" w:hAnsi="Times New Roman;Times;Serif"/>
          <w:b w:val="false"/>
          <w:i w:val="false"/>
          <w:caps w:val="false"/>
          <w:smallCaps w:val="false"/>
          <w:sz w:val="20"/>
        </w:rPr>
        <w:t>(Continued)</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pPr>
            <w:r>
              <w:rPr/>
              <w:t>A $18.2 million, or 23%, increase in energy and infrastructure expenses, mainly due to:</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sz w:val="20"/>
              </w:rPr>
            </w:pPr>
            <w:r>
              <w:rPr>
                <w:sz w:val="20"/>
              </w:rPr>
              <w:t>The Company adding new and more efficient Miners, which increased energy utilization to an average of 227 MW during FY Q4 2024 versus 193 MW for the same period in 2023, partially offset by Canadian sales taxes on its energy and infrastructure expenses no longer being expensed as explained below, resulting in a net increase in total electricity costs of $14.5 million; and</w:t>
            </w:r>
          </w:p>
        </w:tc>
      </w:tr>
    </w:tbl>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both"/>
              <w:rPr/>
            </w:pPr>
            <w:r>
              <w:rPr/>
              <w:t>A $2.0 million increase in hosting expenses as the Company had its Miners hosted at Stronghold’s Panther Creek and Scrubgrass facilities in Q4 2024.</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$1.7 million assessment, which the Company is challenging, on the Washington State Business &amp; Occupancy Tax on gross receipts covering the periods between the fourth quarter of 2021 and the first quarter of 2024, included in energy and infrastructure expenses, during FY 2024 compared to nil in FY 2023.</w:t>
            </w:r>
          </w:p>
        </w:tc>
      </w:tr>
    </w:tbl>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increases were partially offset by:</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 $25.8 million sales tax recovery due to the Company receiving confirmation from the provincial tax authorities that Canadian sales taxes paid by the Company from February 5, 2022 onwards are refundable. Refer to Note 29b - </w:t>
            </w:r>
            <w:r>
              <w:rPr>
                <w:i/>
              </w:rPr>
              <w:t xml:space="preserve">Additional Details to the Statement of Profit or Loss and Comprehensive Profit or Loss (Canadian sales tax refund) </w:t>
            </w:r>
            <w:r>
              <w:rPr/>
              <w:t>to the Financial Statements.</w:t>
            </w:r>
          </w:p>
        </w:tc>
      </w:tr>
    </w:tbl>
    <w:p>
      <w:pPr>
        <w:pStyle w:val="TextBody"/>
        <w:bidi w:val="0"/>
        <w:spacing w:before="0" w:after="0"/>
        <w:ind w:left="0" w:right="0" w:firstLine="9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75"/>
        <w:gridCol w:w="3680"/>
      </w:tblGrid>
      <w:tr>
        <w:trPr/>
        <w:tc>
          <w:tcPr>
            <w:tcW w:w="275" w:type="dxa"/>
            <w:tcBorders/>
            <w:vAlign w:val="center"/>
          </w:tcPr>
          <w:p>
            <w:pPr>
              <w:pStyle w:val="TableContents"/>
              <w:bidi w:val="0"/>
              <w:spacing w:before="0" w:after="283"/>
              <w:jc w:val="left"/>
              <w:rPr>
                <w:b/>
              </w:rPr>
            </w:pPr>
            <w:r>
              <w:rPr>
                <w:b/>
              </w:rPr>
              <w:t>C.</w:t>
            </w:r>
          </w:p>
        </w:tc>
        <w:tc>
          <w:tcPr>
            <w:tcW w:w="3680" w:type="dxa"/>
            <w:tcBorders/>
            <w:vAlign w:val="center"/>
          </w:tcPr>
          <w:p>
            <w:pPr>
              <w:pStyle w:val="TableContents"/>
              <w:bidi w:val="0"/>
              <w:spacing w:before="0" w:after="283"/>
              <w:jc w:val="both"/>
              <w:rPr>
                <w:b/>
              </w:rPr>
            </w:pPr>
            <w:r>
              <w:rPr>
                <w:b/>
              </w:rPr>
              <w:t>General &amp; Administrative Expenses</w:t>
            </w:r>
          </w:p>
        </w:tc>
      </w:tr>
    </w:tbl>
    <w:p>
      <w:pPr>
        <w:pStyle w:val="TextBody"/>
        <w:bidi w:val="0"/>
        <w:spacing w:before="0" w:after="283"/>
        <w:jc w:val="left"/>
        <w:rPr/>
      </w:pPr>
      <w:r>
        <w:rPr/>
        <w:t> </w:t>
      </w:r>
    </w:p>
    <w:tbl>
      <w:tblPr>
        <w:tblW w:w="10555" w:type="dxa"/>
        <w:jc w:val="left"/>
        <w:tblInd w:w="0" w:type="dxa"/>
        <w:tblLayout w:type="fixed"/>
        <w:tblCellMar>
          <w:top w:w="28" w:type="dxa"/>
          <w:left w:w="0" w:type="dxa"/>
          <w:bottom w:w="28" w:type="dxa"/>
          <w:right w:w="0" w:type="dxa"/>
        </w:tblCellMar>
      </w:tblPr>
      <w:tblGrid>
        <w:gridCol w:w="1910"/>
        <w:gridCol w:w="60"/>
        <w:gridCol w:w="60"/>
        <w:gridCol w:w="755"/>
        <w:gridCol w:w="95"/>
        <w:gridCol w:w="60"/>
        <w:gridCol w:w="60"/>
        <w:gridCol w:w="755"/>
        <w:gridCol w:w="95"/>
        <w:gridCol w:w="60"/>
        <w:gridCol w:w="80"/>
        <w:gridCol w:w="855"/>
        <w:gridCol w:w="95"/>
        <w:gridCol w:w="60"/>
        <w:gridCol w:w="137"/>
        <w:gridCol w:w="873"/>
        <w:gridCol w:w="215"/>
        <w:gridCol w:w="60"/>
        <w:gridCol w:w="60"/>
        <w:gridCol w:w="755"/>
        <w:gridCol w:w="95"/>
        <w:gridCol w:w="60"/>
        <w:gridCol w:w="60"/>
        <w:gridCol w:w="755"/>
        <w:gridCol w:w="95"/>
        <w:gridCol w:w="60"/>
        <w:gridCol w:w="68"/>
        <w:gridCol w:w="867"/>
        <w:gridCol w:w="95"/>
        <w:gridCol w:w="60"/>
        <w:gridCol w:w="137"/>
        <w:gridCol w:w="873"/>
        <w:gridCol w:w="230"/>
      </w:tblGrid>
      <w:tr>
        <w:trPr/>
        <w:tc>
          <w:tcPr>
            <w:tcW w:w="1910" w:type="dxa"/>
            <w:tcBorders>
              <w:top w:val="single" w:sz="8" w:space="0" w:color="000000"/>
              <w:bottom w:val="single" w:sz="8" w:space="0" w:color="000000"/>
            </w:tcBorders>
            <w:vAlign w:val="center"/>
          </w:tcPr>
          <w:p>
            <w:pPr>
              <w:pStyle w:val="TableContents"/>
              <w:bidi w:val="0"/>
              <w:spacing w:before="0" w:after="283"/>
              <w:ind w:left="0" w:right="0" w:hanging="180"/>
              <w:jc w:val="left"/>
              <w:rPr/>
            </w:pPr>
            <w:r>
              <w:rPr/>
              <w:t> </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4040" w:type="dxa"/>
            <w:gridSpan w:val="14"/>
            <w:tcBorders>
              <w:top w:val="single" w:sz="8" w:space="0" w:color="000000"/>
              <w:bottom w:val="single" w:sz="8" w:space="0" w:color="000000"/>
            </w:tcBorders>
            <w:tcMar>
              <w:bottom w:w="30" w:type="dxa"/>
            </w:tcMar>
            <w:vAlign w:val="center"/>
          </w:tcPr>
          <w:p>
            <w:pPr>
              <w:pStyle w:val="TableContents"/>
              <w:bidi w:val="0"/>
              <w:spacing w:before="0" w:after="283"/>
              <w:jc w:val="center"/>
              <w:rPr>
                <w:b/>
              </w:rPr>
            </w:pPr>
            <w:r>
              <w:rPr>
                <w:b/>
              </w:rPr>
              <w:t>Three months ended December 31,</w:t>
            </w:r>
          </w:p>
        </w:tc>
        <w:tc>
          <w:tcPr>
            <w:tcW w:w="215"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bottom w:w="30" w:type="dxa"/>
            </w:tcMar>
            <w:vAlign w:val="center"/>
          </w:tcPr>
          <w:p>
            <w:pPr>
              <w:pStyle w:val="TableContents"/>
              <w:bidi w:val="0"/>
              <w:spacing w:before="0" w:after="283"/>
              <w:jc w:val="left"/>
              <w:rPr/>
            </w:pPr>
            <w:r>
              <w:rPr/>
              <w:t> </w:t>
            </w:r>
          </w:p>
        </w:tc>
        <w:tc>
          <w:tcPr>
            <w:tcW w:w="4040" w:type="dxa"/>
            <w:gridSpan w:val="14"/>
            <w:tcBorders>
              <w:top w:val="single" w:sz="8" w:space="0" w:color="000000"/>
              <w:bottom w:val="single" w:sz="8" w:space="0" w:color="000000"/>
            </w:tcBorders>
            <w:tcMar>
              <w:bottom w:w="30" w:type="dxa"/>
            </w:tcMar>
            <w:vAlign w:val="center"/>
          </w:tcPr>
          <w:p>
            <w:pPr>
              <w:pStyle w:val="TableContents"/>
              <w:bidi w:val="0"/>
              <w:spacing w:before="0" w:after="283"/>
              <w:jc w:val="center"/>
              <w:rPr>
                <w:b/>
              </w:rPr>
            </w:pPr>
            <w:r>
              <w:rPr>
                <w:b/>
              </w:rPr>
              <w:t>Year ended December 31,</w:t>
            </w:r>
          </w:p>
        </w:tc>
        <w:tc>
          <w:tcPr>
            <w:tcW w:w="230" w:type="dxa"/>
            <w:tcBorders>
              <w:top w:val="single" w:sz="8" w:space="0" w:color="000000"/>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910" w:type="dxa"/>
            <w:tcBorders>
              <w:bottom w:val="single" w:sz="8" w:space="0" w:color="000000"/>
            </w:tcBorders>
            <w:tcMar>
              <w:top w:w="0" w:type="dxa"/>
              <w:bottom w:w="30" w:type="dxa"/>
            </w:tcMar>
            <w:vAlign w:val="center"/>
          </w:tcPr>
          <w:p>
            <w:pPr>
              <w:pStyle w:val="TableContents"/>
              <w:bidi w:val="0"/>
              <w:spacing w:before="0" w:after="283"/>
              <w:jc w:val="left"/>
              <w:rPr/>
            </w:pPr>
            <w:r>
              <w:rPr/>
              <w:t>(U.S.$ in thousands except where indicated)</w:t>
            </w:r>
          </w:p>
        </w:tc>
        <w:tc>
          <w:tcPr>
            <w:tcW w:w="60"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top w:w="0" w:type="dxa"/>
              <w:bottom w:w="30" w:type="dxa"/>
            </w:tcMar>
            <w:vAlign w:val="center"/>
          </w:tcPr>
          <w:p>
            <w:pPr>
              <w:pStyle w:val="TableContents"/>
              <w:bidi w:val="0"/>
              <w:spacing w:before="0" w:after="283"/>
              <w:jc w:val="right"/>
              <w:rPr>
                <w:b/>
              </w:rPr>
            </w:pPr>
            <w:r>
              <w:rPr>
                <w:b/>
              </w:rPr>
              <w:t>2024</w:t>
            </w:r>
          </w:p>
        </w:tc>
        <w:tc>
          <w:tcPr>
            <w:tcW w:w="95"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top w:w="0" w:type="dxa"/>
              <w:bottom w:w="30" w:type="dxa"/>
            </w:tcMar>
            <w:vAlign w:val="center"/>
          </w:tcPr>
          <w:p>
            <w:pPr>
              <w:pStyle w:val="TableContents"/>
              <w:bidi w:val="0"/>
              <w:spacing w:before="0" w:after="283"/>
              <w:jc w:val="right"/>
              <w:rPr/>
            </w:pPr>
            <w:r>
              <w:rPr/>
              <w:t>2023</w:t>
            </w:r>
          </w:p>
        </w:tc>
        <w:tc>
          <w:tcPr>
            <w:tcW w:w="95"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top w:w="0" w:type="dxa"/>
              <w:bottom w:w="30" w:type="dxa"/>
            </w:tcMar>
            <w:vAlign w:val="center"/>
          </w:tcPr>
          <w:p>
            <w:pPr>
              <w:pStyle w:val="TableContents"/>
              <w:bidi w:val="0"/>
              <w:spacing w:before="0" w:after="283"/>
              <w:jc w:val="right"/>
              <w:rPr/>
            </w:pPr>
            <w:r>
              <w:rPr/>
              <w:t>$ Change</w:t>
            </w:r>
          </w:p>
        </w:tc>
        <w:tc>
          <w:tcPr>
            <w:tcW w:w="95"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top w:w="0" w:type="dxa"/>
              <w:bottom w:w="30" w:type="dxa"/>
            </w:tcMar>
            <w:vAlign w:val="center"/>
          </w:tcPr>
          <w:p>
            <w:pPr>
              <w:pStyle w:val="TableContents"/>
              <w:bidi w:val="0"/>
              <w:spacing w:before="0" w:after="283"/>
              <w:jc w:val="right"/>
              <w:rPr/>
            </w:pPr>
            <w:r>
              <w:rPr/>
              <w:t>% Change</w:t>
            </w:r>
          </w:p>
        </w:tc>
        <w:tc>
          <w:tcPr>
            <w:tcW w:w="215"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top w:w="0" w:type="dxa"/>
              <w:bottom w:w="30" w:type="dxa"/>
            </w:tcMar>
            <w:vAlign w:val="center"/>
          </w:tcPr>
          <w:p>
            <w:pPr>
              <w:pStyle w:val="TableContents"/>
              <w:bidi w:val="0"/>
              <w:spacing w:before="0" w:after="283"/>
              <w:jc w:val="right"/>
              <w:rPr>
                <w:b/>
              </w:rPr>
            </w:pPr>
            <w:r>
              <w:rPr>
                <w:b/>
              </w:rPr>
              <w:t>2024</w:t>
            </w:r>
          </w:p>
        </w:tc>
        <w:tc>
          <w:tcPr>
            <w:tcW w:w="95"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top w:w="0" w:type="dxa"/>
              <w:bottom w:w="30" w:type="dxa"/>
            </w:tcMar>
            <w:vAlign w:val="center"/>
          </w:tcPr>
          <w:p>
            <w:pPr>
              <w:pStyle w:val="TableContents"/>
              <w:bidi w:val="0"/>
              <w:spacing w:before="0" w:after="283"/>
              <w:jc w:val="right"/>
              <w:rPr/>
            </w:pPr>
            <w:r>
              <w:rPr/>
              <w:t>2023</w:t>
            </w:r>
          </w:p>
        </w:tc>
        <w:tc>
          <w:tcPr>
            <w:tcW w:w="95"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top w:w="0" w:type="dxa"/>
              <w:bottom w:w="30" w:type="dxa"/>
            </w:tcMar>
            <w:vAlign w:val="center"/>
          </w:tcPr>
          <w:p>
            <w:pPr>
              <w:pStyle w:val="TableContents"/>
              <w:bidi w:val="0"/>
              <w:spacing w:before="0" w:after="283"/>
              <w:jc w:val="right"/>
              <w:rPr/>
            </w:pPr>
            <w:r>
              <w:rPr/>
              <w:t>$ Change</w:t>
            </w:r>
          </w:p>
        </w:tc>
        <w:tc>
          <w:tcPr>
            <w:tcW w:w="95"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3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top w:w="0" w:type="dxa"/>
              <w:bottom w:w="30" w:type="dxa"/>
            </w:tcMar>
            <w:vAlign w:val="center"/>
          </w:tcPr>
          <w:p>
            <w:pPr>
              <w:pStyle w:val="TableContents"/>
              <w:bidi w:val="0"/>
              <w:spacing w:before="0" w:after="283"/>
              <w:jc w:val="right"/>
              <w:rPr/>
            </w:pPr>
            <w:r>
              <w:rPr/>
              <w:t>% Change</w:t>
            </w:r>
          </w:p>
        </w:tc>
        <w:tc>
          <w:tcPr>
            <w:tcW w:w="230" w:type="dxa"/>
            <w:tcBorders>
              <w:bottom w:val="single" w:sz="8" w:space="0" w:color="000000"/>
            </w:tcBorders>
            <w:tcMar>
              <w:top w:w="0" w:type="dxa"/>
              <w:bottom w:w="30" w:type="dxa"/>
            </w:tcMar>
            <w:vAlign w:val="center"/>
          </w:tcPr>
          <w:p>
            <w:pPr>
              <w:pStyle w:val="TableContents"/>
              <w:bidi w:val="0"/>
              <w:spacing w:before="0" w:after="283"/>
              <w:ind w:left="0" w:right="0" w:hanging="180"/>
              <w:jc w:val="left"/>
              <w:rPr/>
            </w:pPr>
            <w:r>
              <w:rPr/>
              <w:t> </w:t>
            </w:r>
          </w:p>
        </w:tc>
      </w:tr>
      <w:tr>
        <w:trPr/>
        <w:tc>
          <w:tcPr>
            <w:tcW w:w="1910" w:type="dxa"/>
            <w:tcBorders/>
            <w:shd w:fill="CCEEFF" w:val="clear"/>
            <w:tcMar>
              <w:top w:w="0" w:type="dxa"/>
              <w:bottom w:w="0" w:type="dxa"/>
            </w:tcMar>
            <w:vAlign w:val="center"/>
          </w:tcPr>
          <w:p>
            <w:pPr>
              <w:pStyle w:val="TableContents"/>
              <w:bidi w:val="0"/>
              <w:spacing w:before="0" w:after="283"/>
              <w:jc w:val="left"/>
              <w:rPr/>
            </w:pPr>
            <w:r>
              <w:rPr/>
              <w:t>Salaries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(5,504</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(5,063</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855" w:type="dxa"/>
            <w:tcBorders/>
            <w:shd w:fill="CCEEFF" w:val="clear"/>
            <w:tcMar>
              <w:top w:w="0" w:type="dxa"/>
              <w:bottom w:w="0" w:type="dxa"/>
            </w:tcMar>
            <w:vAlign w:val="center"/>
          </w:tcPr>
          <w:p>
            <w:pPr>
              <w:pStyle w:val="TableContents"/>
              <w:bidi w:val="0"/>
              <w:spacing w:before="0" w:after="283"/>
              <w:jc w:val="right"/>
              <w:rPr/>
            </w:pPr>
            <w:r>
              <w:rPr/>
              <w:t>(441</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9</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(23,024</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(13,190</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(9,834</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75</w:t>
            </w:r>
          </w:p>
        </w:tc>
        <w:tc>
          <w:tcPr>
            <w:tcW w:w="230"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910" w:type="dxa"/>
            <w:tcBorders/>
            <w:shd w:fill="FFFFFF" w:val="clear"/>
            <w:tcMar>
              <w:top w:w="0" w:type="dxa"/>
              <w:bottom w:w="0" w:type="dxa"/>
            </w:tcMar>
            <w:vAlign w:val="center"/>
          </w:tcPr>
          <w:p>
            <w:pPr>
              <w:pStyle w:val="TableContents"/>
              <w:bidi w:val="0"/>
              <w:spacing w:before="0" w:after="283"/>
              <w:jc w:val="left"/>
              <w:rPr/>
            </w:pPr>
            <w:r>
              <w:rPr/>
              <w:t>Share-based payments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b/>
              </w:rPr>
            </w:pPr>
            <w:r>
              <w:rPr>
                <w:b/>
              </w:rPr>
              <w:t>(4,021</w:t>
            </w:r>
          </w:p>
        </w:tc>
        <w:tc>
          <w:tcPr>
            <w:tcW w:w="9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(3,906</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855" w:type="dxa"/>
            <w:tcBorders/>
            <w:shd w:fill="FFFFFF" w:val="clear"/>
            <w:tcMar>
              <w:top w:w="0" w:type="dxa"/>
              <w:bottom w:w="0" w:type="dxa"/>
            </w:tcMar>
            <w:vAlign w:val="center"/>
          </w:tcPr>
          <w:p>
            <w:pPr>
              <w:pStyle w:val="TableContents"/>
              <w:bidi w:val="0"/>
              <w:spacing w:before="0" w:after="283"/>
              <w:jc w:val="right"/>
              <w:rPr/>
            </w:pPr>
            <w:r>
              <w:rPr/>
              <w:t>(115</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7" w:type="dxa"/>
            <w:tcBorders/>
            <w:shd w:fill="FFFFFF" w:val="clear"/>
            <w:tcMar>
              <w:top w:w="0" w:type="dxa"/>
              <w:bottom w:w="0" w:type="dxa"/>
            </w:tcMar>
            <w:vAlign w:val="center"/>
          </w:tcPr>
          <w:p>
            <w:pPr>
              <w:pStyle w:val="TableContents"/>
              <w:bidi w:val="0"/>
              <w:spacing w:before="0" w:after="283"/>
              <w:jc w:val="left"/>
              <w:rPr/>
            </w:pPr>
            <w:r>
              <w:rPr/>
              <w:t> </w:t>
            </w:r>
          </w:p>
        </w:tc>
        <w:tc>
          <w:tcPr>
            <w:tcW w:w="873" w:type="dxa"/>
            <w:tcBorders/>
            <w:shd w:fill="FFFFFF" w:val="clear"/>
            <w:tcMar>
              <w:top w:w="0" w:type="dxa"/>
              <w:bottom w:w="0" w:type="dxa"/>
            </w:tcMar>
            <w:vAlign w:val="center"/>
          </w:tcPr>
          <w:p>
            <w:pPr>
              <w:pStyle w:val="TableContents"/>
              <w:bidi w:val="0"/>
              <w:spacing w:before="0" w:after="283"/>
              <w:jc w:val="right"/>
              <w:rPr/>
            </w:pPr>
            <w:r>
              <w:rPr/>
              <w:t>3</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b/>
              </w:rPr>
            </w:pPr>
            <w:r>
              <w:rPr>
                <w:b/>
              </w:rPr>
              <w:t>(13,949</w:t>
            </w:r>
          </w:p>
        </w:tc>
        <w:tc>
          <w:tcPr>
            <w:tcW w:w="9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(10,915</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(3,034</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7" w:type="dxa"/>
            <w:tcBorders/>
            <w:shd w:fill="FFFFFF" w:val="clear"/>
            <w:tcMar>
              <w:top w:w="0" w:type="dxa"/>
              <w:bottom w:w="0" w:type="dxa"/>
            </w:tcMar>
            <w:vAlign w:val="center"/>
          </w:tcPr>
          <w:p>
            <w:pPr>
              <w:pStyle w:val="TableContents"/>
              <w:bidi w:val="0"/>
              <w:spacing w:before="0" w:after="283"/>
              <w:jc w:val="left"/>
              <w:rPr/>
            </w:pPr>
            <w:r>
              <w:rPr/>
              <w:t> </w:t>
            </w:r>
          </w:p>
        </w:tc>
        <w:tc>
          <w:tcPr>
            <w:tcW w:w="873" w:type="dxa"/>
            <w:tcBorders/>
            <w:shd w:fill="FFFFFF" w:val="clear"/>
            <w:tcMar>
              <w:top w:w="0" w:type="dxa"/>
              <w:bottom w:w="0" w:type="dxa"/>
            </w:tcMar>
            <w:vAlign w:val="center"/>
          </w:tcPr>
          <w:p>
            <w:pPr>
              <w:pStyle w:val="TableContents"/>
              <w:bidi w:val="0"/>
              <w:spacing w:before="0" w:after="283"/>
              <w:jc w:val="right"/>
              <w:rPr/>
            </w:pPr>
            <w:r>
              <w:rPr/>
              <w:t>28</w:t>
            </w:r>
          </w:p>
        </w:tc>
        <w:tc>
          <w:tcPr>
            <w:tcW w:w="230" w:type="dxa"/>
            <w:tcBorders/>
            <w:shd w:fill="FFFFFF" w:val="clear"/>
            <w:tcMar>
              <w:top w:w="0" w:type="dxa"/>
              <w:bottom w:w="0" w:type="dxa"/>
            </w:tcMar>
            <w:vAlign w:val="center"/>
          </w:tcPr>
          <w:p>
            <w:pPr>
              <w:pStyle w:val="TableContents"/>
              <w:bidi w:val="0"/>
              <w:spacing w:before="0" w:after="283"/>
              <w:ind w:left="0" w:right="0" w:hanging="180"/>
              <w:jc w:val="left"/>
              <w:rPr/>
            </w:pPr>
            <w:r>
              <w:rPr/>
              <w:t>%</w:t>
            </w:r>
          </w:p>
        </w:tc>
      </w:tr>
      <w:tr>
        <w:trPr/>
        <w:tc>
          <w:tcPr>
            <w:tcW w:w="1910" w:type="dxa"/>
            <w:tcBorders/>
            <w:shd w:fill="CCEEFF" w:val="clear"/>
            <w:tcMar>
              <w:top w:w="0" w:type="dxa"/>
              <w:bottom w:w="0" w:type="dxa"/>
            </w:tcMar>
            <w:vAlign w:val="center"/>
          </w:tcPr>
          <w:p>
            <w:pPr>
              <w:pStyle w:val="TableContents"/>
              <w:bidi w:val="0"/>
              <w:spacing w:before="0" w:after="283"/>
              <w:jc w:val="left"/>
              <w:rPr/>
            </w:pPr>
            <w:r>
              <w:rPr/>
              <w:t>Professional services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(5,208</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(2,283</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855" w:type="dxa"/>
            <w:tcBorders/>
            <w:shd w:fill="CCEEFF" w:val="clear"/>
            <w:tcMar>
              <w:top w:w="0" w:type="dxa"/>
              <w:bottom w:w="0" w:type="dxa"/>
            </w:tcMar>
            <w:vAlign w:val="center"/>
          </w:tcPr>
          <w:p>
            <w:pPr>
              <w:pStyle w:val="TableContents"/>
              <w:bidi w:val="0"/>
              <w:spacing w:before="0" w:after="283"/>
              <w:jc w:val="right"/>
              <w:rPr/>
            </w:pPr>
            <w:r>
              <w:rPr/>
              <w:t>(2,925</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128</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(24,299</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(7,608</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(16,691</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219</w:t>
            </w:r>
          </w:p>
        </w:tc>
        <w:tc>
          <w:tcPr>
            <w:tcW w:w="230"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910" w:type="dxa"/>
            <w:tcBorders/>
            <w:shd w:fill="FFFFFF" w:val="clear"/>
            <w:tcMar>
              <w:top w:w="0" w:type="dxa"/>
              <w:bottom w:w="0" w:type="dxa"/>
            </w:tcMar>
            <w:vAlign w:val="center"/>
          </w:tcPr>
          <w:p>
            <w:pPr>
              <w:pStyle w:val="TableContents"/>
              <w:bidi w:val="0"/>
              <w:spacing w:before="0" w:after="283"/>
              <w:jc w:val="left"/>
              <w:rPr/>
            </w:pPr>
            <w:r>
              <w:rPr/>
              <w:t>Sales tax recovery - professional services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855"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7" w:type="dxa"/>
            <w:tcBorders/>
            <w:shd w:fill="FFFFFF" w:val="clear"/>
            <w:tcMar>
              <w:top w:w="0" w:type="dxa"/>
              <w:bottom w:w="0" w:type="dxa"/>
            </w:tcMar>
            <w:vAlign w:val="center"/>
          </w:tcPr>
          <w:p>
            <w:pPr>
              <w:pStyle w:val="TableContents"/>
              <w:bidi w:val="0"/>
              <w:spacing w:before="0" w:after="283"/>
              <w:jc w:val="left"/>
              <w:rPr/>
            </w:pPr>
            <w:r>
              <w:rPr/>
              <w:t> </w:t>
            </w:r>
          </w:p>
        </w:tc>
        <w:tc>
          <w:tcPr>
            <w:tcW w:w="873" w:type="dxa"/>
            <w:tcBorders/>
            <w:shd w:fill="FFFFFF" w:val="clear"/>
            <w:tcMar>
              <w:top w:w="0" w:type="dxa"/>
              <w:bottom w:w="0" w:type="dxa"/>
            </w:tcMar>
            <w:vAlign w:val="center"/>
          </w:tcPr>
          <w:p>
            <w:pPr>
              <w:pStyle w:val="TableContents"/>
              <w:bidi w:val="0"/>
              <w:spacing w:before="0" w:after="283"/>
              <w:jc w:val="right"/>
              <w:rPr/>
            </w:pPr>
            <w:r>
              <w:rPr/>
              <w:t>—</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b/>
              </w:rPr>
            </w:pPr>
            <w:r>
              <w:rPr>
                <w:b/>
              </w:rPr>
              <w:t>1,389</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1,389</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7" w:type="dxa"/>
            <w:tcBorders/>
            <w:shd w:fill="FFFFFF" w:val="clear"/>
            <w:tcMar>
              <w:top w:w="0" w:type="dxa"/>
              <w:bottom w:w="0" w:type="dxa"/>
            </w:tcMar>
            <w:vAlign w:val="center"/>
          </w:tcPr>
          <w:p>
            <w:pPr>
              <w:pStyle w:val="TableContents"/>
              <w:bidi w:val="0"/>
              <w:spacing w:before="0" w:after="283"/>
              <w:jc w:val="left"/>
              <w:rPr/>
            </w:pPr>
            <w:r>
              <w:rPr/>
              <w:t> </w:t>
            </w:r>
          </w:p>
        </w:tc>
        <w:tc>
          <w:tcPr>
            <w:tcW w:w="873" w:type="dxa"/>
            <w:tcBorders/>
            <w:shd w:fill="FFFFFF" w:val="clear"/>
            <w:tcMar>
              <w:top w:w="0" w:type="dxa"/>
              <w:bottom w:w="0" w:type="dxa"/>
            </w:tcMar>
            <w:vAlign w:val="center"/>
          </w:tcPr>
          <w:p>
            <w:pPr>
              <w:pStyle w:val="TableContents"/>
              <w:bidi w:val="0"/>
              <w:spacing w:before="0" w:after="283"/>
              <w:jc w:val="right"/>
              <w:rPr/>
            </w:pPr>
            <w:r>
              <w:rPr/>
              <w:t>100</w:t>
            </w:r>
          </w:p>
        </w:tc>
        <w:tc>
          <w:tcPr>
            <w:tcW w:w="230" w:type="dxa"/>
            <w:tcBorders/>
            <w:shd w:fill="FFFFFF" w:val="clear"/>
            <w:tcMar>
              <w:top w:w="0" w:type="dxa"/>
              <w:bottom w:w="0" w:type="dxa"/>
            </w:tcMar>
            <w:vAlign w:val="center"/>
          </w:tcPr>
          <w:p>
            <w:pPr>
              <w:pStyle w:val="TableContents"/>
              <w:bidi w:val="0"/>
              <w:spacing w:before="0" w:after="283"/>
              <w:ind w:left="0" w:right="0" w:hanging="180"/>
              <w:jc w:val="left"/>
              <w:rPr/>
            </w:pPr>
            <w:r>
              <w:rPr/>
              <w:t>%</w:t>
            </w:r>
          </w:p>
        </w:tc>
      </w:tr>
      <w:tr>
        <w:trPr/>
        <w:tc>
          <w:tcPr>
            <w:tcW w:w="1910" w:type="dxa"/>
            <w:tcBorders/>
            <w:shd w:fill="CCEEFF" w:val="clear"/>
            <w:tcMar>
              <w:top w:w="0" w:type="dxa"/>
              <w:bottom w:w="0" w:type="dxa"/>
            </w:tcMar>
            <w:vAlign w:val="center"/>
          </w:tcPr>
          <w:p>
            <w:pPr>
              <w:pStyle w:val="TableContents"/>
              <w:bidi w:val="0"/>
              <w:spacing w:before="0" w:after="283"/>
              <w:jc w:val="left"/>
              <w:rPr/>
            </w:pPr>
            <w:r>
              <w:rPr/>
              <w:t>Insurance, duties and other</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(2,617</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(1,591</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855" w:type="dxa"/>
            <w:tcBorders/>
            <w:shd w:fill="CCEEFF" w:val="clear"/>
            <w:tcMar>
              <w:top w:w="0" w:type="dxa"/>
              <w:bottom w:w="0" w:type="dxa"/>
            </w:tcMar>
            <w:vAlign w:val="center"/>
          </w:tcPr>
          <w:p>
            <w:pPr>
              <w:pStyle w:val="TableContents"/>
              <w:bidi w:val="0"/>
              <w:spacing w:before="0" w:after="283"/>
              <w:jc w:val="right"/>
              <w:rPr/>
            </w:pPr>
            <w:r>
              <w:rPr/>
              <w:t>(1,026</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64</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(9,339</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(5,668</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(3,671</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65</w:t>
            </w:r>
          </w:p>
        </w:tc>
        <w:tc>
          <w:tcPr>
            <w:tcW w:w="230"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910" w:type="dxa"/>
            <w:tcBorders/>
            <w:shd w:fill="FFFFFF" w:val="clear"/>
            <w:tcMar>
              <w:top w:w="0" w:type="dxa"/>
              <w:bottom w:w="0" w:type="dxa"/>
            </w:tcMar>
            <w:vAlign w:val="center"/>
          </w:tcPr>
          <w:p>
            <w:pPr>
              <w:pStyle w:val="TableContents"/>
              <w:bidi w:val="0"/>
              <w:spacing w:before="0" w:after="283"/>
              <w:jc w:val="left"/>
              <w:rPr/>
            </w:pPr>
            <w:r>
              <w:rPr/>
              <w:t>Travel, motor vehicle and meals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b/>
              </w:rPr>
            </w:pPr>
            <w:r>
              <w:rPr>
                <w:b/>
              </w:rPr>
              <w:t>(463</w:t>
            </w:r>
          </w:p>
        </w:tc>
        <w:tc>
          <w:tcPr>
            <w:tcW w:w="9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(340</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855" w:type="dxa"/>
            <w:tcBorders/>
            <w:shd w:fill="FFFFFF" w:val="clear"/>
            <w:tcMar>
              <w:top w:w="0" w:type="dxa"/>
              <w:bottom w:w="0" w:type="dxa"/>
            </w:tcMar>
            <w:vAlign w:val="center"/>
          </w:tcPr>
          <w:p>
            <w:pPr>
              <w:pStyle w:val="TableContents"/>
              <w:bidi w:val="0"/>
              <w:spacing w:before="0" w:after="283"/>
              <w:jc w:val="right"/>
              <w:rPr/>
            </w:pPr>
            <w:r>
              <w:rPr/>
              <w:t>(123</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7" w:type="dxa"/>
            <w:tcBorders/>
            <w:shd w:fill="FFFFFF" w:val="clear"/>
            <w:tcMar>
              <w:top w:w="0" w:type="dxa"/>
              <w:bottom w:w="0" w:type="dxa"/>
            </w:tcMar>
            <w:vAlign w:val="center"/>
          </w:tcPr>
          <w:p>
            <w:pPr>
              <w:pStyle w:val="TableContents"/>
              <w:bidi w:val="0"/>
              <w:spacing w:before="0" w:after="283"/>
              <w:jc w:val="left"/>
              <w:rPr/>
            </w:pPr>
            <w:r>
              <w:rPr/>
              <w:t> </w:t>
            </w:r>
          </w:p>
        </w:tc>
        <w:tc>
          <w:tcPr>
            <w:tcW w:w="873" w:type="dxa"/>
            <w:tcBorders/>
            <w:shd w:fill="FFFFFF" w:val="clear"/>
            <w:tcMar>
              <w:top w:w="0" w:type="dxa"/>
              <w:bottom w:w="0" w:type="dxa"/>
            </w:tcMar>
            <w:vAlign w:val="center"/>
          </w:tcPr>
          <w:p>
            <w:pPr>
              <w:pStyle w:val="TableContents"/>
              <w:bidi w:val="0"/>
              <w:spacing w:before="0" w:after="283"/>
              <w:jc w:val="right"/>
              <w:rPr/>
            </w:pPr>
            <w:r>
              <w:rPr/>
              <w:t>36</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b/>
              </w:rPr>
            </w:pPr>
            <w:r>
              <w:rPr>
                <w:b/>
              </w:rPr>
              <w:t>(1,711</w:t>
            </w:r>
          </w:p>
        </w:tc>
        <w:tc>
          <w:tcPr>
            <w:tcW w:w="9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(1,018</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(693</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7" w:type="dxa"/>
            <w:tcBorders/>
            <w:shd w:fill="FFFFFF" w:val="clear"/>
            <w:tcMar>
              <w:top w:w="0" w:type="dxa"/>
              <w:bottom w:w="0" w:type="dxa"/>
            </w:tcMar>
            <w:vAlign w:val="center"/>
          </w:tcPr>
          <w:p>
            <w:pPr>
              <w:pStyle w:val="TableContents"/>
              <w:bidi w:val="0"/>
              <w:spacing w:before="0" w:after="283"/>
              <w:jc w:val="left"/>
              <w:rPr/>
            </w:pPr>
            <w:r>
              <w:rPr/>
              <w:t> </w:t>
            </w:r>
          </w:p>
        </w:tc>
        <w:tc>
          <w:tcPr>
            <w:tcW w:w="873" w:type="dxa"/>
            <w:tcBorders/>
            <w:shd w:fill="FFFFFF" w:val="clear"/>
            <w:tcMar>
              <w:top w:w="0" w:type="dxa"/>
              <w:bottom w:w="0" w:type="dxa"/>
            </w:tcMar>
            <w:vAlign w:val="center"/>
          </w:tcPr>
          <w:p>
            <w:pPr>
              <w:pStyle w:val="TableContents"/>
              <w:bidi w:val="0"/>
              <w:spacing w:before="0" w:after="283"/>
              <w:jc w:val="right"/>
              <w:rPr/>
            </w:pPr>
            <w:r>
              <w:rPr/>
              <w:t>68</w:t>
            </w:r>
          </w:p>
        </w:tc>
        <w:tc>
          <w:tcPr>
            <w:tcW w:w="230" w:type="dxa"/>
            <w:tcBorders/>
            <w:shd w:fill="FFFFFF" w:val="clear"/>
            <w:tcMar>
              <w:top w:w="0" w:type="dxa"/>
              <w:bottom w:w="0" w:type="dxa"/>
            </w:tcMar>
            <w:vAlign w:val="center"/>
          </w:tcPr>
          <w:p>
            <w:pPr>
              <w:pStyle w:val="TableContents"/>
              <w:bidi w:val="0"/>
              <w:spacing w:before="0" w:after="283"/>
              <w:ind w:left="0" w:right="0" w:hanging="180"/>
              <w:jc w:val="left"/>
              <w:rPr/>
            </w:pPr>
            <w:r>
              <w:rPr/>
              <w:t>%</w:t>
            </w:r>
          </w:p>
        </w:tc>
      </w:tr>
      <w:tr>
        <w:trPr/>
        <w:tc>
          <w:tcPr>
            <w:tcW w:w="1910" w:type="dxa"/>
            <w:tcBorders/>
            <w:shd w:fill="CCEEFF" w:val="clear"/>
            <w:tcMar>
              <w:top w:w="0" w:type="dxa"/>
              <w:bottom w:w="0" w:type="dxa"/>
            </w:tcMar>
            <w:vAlign w:val="center"/>
          </w:tcPr>
          <w:p>
            <w:pPr>
              <w:pStyle w:val="TableContents"/>
              <w:bidi w:val="0"/>
              <w:spacing w:before="0" w:after="283"/>
              <w:jc w:val="left"/>
              <w:rPr/>
            </w:pPr>
            <w:r>
              <w:rPr/>
              <w:t>Hosting and telecommunications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(121</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(91</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855" w:type="dxa"/>
            <w:tcBorders/>
            <w:shd w:fill="CCEEFF" w:val="clear"/>
            <w:tcMar>
              <w:top w:w="0" w:type="dxa"/>
              <w:bottom w:w="0" w:type="dxa"/>
            </w:tcMar>
            <w:vAlign w:val="center"/>
          </w:tcPr>
          <w:p>
            <w:pPr>
              <w:pStyle w:val="TableContents"/>
              <w:bidi w:val="0"/>
              <w:spacing w:before="0" w:after="283"/>
              <w:jc w:val="right"/>
              <w:rPr/>
            </w:pPr>
            <w:r>
              <w:rPr/>
              <w:t>(30</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33</w:t>
            </w:r>
          </w:p>
        </w:tc>
        <w:tc>
          <w:tcPr>
            <w:tcW w:w="21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b/>
              </w:rPr>
            </w:pPr>
            <w:r>
              <w:rPr>
                <w:b/>
              </w:rPr>
              <w:t>(339</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(402</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63</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37" w:type="dxa"/>
            <w:tcBorders/>
            <w:shd w:fill="CCEEFF" w:val="clear"/>
            <w:tcMar>
              <w:top w:w="0" w:type="dxa"/>
              <w:bottom w:w="0" w:type="dxa"/>
            </w:tcMar>
            <w:vAlign w:val="center"/>
          </w:tcPr>
          <w:p>
            <w:pPr>
              <w:pStyle w:val="TableContents"/>
              <w:bidi w:val="0"/>
              <w:spacing w:before="0" w:after="283"/>
              <w:jc w:val="left"/>
              <w:rPr/>
            </w:pPr>
            <w:r>
              <w:rPr/>
              <w:t> </w:t>
            </w:r>
          </w:p>
        </w:tc>
        <w:tc>
          <w:tcPr>
            <w:tcW w:w="873" w:type="dxa"/>
            <w:tcBorders/>
            <w:shd w:fill="CCEEFF" w:val="clear"/>
            <w:tcMar>
              <w:top w:w="0" w:type="dxa"/>
              <w:bottom w:w="0" w:type="dxa"/>
            </w:tcMar>
            <w:vAlign w:val="center"/>
          </w:tcPr>
          <w:p>
            <w:pPr>
              <w:pStyle w:val="TableContents"/>
              <w:bidi w:val="0"/>
              <w:spacing w:before="0" w:after="283"/>
              <w:jc w:val="right"/>
              <w:rPr/>
            </w:pPr>
            <w:r>
              <w:rPr/>
              <w:t>(16</w:t>
            </w:r>
          </w:p>
        </w:tc>
        <w:tc>
          <w:tcPr>
            <w:tcW w:w="230"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910" w:type="dxa"/>
            <w:tcBorders/>
            <w:shd w:fill="FFFFFF" w:val="clear"/>
            <w:tcMar>
              <w:top w:w="0" w:type="dxa"/>
              <w:bottom w:w="0" w:type="dxa"/>
            </w:tcMar>
            <w:vAlign w:val="center"/>
          </w:tcPr>
          <w:p>
            <w:pPr>
              <w:pStyle w:val="TableContents"/>
              <w:bidi w:val="0"/>
              <w:spacing w:before="0" w:after="283"/>
              <w:jc w:val="left"/>
              <w:rPr/>
            </w:pPr>
            <w:r>
              <w:rPr/>
              <w:t>Advertising and promotion</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b/>
              </w:rPr>
            </w:pPr>
            <w:r>
              <w:rPr>
                <w:b/>
              </w:rPr>
              <w:t>(108</w:t>
            </w:r>
          </w:p>
        </w:tc>
        <w:tc>
          <w:tcPr>
            <w:tcW w:w="9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(131</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855" w:type="dxa"/>
            <w:tcBorders/>
            <w:shd w:fill="FFFFFF" w:val="clear"/>
            <w:tcMar>
              <w:top w:w="0" w:type="dxa"/>
              <w:bottom w:w="0" w:type="dxa"/>
            </w:tcMar>
            <w:vAlign w:val="center"/>
          </w:tcPr>
          <w:p>
            <w:pPr>
              <w:pStyle w:val="TableContents"/>
              <w:bidi w:val="0"/>
              <w:spacing w:before="0" w:after="283"/>
              <w:jc w:val="right"/>
              <w:rPr/>
            </w:pPr>
            <w:r>
              <w:rPr/>
              <w:t>23</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7" w:type="dxa"/>
            <w:tcBorders/>
            <w:shd w:fill="FFFFFF" w:val="clear"/>
            <w:tcMar>
              <w:top w:w="0" w:type="dxa"/>
              <w:bottom w:w="0" w:type="dxa"/>
            </w:tcMar>
            <w:vAlign w:val="center"/>
          </w:tcPr>
          <w:p>
            <w:pPr>
              <w:pStyle w:val="TableContents"/>
              <w:bidi w:val="0"/>
              <w:spacing w:before="0" w:after="283"/>
              <w:jc w:val="left"/>
              <w:rPr/>
            </w:pPr>
            <w:r>
              <w:rPr/>
              <w:t> </w:t>
            </w:r>
          </w:p>
        </w:tc>
        <w:tc>
          <w:tcPr>
            <w:tcW w:w="873" w:type="dxa"/>
            <w:tcBorders/>
            <w:shd w:fill="FFFFFF" w:val="clear"/>
            <w:tcMar>
              <w:top w:w="0" w:type="dxa"/>
              <w:bottom w:w="0" w:type="dxa"/>
            </w:tcMar>
            <w:vAlign w:val="center"/>
          </w:tcPr>
          <w:p>
            <w:pPr>
              <w:pStyle w:val="TableContents"/>
              <w:bidi w:val="0"/>
              <w:spacing w:before="0" w:after="283"/>
              <w:jc w:val="right"/>
              <w:rPr/>
            </w:pPr>
            <w:r>
              <w:rPr/>
              <w:t>(18</w:t>
            </w:r>
          </w:p>
        </w:tc>
        <w:tc>
          <w:tcPr>
            <w:tcW w:w="21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b/>
              </w:rPr>
            </w:pPr>
            <w:r>
              <w:rPr>
                <w:b/>
              </w:rPr>
              <w:t>(721</w:t>
            </w:r>
          </w:p>
        </w:tc>
        <w:tc>
          <w:tcPr>
            <w:tcW w:w="9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(491</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(230</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37" w:type="dxa"/>
            <w:tcBorders/>
            <w:shd w:fill="FFFFFF" w:val="clear"/>
            <w:tcMar>
              <w:top w:w="0" w:type="dxa"/>
              <w:bottom w:w="0" w:type="dxa"/>
            </w:tcMar>
            <w:vAlign w:val="center"/>
          </w:tcPr>
          <w:p>
            <w:pPr>
              <w:pStyle w:val="TableContents"/>
              <w:bidi w:val="0"/>
              <w:spacing w:before="0" w:after="283"/>
              <w:jc w:val="left"/>
              <w:rPr/>
            </w:pPr>
            <w:r>
              <w:rPr/>
              <w:t> </w:t>
            </w:r>
          </w:p>
        </w:tc>
        <w:tc>
          <w:tcPr>
            <w:tcW w:w="873" w:type="dxa"/>
            <w:tcBorders/>
            <w:shd w:fill="FFFFFF" w:val="clear"/>
            <w:tcMar>
              <w:top w:w="0" w:type="dxa"/>
              <w:bottom w:w="0" w:type="dxa"/>
            </w:tcMar>
            <w:vAlign w:val="center"/>
          </w:tcPr>
          <w:p>
            <w:pPr>
              <w:pStyle w:val="TableContents"/>
              <w:bidi w:val="0"/>
              <w:spacing w:before="0" w:after="283"/>
              <w:jc w:val="right"/>
              <w:rPr/>
            </w:pPr>
            <w:r>
              <w:rPr/>
              <w:t>47</w:t>
            </w:r>
          </w:p>
        </w:tc>
        <w:tc>
          <w:tcPr>
            <w:tcW w:w="230" w:type="dxa"/>
            <w:tcBorders/>
            <w:shd w:fill="FFFFFF" w:val="clear"/>
            <w:tcMar>
              <w:top w:w="0" w:type="dxa"/>
              <w:bottom w:w="0" w:type="dxa"/>
            </w:tcMar>
            <w:vAlign w:val="center"/>
          </w:tcPr>
          <w:p>
            <w:pPr>
              <w:pStyle w:val="TableContents"/>
              <w:bidi w:val="0"/>
              <w:spacing w:before="0" w:after="283"/>
              <w:ind w:left="0" w:right="0" w:hanging="180"/>
              <w:jc w:val="left"/>
              <w:rPr/>
            </w:pPr>
            <w:r>
              <w:rPr/>
              <w:t>%</w:t>
            </w:r>
          </w:p>
        </w:tc>
      </w:tr>
      <w:tr>
        <w:trPr/>
        <w:tc>
          <w:tcPr>
            <w:tcW w:w="191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Sales tax recovery - other general and administrative expenses</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55"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w:t>
            </w:r>
          </w:p>
        </w:tc>
        <w:tc>
          <w:tcPr>
            <w:tcW w:w="21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top w:w="0" w:type="dxa"/>
              <w:bottom w:w="30" w:type="dxa"/>
            </w:tcMar>
            <w:vAlign w:val="center"/>
          </w:tcPr>
          <w:p>
            <w:pPr>
              <w:pStyle w:val="TableContents"/>
              <w:bidi w:val="0"/>
              <w:spacing w:before="0" w:after="283"/>
              <w:jc w:val="right"/>
              <w:rPr>
                <w:b/>
              </w:rPr>
            </w:pPr>
            <w:r>
              <w:rPr>
                <w:b/>
              </w:rPr>
              <w:t>753</w:t>
            </w:r>
          </w:p>
        </w:tc>
        <w:tc>
          <w:tcPr>
            <w:tcW w:w="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753</w:t>
            </w:r>
          </w:p>
        </w:tc>
        <w:tc>
          <w:tcPr>
            <w:tcW w:w="95"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top w:w="0" w:type="dxa"/>
              <w:bottom w:w="30"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top w:w="0" w:type="dxa"/>
              <w:bottom w:w="30" w:type="dxa"/>
            </w:tcMar>
            <w:vAlign w:val="center"/>
          </w:tcPr>
          <w:p>
            <w:pPr>
              <w:pStyle w:val="TableContents"/>
              <w:bidi w:val="0"/>
              <w:spacing w:before="0" w:after="283"/>
              <w:jc w:val="right"/>
              <w:rPr/>
            </w:pPr>
            <w:r>
              <w:rPr/>
              <w:t>100</w:t>
            </w:r>
          </w:p>
        </w:tc>
        <w:tc>
          <w:tcPr>
            <w:tcW w:w="230" w:type="dxa"/>
            <w:tcBorders>
              <w:bottom w:val="single" w:sz="8" w:space="0" w:color="000000"/>
            </w:tcBorders>
            <w:shd w:fill="CCEEFF" w:val="clear"/>
            <w:tcMar>
              <w:top w:w="0" w:type="dxa"/>
              <w:bottom w:w="30" w:type="dxa"/>
            </w:tcMar>
            <w:vAlign w:val="center"/>
          </w:tcPr>
          <w:p>
            <w:pPr>
              <w:pStyle w:val="TableContents"/>
              <w:bidi w:val="0"/>
              <w:spacing w:before="0" w:after="283"/>
              <w:ind w:left="0" w:right="0" w:hanging="180"/>
              <w:jc w:val="left"/>
              <w:rPr/>
            </w:pPr>
            <w:r>
              <w:rPr/>
              <w:t>%</w:t>
            </w:r>
          </w:p>
        </w:tc>
      </w:tr>
      <w:tr>
        <w:trPr/>
        <w:tc>
          <w:tcPr>
            <w:tcW w:w="191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top w:w="0" w:type="dxa"/>
              <w:bottom w:w="30" w:type="dxa"/>
            </w:tcMar>
            <w:vAlign w:val="center"/>
          </w:tcPr>
          <w:p>
            <w:pPr>
              <w:pStyle w:val="TableContents"/>
              <w:bidi w:val="0"/>
              <w:spacing w:before="0" w:after="283"/>
              <w:jc w:val="right"/>
              <w:rPr>
                <w:b/>
              </w:rPr>
            </w:pPr>
            <w:r>
              <w:rPr>
                <w:b/>
              </w:rPr>
              <w:t>(18,042</w:t>
            </w:r>
          </w:p>
        </w:tc>
        <w:tc>
          <w:tcPr>
            <w:tcW w:w="95" w:type="dxa"/>
            <w:tcBorders>
              <w:bottom w:val="single" w:sz="12"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(13,405</w:t>
            </w:r>
          </w:p>
        </w:tc>
        <w:tc>
          <w:tcPr>
            <w:tcW w:w="9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(4,637</w:t>
            </w:r>
          </w:p>
        </w:tc>
        <w:tc>
          <w:tcPr>
            <w:tcW w:w="9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35</w:t>
            </w:r>
          </w:p>
        </w:tc>
        <w:tc>
          <w:tcPr>
            <w:tcW w:w="21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top w:w="0" w:type="dxa"/>
              <w:bottom w:w="30" w:type="dxa"/>
            </w:tcMar>
            <w:vAlign w:val="center"/>
          </w:tcPr>
          <w:p>
            <w:pPr>
              <w:pStyle w:val="TableContents"/>
              <w:bidi w:val="0"/>
              <w:spacing w:before="0" w:after="283"/>
              <w:jc w:val="right"/>
              <w:rPr>
                <w:b/>
              </w:rPr>
            </w:pPr>
            <w:r>
              <w:rPr>
                <w:b/>
              </w:rPr>
              <w:t>(71,240</w:t>
            </w:r>
          </w:p>
        </w:tc>
        <w:tc>
          <w:tcPr>
            <w:tcW w:w="95" w:type="dxa"/>
            <w:tcBorders>
              <w:bottom w:val="single" w:sz="12" w:space="0" w:color="000000"/>
            </w:tcBorders>
            <w:shd w:fill="FFFFFF" w:val="clear"/>
            <w:tcMar>
              <w:top w:w="0" w:type="dxa"/>
              <w:bottom w:w="30" w:type="dxa"/>
            </w:tcMar>
            <w:vAlign w:val="center"/>
          </w:tcPr>
          <w:p>
            <w:pPr>
              <w:pStyle w:val="TableContents"/>
              <w:bidi w:val="0"/>
              <w:spacing w:before="0" w:after="283"/>
              <w:jc w:val="left"/>
              <w:rPr>
                <w:b/>
              </w:rPr>
            </w:pPr>
            <w:r>
              <w:rPr>
                <w:b/>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(39,292</w:t>
            </w:r>
          </w:p>
        </w:tc>
        <w:tc>
          <w:tcPr>
            <w:tcW w:w="9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(31,948</w:t>
            </w:r>
          </w:p>
        </w:tc>
        <w:tc>
          <w:tcPr>
            <w:tcW w:w="95"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top w:w="0" w:type="dxa"/>
              <w:bottom w:w="30" w:type="dxa"/>
            </w:tcMar>
            <w:vAlign w:val="center"/>
          </w:tcPr>
          <w:p>
            <w:pPr>
              <w:pStyle w:val="TableContents"/>
              <w:bidi w:val="0"/>
              <w:spacing w:before="0" w:after="283"/>
              <w:jc w:val="right"/>
              <w:rPr/>
            </w:pPr>
            <w:r>
              <w:rPr/>
              <w:t>81</w:t>
            </w:r>
          </w:p>
        </w:tc>
        <w:tc>
          <w:tcPr>
            <w:tcW w:w="230" w:type="dxa"/>
            <w:tcBorders>
              <w:bottom w:val="single" w:sz="12" w:space="0" w:color="000000"/>
            </w:tcBorders>
            <w:shd w:fill="FFFFFF" w:val="clear"/>
            <w:tcMar>
              <w:top w:w="0" w:type="dxa"/>
              <w:bottom w:w="30"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25 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13"/>
        <w:gridCol w:w="9618"/>
      </w:tblGrid>
      <w:tr>
        <w:trPr/>
        <w:tc>
          <w:tcPr>
            <w:tcW w:w="7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b/>
              </w:rPr>
            </w:pPr>
            <w:r>
              <w:rPr>
                <w:b/>
              </w:rPr>
              <w:t>C.</w:t>
            </w:r>
          </w:p>
        </w:tc>
        <w:tc>
          <w:tcPr>
            <w:tcW w:w="9618" w:type="dxa"/>
            <w:tcBorders/>
            <w:vAlign w:val="center"/>
          </w:tcPr>
          <w:p>
            <w:pPr>
              <w:pStyle w:val="TableContents"/>
              <w:bidi w:val="0"/>
              <w:spacing w:before="0" w:after="283"/>
              <w:jc w:val="both"/>
              <w:rPr/>
            </w:pPr>
            <w:r>
              <w:rPr>
                <w:b/>
              </w:rPr>
              <w:t xml:space="preserve">General &amp; Administrative Expenses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Q4 2024 v. Q4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general and administrative (“G&amp;A”) expenses were $18.0 million in Q4 2024, compared to $13.4 million for Q4 2023. The increase of $4.6 million, or 35%, in G&amp;A expense was largely due to:</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$2.9 million increase in professional services related to legal and accounting fees associated with non-recurring activities including the Stronghold Transaction and related filing fees.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$1.0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 2024, Bitfarms’ G&amp;A expenses were $71.2 million, compared to $39.3 million for the same period in 2023. The increase of $31.9 million, or 81%, in G&amp;A expenses was mainly due to:</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 $16.7 million increase in professional services related to legal and accounting fees associated with non-recurring activities including (i) the Stronghold Transaction, (ii) the Strategic Alternatives Review Process conducted by the Bitfarms Special Committee (as defined in Section 19 - </w:t>
            </w:r>
            <w:r>
              <w:rPr>
                <w:i/>
              </w:rPr>
              <w:t>Risk Factors (The Company’s business could be negatively impacted by unsolicited investor interest, takeover proposals, shareholder activism or proxy contests relating to the election of directors.)</w:t>
            </w:r>
            <w:r>
              <w:rPr/>
              <w:t xml:space="preserve">) during the third quarter of 2024, (iii) the response to the shareholder dispute involving Riot, including with respect to the implementation and defense of the shareholder rights plan adopted by the Company on June 20, 2024 and the Company entering into the Settlement Agreement, and (iv) the settlement of the employment claim against the Company brought by the Company’s former CEO. During the third quarter of 2024, the Company entered into the Settlement Agreement with Riot, whereby Riot agreed to, among other things, withdraw its June 24, 2024 requisition (see Section 19 - </w:t>
            </w:r>
            <w:r>
              <w:rPr>
                <w:i/>
              </w:rPr>
              <w:t>Risk Factors (The Company’s business could be negatively impacted by unsolicited investor interest, takeover proposals, shareholder activism or proxy contests relating to the election of directors.)</w:t>
            </w:r>
            <w:r>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$9.8 million increase in salaries and wages due to (i) the increase in the Company’s headcount in FY 2024 compared to FY 2023 to support the global expansion as well as merit and market-based adjustments and cost of living salary increases and (ii) the termination payment under the former CEO’s employment agreement totaling $1.6 million which was paid in the second quarter of 2024 after the former CEO’s departure and a final settlement payment of $2.5 million paid in the third quarter of 2024, ending any outstanding litigation or claims.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$3.7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$3.0 million increase in share-based payment due to higher outstanding stock options and restricted stock units (“RSU”) during FY 2024 compared to FY 2023.</w:t>
            </w:r>
          </w:p>
        </w:tc>
      </w:tr>
    </w:tbl>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increases were partially offset by:</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 $2.1 million sales tax recovery due to the Company receiving a confirmation from the provincial tax authorities that Canadian sales taxes paid by the Company from February 5, 2022 onwards are refundable as explained in Section 8b - </w:t>
            </w:r>
            <w:r>
              <w:rPr>
                <w:i/>
              </w:rPr>
              <w:t>Financial Performance</w:t>
            </w:r>
            <w:r>
              <w:rPr/>
              <w:t xml:space="preserve"> (</w:t>
            </w:r>
            <w:r>
              <w:rPr>
                <w:i/>
              </w:rPr>
              <w:t>Cost of Revenues</w:t>
            </w:r>
            <w:r>
              <w:rPr/>
              <w:t>).</w:t>
            </w:r>
          </w:p>
        </w:tc>
      </w:tr>
    </w:tbl>
    <w:p>
      <w:pPr>
        <w:pStyle w:val="TextBody"/>
        <w:bidi w:val="0"/>
        <w:spacing w:before="0" w:after="283"/>
        <w:jc w:val="left"/>
        <w:rPr/>
      </w:pPr>
      <w:r>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26 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283"/>
              <w:jc w:val="left"/>
              <w:rPr>
                <w:b/>
              </w:rPr>
            </w:pPr>
            <w:r>
              <w:rPr>
                <w:b/>
              </w:rPr>
              <w:t>D.</w:t>
            </w:r>
          </w:p>
        </w:tc>
        <w:tc>
          <w:tcPr>
            <w:tcW w:w="3200" w:type="dxa"/>
            <w:tcBorders/>
            <w:vAlign w:val="center"/>
          </w:tcPr>
          <w:p>
            <w:pPr>
              <w:pStyle w:val="TableContents"/>
              <w:bidi w:val="0"/>
              <w:spacing w:before="0" w:after="283"/>
              <w:jc w:val="left"/>
              <w:rPr>
                <w:b/>
              </w:rPr>
            </w:pPr>
            <w:r>
              <w:rPr>
                <w:b/>
              </w:rPr>
              <w:t>Net financial income (expenses)</w:t>
            </w:r>
          </w:p>
        </w:tc>
      </w:tr>
      <w:tr>
        <w:trPr/>
        <w:tc>
          <w:tcPr>
            <w:tcW w:w="2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0" w:type="dxa"/>
          <w:bottom w:w="28" w:type="dxa"/>
          <w:right w:w="0" w:type="dxa"/>
        </w:tblCellMar>
      </w:tblPr>
      <w:tblGrid>
        <w:gridCol w:w="1693"/>
        <w:gridCol w:w="60"/>
        <w:gridCol w:w="60"/>
        <w:gridCol w:w="683"/>
        <w:gridCol w:w="95"/>
        <w:gridCol w:w="60"/>
        <w:gridCol w:w="60"/>
        <w:gridCol w:w="758"/>
        <w:gridCol w:w="95"/>
        <w:gridCol w:w="60"/>
        <w:gridCol w:w="75"/>
        <w:gridCol w:w="860"/>
        <w:gridCol w:w="95"/>
        <w:gridCol w:w="60"/>
        <w:gridCol w:w="117"/>
        <w:gridCol w:w="893"/>
        <w:gridCol w:w="218"/>
        <w:gridCol w:w="60"/>
        <w:gridCol w:w="60"/>
        <w:gridCol w:w="680"/>
        <w:gridCol w:w="95"/>
        <w:gridCol w:w="60"/>
        <w:gridCol w:w="60"/>
        <w:gridCol w:w="755"/>
        <w:gridCol w:w="95"/>
        <w:gridCol w:w="60"/>
        <w:gridCol w:w="68"/>
        <w:gridCol w:w="867"/>
        <w:gridCol w:w="95"/>
        <w:gridCol w:w="60"/>
        <w:gridCol w:w="117"/>
        <w:gridCol w:w="893"/>
        <w:gridCol w:w="238"/>
      </w:tblGrid>
      <w:tr>
        <w:trPr/>
        <w:tc>
          <w:tcPr>
            <w:tcW w:w="1693" w:type="dxa"/>
            <w:tcBorders>
              <w:top w:val="single" w:sz="8" w:space="0" w:color="000000"/>
              <w:bottom w:val="single" w:sz="8" w:space="0" w:color="000000"/>
            </w:tcBorders>
            <w:vAlign w:val="center"/>
          </w:tcPr>
          <w:p>
            <w:pPr>
              <w:pStyle w:val="TableContents"/>
              <w:bidi w:val="0"/>
              <w:spacing w:before="0" w:after="283"/>
              <w:ind w:left="0" w:right="0" w:hanging="180"/>
              <w:jc w:val="left"/>
              <w:rPr/>
            </w:pPr>
            <w:r>
              <w:rPr/>
              <w:t> </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3971" w:type="dxa"/>
            <w:gridSpan w:val="14"/>
            <w:tcBorders>
              <w:top w:val="single" w:sz="8" w:space="0" w:color="000000"/>
              <w:bottom w:val="single" w:sz="8" w:space="0" w:color="000000"/>
            </w:tcBorders>
            <w:vAlign w:val="center"/>
          </w:tcPr>
          <w:p>
            <w:pPr>
              <w:pStyle w:val="TableContents"/>
              <w:bidi w:val="0"/>
              <w:spacing w:before="0" w:after="283"/>
              <w:jc w:val="center"/>
              <w:rPr>
                <w:b/>
              </w:rPr>
            </w:pPr>
            <w:r>
              <w:rPr>
                <w:b/>
              </w:rPr>
              <w:t>Three months ended December 31,</w:t>
            </w:r>
          </w:p>
        </w:tc>
        <w:tc>
          <w:tcPr>
            <w:tcW w:w="218"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3965" w:type="dxa"/>
            <w:gridSpan w:val="14"/>
            <w:tcBorders>
              <w:top w:val="single" w:sz="8" w:space="0" w:color="000000"/>
              <w:bottom w:val="single" w:sz="8" w:space="0" w:color="000000"/>
            </w:tcBorders>
            <w:vAlign w:val="center"/>
          </w:tcPr>
          <w:p>
            <w:pPr>
              <w:pStyle w:val="TableContents"/>
              <w:bidi w:val="0"/>
              <w:spacing w:before="0" w:after="283"/>
              <w:jc w:val="center"/>
              <w:rPr>
                <w:b/>
              </w:rPr>
            </w:pPr>
            <w:r>
              <w:rPr>
                <w:b/>
              </w:rPr>
              <w:t>Year ended December 31,</w:t>
            </w:r>
          </w:p>
        </w:tc>
        <w:tc>
          <w:tcPr>
            <w:tcW w:w="238" w:type="dxa"/>
            <w:tcBorders>
              <w:top w:val="single" w:sz="8" w:space="0" w:color="000000"/>
              <w:bottom w:val="single" w:sz="8" w:space="0" w:color="000000"/>
            </w:tcBorders>
            <w:vAlign w:val="center"/>
          </w:tcPr>
          <w:p>
            <w:pPr>
              <w:pStyle w:val="TableContents"/>
              <w:bidi w:val="0"/>
              <w:spacing w:before="0" w:after="283"/>
              <w:ind w:left="0" w:right="0" w:hanging="180"/>
              <w:jc w:val="left"/>
              <w:rPr/>
            </w:pPr>
            <w:r>
              <w:rPr/>
              <w:t> </w:t>
            </w:r>
          </w:p>
        </w:tc>
      </w:tr>
      <w:tr>
        <w:trPr/>
        <w:tc>
          <w:tcPr>
            <w:tcW w:w="1693" w:type="dxa"/>
            <w:tcBorders>
              <w:bottom w:val="single" w:sz="8" w:space="0" w:color="000000"/>
            </w:tcBorders>
            <w:tcMar>
              <w:top w:w="0" w:type="dxa"/>
            </w:tcMar>
            <w:vAlign w:val="center"/>
          </w:tcPr>
          <w:p>
            <w:pPr>
              <w:pStyle w:val="TableContents"/>
              <w:bidi w:val="0"/>
              <w:spacing w:before="0" w:after="283"/>
              <w:jc w:val="left"/>
              <w:rPr/>
            </w:pPr>
            <w:r>
              <w:rPr/>
              <w:t>(U.S.$ in thousands except where indicated)</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43" w:type="dxa"/>
            <w:gridSpan w:val="2"/>
            <w:tcBorders>
              <w:bottom w:val="single" w:sz="8" w:space="0" w:color="000000"/>
            </w:tcBorders>
            <w:tcMar>
              <w:top w:w="0" w:type="dxa"/>
            </w:tcMar>
            <w:vAlign w:val="center"/>
          </w:tcPr>
          <w:p>
            <w:pPr>
              <w:pStyle w:val="TableContents"/>
              <w:bidi w:val="0"/>
              <w:spacing w:before="0" w:after="283"/>
              <w:jc w:val="right"/>
              <w:rPr>
                <w:b/>
              </w:rPr>
            </w:pPr>
            <w:r>
              <w:rPr>
                <w:b/>
              </w:rPr>
              <w:t>2024</w:t>
            </w:r>
          </w:p>
        </w:tc>
        <w:tc>
          <w:tcPr>
            <w:tcW w:w="95"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18" w:type="dxa"/>
            <w:gridSpan w:val="2"/>
            <w:tcBorders>
              <w:bottom w:val="single" w:sz="8" w:space="0" w:color="000000"/>
            </w:tcBorders>
            <w:tcMar>
              <w:top w:w="0" w:type="dxa"/>
            </w:tcMar>
            <w:vAlign w:val="center"/>
          </w:tcPr>
          <w:p>
            <w:pPr>
              <w:pStyle w:val="TableContents"/>
              <w:bidi w:val="0"/>
              <w:spacing w:before="0" w:after="283"/>
              <w:jc w:val="right"/>
              <w:rPr/>
            </w:pPr>
            <w:r>
              <w:rPr/>
              <w:t>2023</w:t>
            </w:r>
          </w:p>
        </w:tc>
        <w:tc>
          <w:tcPr>
            <w:tcW w:w="95"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top w:w="0" w:type="dxa"/>
            </w:tcMar>
            <w:vAlign w:val="center"/>
          </w:tcPr>
          <w:p>
            <w:pPr>
              <w:pStyle w:val="TableContents"/>
              <w:bidi w:val="0"/>
              <w:spacing w:before="0" w:after="283"/>
              <w:jc w:val="right"/>
              <w:rPr/>
            </w:pPr>
            <w:r>
              <w:rPr/>
              <w:t>$ Change</w:t>
            </w:r>
          </w:p>
        </w:tc>
        <w:tc>
          <w:tcPr>
            <w:tcW w:w="95"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top w:w="0" w:type="dxa"/>
            </w:tcMar>
            <w:vAlign w:val="center"/>
          </w:tcPr>
          <w:p>
            <w:pPr>
              <w:pStyle w:val="TableContents"/>
              <w:bidi w:val="0"/>
              <w:spacing w:before="0" w:after="283"/>
              <w:jc w:val="right"/>
              <w:rPr/>
            </w:pPr>
            <w:r>
              <w:rPr/>
              <w:t>% Change</w:t>
            </w:r>
          </w:p>
        </w:tc>
        <w:tc>
          <w:tcPr>
            <w:tcW w:w="218"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tcMar>
              <w:top w:w="0" w:type="dxa"/>
            </w:tcMar>
            <w:vAlign w:val="center"/>
          </w:tcPr>
          <w:p>
            <w:pPr>
              <w:pStyle w:val="TableContents"/>
              <w:bidi w:val="0"/>
              <w:spacing w:before="0" w:after="283"/>
              <w:jc w:val="right"/>
              <w:rPr>
                <w:b/>
              </w:rPr>
            </w:pPr>
            <w:r>
              <w:rPr>
                <w:b/>
              </w:rPr>
              <w:t>2024</w:t>
            </w:r>
          </w:p>
        </w:tc>
        <w:tc>
          <w:tcPr>
            <w:tcW w:w="95"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top w:w="0" w:type="dxa"/>
            </w:tcMar>
            <w:vAlign w:val="center"/>
          </w:tcPr>
          <w:p>
            <w:pPr>
              <w:pStyle w:val="TableContents"/>
              <w:bidi w:val="0"/>
              <w:spacing w:before="0" w:after="283"/>
              <w:jc w:val="right"/>
              <w:rPr/>
            </w:pPr>
            <w:r>
              <w:rPr/>
              <w:t>2023</w:t>
            </w:r>
          </w:p>
        </w:tc>
        <w:tc>
          <w:tcPr>
            <w:tcW w:w="95"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top w:w="0" w:type="dxa"/>
            </w:tcMar>
            <w:vAlign w:val="center"/>
          </w:tcPr>
          <w:p>
            <w:pPr>
              <w:pStyle w:val="TableContents"/>
              <w:bidi w:val="0"/>
              <w:spacing w:before="0" w:after="283"/>
              <w:jc w:val="right"/>
              <w:rPr/>
            </w:pPr>
            <w:r>
              <w:rPr/>
              <w:t>$ Change</w:t>
            </w:r>
          </w:p>
        </w:tc>
        <w:tc>
          <w:tcPr>
            <w:tcW w:w="95"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top w:w="0" w:type="dxa"/>
            </w:tcMar>
            <w:vAlign w:val="center"/>
          </w:tcPr>
          <w:p>
            <w:pPr>
              <w:pStyle w:val="TableContents"/>
              <w:bidi w:val="0"/>
              <w:spacing w:before="0" w:after="283"/>
              <w:jc w:val="right"/>
              <w:rPr/>
            </w:pPr>
            <w:r>
              <w:rPr/>
              <w:t>% Change</w:t>
            </w:r>
          </w:p>
        </w:tc>
        <w:tc>
          <w:tcPr>
            <w:tcW w:w="238" w:type="dxa"/>
            <w:tcBorders>
              <w:bottom w:val="single" w:sz="8" w:space="0" w:color="000000"/>
            </w:tcBorders>
            <w:tcMar>
              <w:top w:w="0" w:type="dxa"/>
            </w:tcMar>
            <w:vAlign w:val="center"/>
          </w:tcPr>
          <w:p>
            <w:pPr>
              <w:pStyle w:val="TableContents"/>
              <w:bidi w:val="0"/>
              <w:spacing w:before="0" w:after="283"/>
              <w:ind w:left="0" w:right="0" w:hanging="180"/>
              <w:jc w:val="left"/>
              <w:rPr/>
            </w:pPr>
            <w:r>
              <w:rPr/>
              <w:t> </w:t>
            </w:r>
          </w:p>
        </w:tc>
      </w:tr>
      <w:tr>
        <w:trPr/>
        <w:tc>
          <w:tcPr>
            <w:tcW w:w="1693" w:type="dxa"/>
            <w:tcBorders/>
            <w:shd w:fill="CCEEFF" w:val="clear"/>
            <w:tcMar>
              <w:top w:w="0" w:type="dxa"/>
              <w:bottom w:w="0" w:type="dxa"/>
            </w:tcMar>
            <w:vAlign w:val="center"/>
          </w:tcPr>
          <w:p>
            <w:pPr>
              <w:pStyle w:val="TableContents"/>
              <w:bidi w:val="0"/>
              <w:spacing w:before="0" w:after="283"/>
              <w:jc w:val="left"/>
              <w:rPr/>
            </w:pPr>
            <w:r>
              <w:rPr/>
              <w:t>Gain (loss) revaluation of warrants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3" w:type="dxa"/>
            <w:tcBorders/>
            <w:shd w:fill="CCEEFF" w:val="clear"/>
            <w:tcMar>
              <w:top w:w="0" w:type="dxa"/>
              <w:bottom w:w="0" w:type="dxa"/>
            </w:tcMar>
            <w:vAlign w:val="center"/>
          </w:tcPr>
          <w:p>
            <w:pPr>
              <w:pStyle w:val="TableContents"/>
              <w:bidi w:val="0"/>
              <w:spacing w:before="0" w:after="283"/>
              <w:jc w:val="right"/>
              <w:rPr>
                <w:b/>
              </w:rPr>
            </w:pPr>
            <w:r>
              <w:rPr>
                <w:b/>
              </w:rPr>
              <w:t>6,314</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8" w:type="dxa"/>
            <w:tcBorders/>
            <w:shd w:fill="CCEEFF" w:val="clear"/>
            <w:tcMar>
              <w:top w:w="0" w:type="dxa"/>
              <w:bottom w:w="0" w:type="dxa"/>
            </w:tcMar>
            <w:vAlign w:val="center"/>
          </w:tcPr>
          <w:p>
            <w:pPr>
              <w:pStyle w:val="TableContents"/>
              <w:bidi w:val="0"/>
              <w:spacing w:before="0" w:after="283"/>
              <w:jc w:val="right"/>
              <w:rPr/>
            </w:pPr>
            <w:r>
              <w:rPr/>
              <w:t>(42,760</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49,074</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115</w:t>
            </w:r>
          </w:p>
        </w:tc>
        <w:tc>
          <w:tcPr>
            <w:tcW w:w="218"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0" w:type="dxa"/>
            <w:tcBorders/>
            <w:shd w:fill="CCEEFF" w:val="clear"/>
            <w:tcMar>
              <w:top w:w="0" w:type="dxa"/>
              <w:bottom w:w="0" w:type="dxa"/>
            </w:tcMar>
            <w:vAlign w:val="center"/>
          </w:tcPr>
          <w:p>
            <w:pPr>
              <w:pStyle w:val="TableContents"/>
              <w:bidi w:val="0"/>
              <w:spacing w:before="0" w:after="283"/>
              <w:jc w:val="right"/>
              <w:rPr>
                <w:b/>
              </w:rPr>
            </w:pPr>
            <w:r>
              <w:rPr>
                <w:b/>
              </w:rPr>
              <w:t>19,603</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(42,974</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62,577</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146</w:t>
            </w:r>
          </w:p>
        </w:tc>
        <w:tc>
          <w:tcPr>
            <w:tcW w:w="238"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693" w:type="dxa"/>
            <w:tcBorders/>
            <w:shd w:fill="FFFFFF" w:val="clear"/>
            <w:tcMar>
              <w:top w:w="0" w:type="dxa"/>
              <w:bottom w:w="0" w:type="dxa"/>
            </w:tcMar>
            <w:vAlign w:val="center"/>
          </w:tcPr>
          <w:p>
            <w:pPr>
              <w:pStyle w:val="TableContents"/>
              <w:bidi w:val="0"/>
              <w:spacing w:before="0" w:after="283"/>
              <w:jc w:val="left"/>
              <w:rPr/>
            </w:pPr>
            <w:r>
              <w:rPr/>
              <w:t>Gain on derivative assets and liabilities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3" w:type="dxa"/>
            <w:tcBorders/>
            <w:shd w:fill="FFFFFF" w:val="clear"/>
            <w:tcMar>
              <w:top w:w="0" w:type="dxa"/>
              <w:bottom w:w="0" w:type="dxa"/>
            </w:tcMar>
            <w:vAlign w:val="center"/>
          </w:tcPr>
          <w:p>
            <w:pPr>
              <w:pStyle w:val="TableContents"/>
              <w:bidi w:val="0"/>
              <w:spacing w:before="0" w:after="283"/>
              <w:jc w:val="right"/>
              <w:rPr>
                <w:b/>
              </w:rPr>
            </w:pPr>
            <w:r>
              <w:rPr>
                <w:b/>
              </w:rPr>
              <w:t>17,542</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8" w:type="dxa"/>
            <w:tcBorders/>
            <w:shd w:fill="FFFFFF" w:val="clear"/>
            <w:tcMar>
              <w:top w:w="0" w:type="dxa"/>
              <w:bottom w:w="0" w:type="dxa"/>
            </w:tcMar>
            <w:vAlign w:val="center"/>
          </w:tcPr>
          <w:p>
            <w:pPr>
              <w:pStyle w:val="TableContents"/>
              <w:bidi w:val="0"/>
              <w:spacing w:before="0" w:after="283"/>
              <w:jc w:val="right"/>
              <w:rPr/>
            </w:pPr>
            <w:r>
              <w:rPr/>
              <w:t>228</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 w:type="dxa"/>
            <w:tcBorders/>
            <w:shd w:fill="FFFFFF" w:val="clear"/>
            <w:tcMar>
              <w:top w:w="0" w:type="dxa"/>
              <w:bottom w:w="0" w:type="dxa"/>
            </w:tcMar>
            <w:vAlign w:val="center"/>
          </w:tcPr>
          <w:p>
            <w:pPr>
              <w:pStyle w:val="TableContents"/>
              <w:bidi w:val="0"/>
              <w:spacing w:before="0" w:after="283"/>
              <w:jc w:val="left"/>
              <w:rPr/>
            </w:pPr>
            <w:r>
              <w:rPr/>
              <w:t> </w:t>
            </w:r>
          </w:p>
        </w:tc>
        <w:tc>
          <w:tcPr>
            <w:tcW w:w="860" w:type="dxa"/>
            <w:tcBorders/>
            <w:shd w:fill="FFFFFF" w:val="clear"/>
            <w:tcMar>
              <w:top w:w="0" w:type="dxa"/>
              <w:bottom w:w="0" w:type="dxa"/>
            </w:tcMar>
            <w:vAlign w:val="center"/>
          </w:tcPr>
          <w:p>
            <w:pPr>
              <w:pStyle w:val="TableContents"/>
              <w:bidi w:val="0"/>
              <w:spacing w:before="0" w:after="283"/>
              <w:jc w:val="right"/>
              <w:rPr/>
            </w:pPr>
            <w:r>
              <w:rPr/>
              <w:t>17,314</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18"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b/>
              </w:rPr>
            </w:pPr>
            <w:r>
              <w:rPr>
                <w:b/>
              </w:rPr>
              <w:t>17,819</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48</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17,771</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8" w:type="dxa"/>
            <w:tcBorders/>
            <w:shd w:fill="FFFFFF" w:val="clear"/>
            <w:tcMar>
              <w:top w:w="0" w:type="dxa"/>
              <w:bottom w:w="0" w:type="dxa"/>
            </w:tcMar>
            <w:vAlign w:val="center"/>
          </w:tcPr>
          <w:p>
            <w:pPr>
              <w:pStyle w:val="TableContents"/>
              <w:bidi w:val="0"/>
              <w:spacing w:before="0" w:after="283"/>
              <w:ind w:left="0" w:right="0" w:hanging="180"/>
              <w:jc w:val="left"/>
              <w:rPr/>
            </w:pPr>
            <w:r>
              <w:rPr/>
              <w:t> </w:t>
            </w:r>
          </w:p>
        </w:tc>
      </w:tr>
      <w:tr>
        <w:trPr/>
        <w:tc>
          <w:tcPr>
            <w:tcW w:w="1693" w:type="dxa"/>
            <w:tcBorders/>
            <w:shd w:fill="CCEEFF" w:val="clear"/>
            <w:tcMar>
              <w:top w:w="0" w:type="dxa"/>
              <w:bottom w:w="0" w:type="dxa"/>
            </w:tcMar>
            <w:vAlign w:val="center"/>
          </w:tcPr>
          <w:p>
            <w:pPr>
              <w:pStyle w:val="TableContents"/>
              <w:bidi w:val="0"/>
              <w:spacing w:before="0" w:after="283"/>
              <w:jc w:val="left"/>
              <w:rPr/>
            </w:pPr>
            <w:r>
              <w:rPr/>
              <w:t>Gain on disposition of marketable securities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3" w:type="dxa"/>
            <w:tcBorders/>
            <w:shd w:fill="CCEEFF" w:val="clear"/>
            <w:tcMar>
              <w:top w:w="0" w:type="dxa"/>
              <w:bottom w:w="0" w:type="dxa"/>
            </w:tcMar>
            <w:vAlign w:val="center"/>
          </w:tcPr>
          <w:p>
            <w:pPr>
              <w:pStyle w:val="TableContents"/>
              <w:bidi w:val="0"/>
              <w:spacing w:before="0" w:after="283"/>
              <w:jc w:val="right"/>
              <w:rPr>
                <w:b/>
              </w:rPr>
            </w:pPr>
            <w:r>
              <w:rPr>
                <w:b/>
              </w:rPr>
              <w:t>782</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8" w:type="dxa"/>
            <w:tcBorders/>
            <w:shd w:fill="CCEEFF" w:val="clear"/>
            <w:tcMar>
              <w:top w:w="0" w:type="dxa"/>
              <w:bottom w:w="0" w:type="dxa"/>
            </w:tcMar>
            <w:vAlign w:val="center"/>
          </w:tcPr>
          <w:p>
            <w:pPr>
              <w:pStyle w:val="TableContents"/>
              <w:bidi w:val="0"/>
              <w:spacing w:before="0" w:after="283"/>
              <w:jc w:val="right"/>
              <w:rPr/>
            </w:pPr>
            <w:r>
              <w:rPr/>
              <w:t>999</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(217</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(22</w:t>
            </w:r>
          </w:p>
        </w:tc>
        <w:tc>
          <w:tcPr>
            <w:tcW w:w="218"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0" w:type="dxa"/>
            <w:tcBorders/>
            <w:shd w:fill="CCEEFF" w:val="clear"/>
            <w:tcMar>
              <w:top w:w="0" w:type="dxa"/>
              <w:bottom w:w="0" w:type="dxa"/>
            </w:tcMar>
            <w:vAlign w:val="center"/>
          </w:tcPr>
          <w:p>
            <w:pPr>
              <w:pStyle w:val="TableContents"/>
              <w:bidi w:val="0"/>
              <w:spacing w:before="0" w:after="283"/>
              <w:jc w:val="right"/>
              <w:rPr>
                <w:b/>
              </w:rPr>
            </w:pPr>
            <w:r>
              <w:rPr>
                <w:b/>
              </w:rPr>
              <w:t>2,313</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12,245</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(9,932</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(81</w:t>
            </w:r>
          </w:p>
        </w:tc>
        <w:tc>
          <w:tcPr>
            <w:tcW w:w="238"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693" w:type="dxa"/>
            <w:tcBorders/>
            <w:shd w:fill="FFFFFF" w:val="clear"/>
            <w:tcMar>
              <w:top w:w="0" w:type="dxa"/>
              <w:bottom w:w="0" w:type="dxa"/>
            </w:tcMar>
            <w:vAlign w:val="center"/>
          </w:tcPr>
          <w:p>
            <w:pPr>
              <w:pStyle w:val="TableContents"/>
              <w:bidi w:val="0"/>
              <w:spacing w:before="0" w:after="283"/>
              <w:jc w:val="left"/>
              <w:rPr/>
            </w:pPr>
            <w:r>
              <w:rPr/>
              <w:t>Gain on extinguishment of long-term debt and lease liabilities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3"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8"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 w:type="dxa"/>
            <w:tcBorders/>
            <w:shd w:fill="FFFFFF" w:val="clear"/>
            <w:tcMar>
              <w:top w:w="0" w:type="dxa"/>
              <w:bottom w:w="0" w:type="dxa"/>
            </w:tcMar>
            <w:vAlign w:val="center"/>
          </w:tcPr>
          <w:p>
            <w:pPr>
              <w:pStyle w:val="TableContents"/>
              <w:bidi w:val="0"/>
              <w:spacing w:before="0" w:after="283"/>
              <w:jc w:val="left"/>
              <w:rPr/>
            </w:pPr>
            <w:r>
              <w:rPr/>
              <w:t> </w:t>
            </w:r>
          </w:p>
        </w:tc>
        <w:tc>
          <w:tcPr>
            <w:tcW w:w="860"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w:t>
            </w:r>
          </w:p>
        </w:tc>
        <w:tc>
          <w:tcPr>
            <w:tcW w:w="218"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12,835</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(12,835</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(100</w:t>
            </w:r>
          </w:p>
        </w:tc>
        <w:tc>
          <w:tcPr>
            <w:tcW w:w="238" w:type="dxa"/>
            <w:tcBorders/>
            <w:shd w:fill="FFFFFF" w:val="clear"/>
            <w:tcMar>
              <w:top w:w="0" w:type="dxa"/>
              <w:bottom w:w="0" w:type="dxa"/>
            </w:tcMar>
            <w:vAlign w:val="center"/>
          </w:tcPr>
          <w:p>
            <w:pPr>
              <w:pStyle w:val="TableContents"/>
              <w:bidi w:val="0"/>
              <w:spacing w:before="0" w:after="283"/>
              <w:ind w:left="0" w:right="0" w:hanging="180"/>
              <w:jc w:val="left"/>
              <w:rPr/>
            </w:pPr>
            <w:r>
              <w:rPr/>
              <w:t>)%</w:t>
            </w:r>
          </w:p>
        </w:tc>
      </w:tr>
      <w:tr>
        <w:trPr/>
        <w:tc>
          <w:tcPr>
            <w:tcW w:w="1693" w:type="dxa"/>
            <w:tcBorders/>
            <w:shd w:fill="CCEEFF" w:val="clear"/>
            <w:tcMar>
              <w:top w:w="0" w:type="dxa"/>
              <w:bottom w:w="0" w:type="dxa"/>
            </w:tcMar>
            <w:vAlign w:val="center"/>
          </w:tcPr>
          <w:p>
            <w:pPr>
              <w:pStyle w:val="TableContents"/>
              <w:bidi w:val="0"/>
              <w:spacing w:before="0" w:after="283"/>
              <w:jc w:val="left"/>
              <w:rPr/>
            </w:pPr>
            <w:r>
              <w:rPr/>
              <w:t>Interest income</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3" w:type="dxa"/>
            <w:tcBorders/>
            <w:shd w:fill="CCEEFF" w:val="clear"/>
            <w:tcMar>
              <w:top w:w="0" w:type="dxa"/>
              <w:bottom w:w="0" w:type="dxa"/>
            </w:tcMar>
            <w:vAlign w:val="center"/>
          </w:tcPr>
          <w:p>
            <w:pPr>
              <w:pStyle w:val="TableContents"/>
              <w:bidi w:val="0"/>
              <w:spacing w:before="0" w:after="283"/>
              <w:jc w:val="right"/>
              <w:rPr>
                <w:b/>
              </w:rPr>
            </w:pPr>
            <w:r>
              <w:rPr>
                <w:b/>
              </w:rPr>
              <w:t>863</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8" w:type="dxa"/>
            <w:tcBorders/>
            <w:shd w:fill="CCEEFF" w:val="clear"/>
            <w:tcMar>
              <w:top w:w="0" w:type="dxa"/>
              <w:bottom w:w="0" w:type="dxa"/>
            </w:tcMar>
            <w:vAlign w:val="center"/>
          </w:tcPr>
          <w:p>
            <w:pPr>
              <w:pStyle w:val="TableContents"/>
              <w:bidi w:val="0"/>
              <w:spacing w:before="0" w:after="283"/>
              <w:jc w:val="right"/>
              <w:rPr/>
            </w:pPr>
            <w:r>
              <w:rPr/>
              <w:t>500</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363</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73</w:t>
            </w:r>
          </w:p>
        </w:tc>
        <w:tc>
          <w:tcPr>
            <w:tcW w:w="218"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0" w:type="dxa"/>
            <w:tcBorders/>
            <w:shd w:fill="CCEEFF" w:val="clear"/>
            <w:tcMar>
              <w:top w:w="0" w:type="dxa"/>
              <w:bottom w:w="0" w:type="dxa"/>
            </w:tcMar>
            <w:vAlign w:val="center"/>
          </w:tcPr>
          <w:p>
            <w:pPr>
              <w:pStyle w:val="TableContents"/>
              <w:bidi w:val="0"/>
              <w:spacing w:before="0" w:after="283"/>
              <w:jc w:val="right"/>
              <w:rPr>
                <w:b/>
              </w:rPr>
            </w:pPr>
            <w:r>
              <w:rPr>
                <w:b/>
              </w:rPr>
              <w:t>6,037</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1,420</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4,617</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325</w:t>
            </w:r>
          </w:p>
        </w:tc>
        <w:tc>
          <w:tcPr>
            <w:tcW w:w="238"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693" w:type="dxa"/>
            <w:tcBorders/>
            <w:shd w:fill="FFFFFF" w:val="clear"/>
            <w:tcMar>
              <w:top w:w="0" w:type="dxa"/>
              <w:bottom w:w="0" w:type="dxa"/>
            </w:tcMar>
            <w:vAlign w:val="center"/>
          </w:tcPr>
          <w:p>
            <w:pPr>
              <w:pStyle w:val="TableContents"/>
              <w:bidi w:val="0"/>
              <w:spacing w:before="0" w:after="283"/>
              <w:jc w:val="left"/>
              <w:rPr/>
            </w:pPr>
            <w:r>
              <w:rPr/>
              <w:t>Interest on long-term debt and lease liabilities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3" w:type="dxa"/>
            <w:tcBorders/>
            <w:shd w:fill="FFFFFF" w:val="clear"/>
            <w:tcMar>
              <w:top w:w="0" w:type="dxa"/>
              <w:bottom w:w="0" w:type="dxa"/>
            </w:tcMar>
            <w:vAlign w:val="center"/>
          </w:tcPr>
          <w:p>
            <w:pPr>
              <w:pStyle w:val="TableContents"/>
              <w:bidi w:val="0"/>
              <w:spacing w:before="0" w:after="283"/>
              <w:jc w:val="right"/>
              <w:rPr>
                <w:b/>
              </w:rPr>
            </w:pPr>
            <w:r>
              <w:rPr>
                <w:b/>
              </w:rPr>
              <w:t>(573</w:t>
            </w:r>
          </w:p>
        </w:tc>
        <w:tc>
          <w:tcPr>
            <w:tcW w:w="9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8" w:type="dxa"/>
            <w:tcBorders/>
            <w:shd w:fill="FFFFFF" w:val="clear"/>
            <w:tcMar>
              <w:top w:w="0" w:type="dxa"/>
              <w:bottom w:w="0" w:type="dxa"/>
            </w:tcMar>
            <w:vAlign w:val="center"/>
          </w:tcPr>
          <w:p>
            <w:pPr>
              <w:pStyle w:val="TableContents"/>
              <w:bidi w:val="0"/>
              <w:spacing w:before="0" w:after="283"/>
              <w:jc w:val="right"/>
              <w:rPr/>
            </w:pPr>
            <w:r>
              <w:rPr/>
              <w:t>(621</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 w:type="dxa"/>
            <w:tcBorders/>
            <w:shd w:fill="FFFFFF" w:val="clear"/>
            <w:tcMar>
              <w:top w:w="0" w:type="dxa"/>
              <w:bottom w:w="0" w:type="dxa"/>
            </w:tcMar>
            <w:vAlign w:val="center"/>
          </w:tcPr>
          <w:p>
            <w:pPr>
              <w:pStyle w:val="TableContents"/>
              <w:bidi w:val="0"/>
              <w:spacing w:before="0" w:after="283"/>
              <w:jc w:val="left"/>
              <w:rPr/>
            </w:pPr>
            <w:r>
              <w:rPr/>
              <w:t> </w:t>
            </w:r>
          </w:p>
        </w:tc>
        <w:tc>
          <w:tcPr>
            <w:tcW w:w="860" w:type="dxa"/>
            <w:tcBorders/>
            <w:shd w:fill="FFFFFF" w:val="clear"/>
            <w:tcMar>
              <w:top w:w="0" w:type="dxa"/>
              <w:bottom w:w="0" w:type="dxa"/>
            </w:tcMar>
            <w:vAlign w:val="center"/>
          </w:tcPr>
          <w:p>
            <w:pPr>
              <w:pStyle w:val="TableContents"/>
              <w:bidi w:val="0"/>
              <w:spacing w:before="0" w:after="283"/>
              <w:jc w:val="right"/>
              <w:rPr/>
            </w:pPr>
            <w:r>
              <w:rPr/>
              <w:t>48</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(8</w:t>
            </w:r>
          </w:p>
        </w:tc>
        <w:tc>
          <w:tcPr>
            <w:tcW w:w="218"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b/>
              </w:rPr>
            </w:pPr>
            <w:r>
              <w:rPr>
                <w:b/>
              </w:rPr>
              <w:t>(1,738</w:t>
            </w:r>
          </w:p>
        </w:tc>
        <w:tc>
          <w:tcPr>
            <w:tcW w:w="9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(4,079</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2,341</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(57</w:t>
            </w:r>
          </w:p>
        </w:tc>
        <w:tc>
          <w:tcPr>
            <w:tcW w:w="238" w:type="dxa"/>
            <w:tcBorders/>
            <w:shd w:fill="FFFFFF" w:val="clear"/>
            <w:tcMar>
              <w:top w:w="0" w:type="dxa"/>
              <w:bottom w:w="0" w:type="dxa"/>
            </w:tcMar>
            <w:vAlign w:val="center"/>
          </w:tcPr>
          <w:p>
            <w:pPr>
              <w:pStyle w:val="TableContents"/>
              <w:bidi w:val="0"/>
              <w:spacing w:before="0" w:after="283"/>
              <w:ind w:left="0" w:right="0" w:hanging="180"/>
              <w:jc w:val="left"/>
              <w:rPr/>
            </w:pPr>
            <w:r>
              <w:rPr/>
              <w:t>)%</w:t>
            </w:r>
          </w:p>
        </w:tc>
      </w:tr>
      <w:tr>
        <w:trPr/>
        <w:tc>
          <w:tcPr>
            <w:tcW w:w="1693" w:type="dxa"/>
            <w:tcBorders/>
            <w:shd w:fill="CCEEFF" w:val="clear"/>
            <w:tcMar>
              <w:top w:w="0" w:type="dxa"/>
              <w:bottom w:w="0" w:type="dxa"/>
            </w:tcMar>
            <w:vAlign w:val="center"/>
          </w:tcPr>
          <w:p>
            <w:pPr>
              <w:pStyle w:val="TableContents"/>
              <w:bidi w:val="0"/>
              <w:spacing w:before="0" w:after="283"/>
              <w:jc w:val="left"/>
              <w:rPr/>
            </w:pPr>
            <w:r>
              <w:rPr/>
              <w:t>Loss on foreign exchange</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3" w:type="dxa"/>
            <w:tcBorders/>
            <w:shd w:fill="CCEEFF" w:val="clear"/>
            <w:tcMar>
              <w:top w:w="0" w:type="dxa"/>
              <w:bottom w:w="0" w:type="dxa"/>
            </w:tcMar>
            <w:vAlign w:val="center"/>
          </w:tcPr>
          <w:p>
            <w:pPr>
              <w:pStyle w:val="TableContents"/>
              <w:bidi w:val="0"/>
              <w:spacing w:before="0" w:after="283"/>
              <w:jc w:val="right"/>
              <w:rPr>
                <w:b/>
              </w:rPr>
            </w:pPr>
            <w:r>
              <w:rPr>
                <w:b/>
              </w:rPr>
              <w:t>(259</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8" w:type="dxa"/>
            <w:tcBorders/>
            <w:shd w:fill="CCEEFF" w:val="clear"/>
            <w:tcMar>
              <w:top w:w="0" w:type="dxa"/>
              <w:bottom w:w="0" w:type="dxa"/>
            </w:tcMar>
            <w:vAlign w:val="center"/>
          </w:tcPr>
          <w:p>
            <w:pPr>
              <w:pStyle w:val="TableContents"/>
              <w:bidi w:val="0"/>
              <w:spacing w:before="0" w:after="283"/>
              <w:jc w:val="right"/>
              <w:rPr/>
            </w:pPr>
            <w:r>
              <w:rPr/>
              <w:t>(2,783</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2,524</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(91</w:t>
            </w:r>
          </w:p>
        </w:tc>
        <w:tc>
          <w:tcPr>
            <w:tcW w:w="218"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0" w:type="dxa"/>
            <w:tcBorders/>
            <w:shd w:fill="CCEEFF" w:val="clear"/>
            <w:tcMar>
              <w:top w:w="0" w:type="dxa"/>
              <w:bottom w:w="0" w:type="dxa"/>
            </w:tcMar>
            <w:vAlign w:val="center"/>
          </w:tcPr>
          <w:p>
            <w:pPr>
              <w:pStyle w:val="TableContents"/>
              <w:bidi w:val="0"/>
              <w:spacing w:before="0" w:after="283"/>
              <w:jc w:val="right"/>
              <w:rPr>
                <w:b/>
              </w:rPr>
            </w:pPr>
            <w:r>
              <w:rPr>
                <w:b/>
              </w:rPr>
              <w:t>(1,481</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(7,842</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6,361</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(81</w:t>
            </w:r>
          </w:p>
        </w:tc>
        <w:tc>
          <w:tcPr>
            <w:tcW w:w="238"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693" w:type="dxa"/>
            <w:tcBorders/>
            <w:shd w:fill="FFFFFF" w:val="clear"/>
            <w:tcMar>
              <w:top w:w="0" w:type="dxa"/>
              <w:bottom w:w="0" w:type="dxa"/>
            </w:tcMar>
            <w:vAlign w:val="center"/>
          </w:tcPr>
          <w:p>
            <w:pPr>
              <w:pStyle w:val="TableContents"/>
              <w:bidi w:val="0"/>
              <w:spacing w:before="0" w:after="283"/>
              <w:jc w:val="left"/>
              <w:rPr/>
            </w:pPr>
            <w:r>
              <w:rPr/>
              <w:t>Warrant issuance costs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3"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8" w:type="dxa"/>
            <w:tcBorders/>
            <w:shd w:fill="FFFFFF" w:val="clear"/>
            <w:tcMar>
              <w:top w:w="0" w:type="dxa"/>
              <w:bottom w:w="0" w:type="dxa"/>
            </w:tcMar>
            <w:vAlign w:val="center"/>
          </w:tcPr>
          <w:p>
            <w:pPr>
              <w:pStyle w:val="TableContents"/>
              <w:bidi w:val="0"/>
              <w:spacing w:before="0" w:after="283"/>
              <w:jc w:val="right"/>
              <w:rPr/>
            </w:pPr>
            <w:r>
              <w:rPr/>
              <w:t>(2,000</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 w:type="dxa"/>
            <w:tcBorders/>
            <w:shd w:fill="FFFFFF" w:val="clear"/>
            <w:tcMar>
              <w:top w:w="0" w:type="dxa"/>
              <w:bottom w:w="0" w:type="dxa"/>
            </w:tcMar>
            <w:vAlign w:val="center"/>
          </w:tcPr>
          <w:p>
            <w:pPr>
              <w:pStyle w:val="TableContents"/>
              <w:bidi w:val="0"/>
              <w:spacing w:before="0" w:after="283"/>
              <w:jc w:val="left"/>
              <w:rPr/>
            </w:pPr>
            <w:r>
              <w:rPr/>
              <w:t> </w:t>
            </w:r>
          </w:p>
        </w:tc>
        <w:tc>
          <w:tcPr>
            <w:tcW w:w="860" w:type="dxa"/>
            <w:tcBorders/>
            <w:shd w:fill="FFFFFF" w:val="clear"/>
            <w:tcMar>
              <w:top w:w="0" w:type="dxa"/>
              <w:bottom w:w="0" w:type="dxa"/>
            </w:tcMar>
            <w:vAlign w:val="center"/>
          </w:tcPr>
          <w:p>
            <w:pPr>
              <w:pStyle w:val="TableContents"/>
              <w:bidi w:val="0"/>
              <w:spacing w:before="0" w:after="283"/>
              <w:jc w:val="right"/>
              <w:rPr/>
            </w:pPr>
            <w:r>
              <w:rPr/>
              <w:t>2,000</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(91</w:t>
            </w:r>
          </w:p>
        </w:tc>
        <w:tc>
          <w:tcPr>
            <w:tcW w:w="218"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(2,000</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2,000</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100</w:t>
            </w:r>
          </w:p>
        </w:tc>
        <w:tc>
          <w:tcPr>
            <w:tcW w:w="238" w:type="dxa"/>
            <w:tcBorders/>
            <w:shd w:fill="FFFFFF" w:val="clear"/>
            <w:tcMar>
              <w:top w:w="0" w:type="dxa"/>
              <w:bottom w:w="0" w:type="dxa"/>
            </w:tcMar>
            <w:vAlign w:val="center"/>
          </w:tcPr>
          <w:p>
            <w:pPr>
              <w:pStyle w:val="TableContents"/>
              <w:bidi w:val="0"/>
              <w:spacing w:before="0" w:after="283"/>
              <w:ind w:left="0" w:right="0" w:hanging="180"/>
              <w:jc w:val="left"/>
              <w:rPr/>
            </w:pPr>
            <w:r>
              <w:rPr/>
              <w:t>%</w:t>
            </w:r>
          </w:p>
        </w:tc>
      </w:tr>
      <w:tr>
        <w:trPr/>
        <w:tc>
          <w:tcPr>
            <w:tcW w:w="1693" w:type="dxa"/>
            <w:tcBorders/>
            <w:shd w:fill="CCEEFF" w:val="clear"/>
            <w:tcMar>
              <w:top w:w="0" w:type="dxa"/>
              <w:bottom w:w="0" w:type="dxa"/>
            </w:tcMar>
            <w:vAlign w:val="center"/>
          </w:tcPr>
          <w:p>
            <w:pPr>
              <w:pStyle w:val="TableContents"/>
              <w:bidi w:val="0"/>
              <w:spacing w:before="0" w:after="283"/>
              <w:jc w:val="left"/>
              <w:rPr/>
            </w:pPr>
            <w:r>
              <w:rPr/>
              <w:t>Provision expense on VAT receivable</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3" w:type="dxa"/>
            <w:tcBorders/>
            <w:shd w:fill="CCEEFF" w:val="clear"/>
            <w:tcMar>
              <w:top w:w="0" w:type="dxa"/>
              <w:bottom w:w="0" w:type="dxa"/>
            </w:tcMar>
            <w:vAlign w:val="center"/>
          </w:tcPr>
          <w:p>
            <w:pPr>
              <w:pStyle w:val="TableContents"/>
              <w:bidi w:val="0"/>
              <w:spacing w:before="0" w:after="283"/>
              <w:jc w:val="right"/>
              <w:rPr/>
            </w:pPr>
            <w:r>
              <w:rPr/>
              <w:t>—</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8" w:type="dxa"/>
            <w:tcBorders/>
            <w:shd w:fill="CCEEFF" w:val="clear"/>
            <w:tcMar>
              <w:top w:w="0" w:type="dxa"/>
              <w:bottom w:w="0" w:type="dxa"/>
            </w:tcMar>
            <w:vAlign w:val="center"/>
          </w:tcPr>
          <w:p>
            <w:pPr>
              <w:pStyle w:val="TableContents"/>
              <w:bidi w:val="0"/>
              <w:spacing w:before="0" w:after="283"/>
              <w:jc w:val="right"/>
              <w:rPr/>
            </w:pPr>
            <w:r>
              <w:rPr/>
              <w:t>(3,155</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3,155</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100</w:t>
            </w:r>
          </w:p>
        </w:tc>
        <w:tc>
          <w:tcPr>
            <w:tcW w:w="218"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0" w:type="dxa"/>
            <w:tcBorders/>
            <w:shd w:fill="CCEEFF" w:val="clear"/>
            <w:tcMar>
              <w:top w:w="0" w:type="dxa"/>
              <w:bottom w:w="0" w:type="dxa"/>
            </w:tcMar>
            <w:vAlign w:val="center"/>
          </w:tcPr>
          <w:p>
            <w:pPr>
              <w:pStyle w:val="TableContents"/>
              <w:bidi w:val="0"/>
              <w:spacing w:before="0" w:after="283"/>
              <w:jc w:val="right"/>
              <w:rPr/>
            </w:pPr>
            <w:r>
              <w:rPr/>
              <w:t>—</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(5,903</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5,903</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100</w:t>
            </w:r>
          </w:p>
        </w:tc>
        <w:tc>
          <w:tcPr>
            <w:tcW w:w="238"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693" w:type="dxa"/>
            <w:tcBorders/>
            <w:shd w:fill="FFFFFF" w:val="clear"/>
            <w:tcMar>
              <w:top w:w="0" w:type="dxa"/>
              <w:bottom w:w="0" w:type="dxa"/>
            </w:tcMar>
            <w:vAlign w:val="center"/>
          </w:tcPr>
          <w:p>
            <w:pPr>
              <w:pStyle w:val="TableContents"/>
              <w:bidi w:val="0"/>
              <w:spacing w:before="0" w:after="283"/>
              <w:jc w:val="left"/>
              <w:rPr/>
            </w:pPr>
            <w:r>
              <w:rPr/>
              <w:t>Loss on initial recognition of refundable deposits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3" w:type="dxa"/>
            <w:tcBorders/>
            <w:shd w:fill="FFFFFF" w:val="clear"/>
            <w:tcMar>
              <w:top w:w="0" w:type="dxa"/>
              <w:bottom w:w="0" w:type="dxa"/>
            </w:tcMar>
            <w:vAlign w:val="center"/>
          </w:tcPr>
          <w:p>
            <w:pPr>
              <w:pStyle w:val="TableContents"/>
              <w:bidi w:val="0"/>
              <w:spacing w:before="0" w:after="283"/>
              <w:jc w:val="right"/>
              <w:rPr>
                <w:b/>
              </w:rPr>
            </w:pPr>
            <w:r>
              <w:rPr>
                <w:b/>
              </w:rPr>
              <w:t>(1,829</w:t>
            </w:r>
          </w:p>
        </w:tc>
        <w:tc>
          <w:tcPr>
            <w:tcW w:w="9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8"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 w:type="dxa"/>
            <w:tcBorders/>
            <w:shd w:fill="FFFFFF" w:val="clear"/>
            <w:tcMar>
              <w:top w:w="0" w:type="dxa"/>
              <w:bottom w:w="0" w:type="dxa"/>
            </w:tcMar>
            <w:vAlign w:val="center"/>
          </w:tcPr>
          <w:p>
            <w:pPr>
              <w:pStyle w:val="TableContents"/>
              <w:bidi w:val="0"/>
              <w:spacing w:before="0" w:after="283"/>
              <w:jc w:val="left"/>
              <w:rPr/>
            </w:pPr>
            <w:r>
              <w:rPr/>
              <w:t> </w:t>
            </w:r>
          </w:p>
        </w:tc>
        <w:tc>
          <w:tcPr>
            <w:tcW w:w="860" w:type="dxa"/>
            <w:tcBorders/>
            <w:shd w:fill="FFFFFF" w:val="clear"/>
            <w:tcMar>
              <w:top w:w="0" w:type="dxa"/>
              <w:bottom w:w="0" w:type="dxa"/>
            </w:tcMar>
            <w:vAlign w:val="center"/>
          </w:tcPr>
          <w:p>
            <w:pPr>
              <w:pStyle w:val="TableContents"/>
              <w:bidi w:val="0"/>
              <w:spacing w:before="0" w:after="283"/>
              <w:jc w:val="right"/>
              <w:rPr/>
            </w:pPr>
            <w:r>
              <w:rPr/>
              <w:t>(1,829</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(100</w:t>
            </w:r>
          </w:p>
        </w:tc>
        <w:tc>
          <w:tcPr>
            <w:tcW w:w="218"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b/>
              </w:rPr>
            </w:pPr>
            <w:r>
              <w:rPr>
                <w:b/>
              </w:rPr>
              <w:t>(2,504</w:t>
            </w:r>
          </w:p>
        </w:tc>
        <w:tc>
          <w:tcPr>
            <w:tcW w:w="9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755" w:type="dxa"/>
            <w:tcBorders/>
            <w:shd w:fill="FFFFFF" w:val="clear"/>
            <w:tcMar>
              <w:top w:w="0" w:type="dxa"/>
              <w:bottom w:w="0" w:type="dxa"/>
            </w:tcMar>
            <w:vAlign w:val="center"/>
          </w:tcPr>
          <w:p>
            <w:pPr>
              <w:pStyle w:val="TableContents"/>
              <w:bidi w:val="0"/>
              <w:spacing w:before="0" w:after="283"/>
              <w:jc w:val="right"/>
              <w:rPr/>
            </w:pPr>
            <w:r>
              <w:rPr/>
              <w:t>—</w:t>
            </w:r>
          </w:p>
        </w:tc>
        <w:tc>
          <w:tcPr>
            <w:tcW w:w="9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 w:type="dxa"/>
            <w:tcBorders/>
            <w:shd w:fill="FFFFFF" w:val="clear"/>
            <w:tcMar>
              <w:top w:w="0" w:type="dxa"/>
              <w:bottom w:w="0" w:type="dxa"/>
            </w:tcMar>
            <w:vAlign w:val="center"/>
          </w:tcPr>
          <w:p>
            <w:pPr>
              <w:pStyle w:val="TableContents"/>
              <w:bidi w:val="0"/>
              <w:spacing w:before="0" w:after="283"/>
              <w:jc w:val="left"/>
              <w:rPr/>
            </w:pPr>
            <w:r>
              <w:rPr/>
              <w:t> </w:t>
            </w:r>
          </w:p>
        </w:tc>
        <w:tc>
          <w:tcPr>
            <w:tcW w:w="867" w:type="dxa"/>
            <w:tcBorders/>
            <w:shd w:fill="FFFFFF" w:val="clear"/>
            <w:tcMar>
              <w:top w:w="0" w:type="dxa"/>
              <w:bottom w:w="0" w:type="dxa"/>
            </w:tcMar>
            <w:vAlign w:val="center"/>
          </w:tcPr>
          <w:p>
            <w:pPr>
              <w:pStyle w:val="TableContents"/>
              <w:bidi w:val="0"/>
              <w:spacing w:before="0" w:after="283"/>
              <w:jc w:val="right"/>
              <w:rPr/>
            </w:pPr>
            <w:r>
              <w:rPr/>
              <w:t>(2,504</w:t>
            </w:r>
          </w:p>
        </w:tc>
        <w:tc>
          <w:tcPr>
            <w:tcW w:w="9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117" w:type="dxa"/>
            <w:tcBorders/>
            <w:shd w:fill="FFFFFF" w:val="clear"/>
            <w:tcMar>
              <w:top w:w="0" w:type="dxa"/>
              <w:bottom w:w="0" w:type="dxa"/>
            </w:tcMar>
            <w:vAlign w:val="center"/>
          </w:tcPr>
          <w:p>
            <w:pPr>
              <w:pStyle w:val="TableContents"/>
              <w:bidi w:val="0"/>
              <w:spacing w:before="0" w:after="283"/>
              <w:jc w:val="left"/>
              <w:rPr/>
            </w:pPr>
            <w:r>
              <w:rPr/>
              <w:t> </w:t>
            </w:r>
          </w:p>
        </w:tc>
        <w:tc>
          <w:tcPr>
            <w:tcW w:w="893" w:type="dxa"/>
            <w:tcBorders/>
            <w:shd w:fill="FFFFFF" w:val="clear"/>
            <w:tcMar>
              <w:top w:w="0" w:type="dxa"/>
              <w:bottom w:w="0" w:type="dxa"/>
            </w:tcMar>
            <w:vAlign w:val="center"/>
          </w:tcPr>
          <w:p>
            <w:pPr>
              <w:pStyle w:val="TableContents"/>
              <w:bidi w:val="0"/>
              <w:spacing w:before="0" w:after="283"/>
              <w:jc w:val="right"/>
              <w:rPr/>
            </w:pPr>
            <w:r>
              <w:rPr/>
              <w:t>(100</w:t>
            </w:r>
          </w:p>
        </w:tc>
        <w:tc>
          <w:tcPr>
            <w:tcW w:w="238" w:type="dxa"/>
            <w:tcBorders/>
            <w:shd w:fill="FFFFFF" w:val="clear"/>
            <w:tcMar>
              <w:top w:w="0" w:type="dxa"/>
              <w:bottom w:w="0" w:type="dxa"/>
            </w:tcMar>
            <w:vAlign w:val="center"/>
          </w:tcPr>
          <w:p>
            <w:pPr>
              <w:pStyle w:val="TableContents"/>
              <w:bidi w:val="0"/>
              <w:spacing w:before="0" w:after="283"/>
              <w:ind w:left="0" w:right="0" w:hanging="180"/>
              <w:jc w:val="left"/>
              <w:rPr/>
            </w:pPr>
            <w:r>
              <w:rPr/>
              <w:t>)%</w:t>
            </w:r>
          </w:p>
        </w:tc>
      </w:tr>
      <w:tr>
        <w:trPr/>
        <w:tc>
          <w:tcPr>
            <w:tcW w:w="1693" w:type="dxa"/>
            <w:tcBorders/>
            <w:shd w:fill="CCEEFF" w:val="clear"/>
            <w:tcMar>
              <w:top w:w="0" w:type="dxa"/>
              <w:bottom w:w="0" w:type="dxa"/>
            </w:tcMar>
            <w:vAlign w:val="center"/>
          </w:tcPr>
          <w:p>
            <w:pPr>
              <w:pStyle w:val="TableContents"/>
              <w:bidi w:val="0"/>
              <w:spacing w:before="0" w:after="283"/>
              <w:jc w:val="left"/>
              <w:rPr/>
            </w:pPr>
            <w:r>
              <w:rPr/>
              <w:t>Other financial expenses</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3" w:type="dxa"/>
            <w:tcBorders/>
            <w:shd w:fill="CCEEFF" w:val="clear"/>
            <w:tcMar>
              <w:top w:w="0" w:type="dxa"/>
              <w:bottom w:w="0" w:type="dxa"/>
            </w:tcMar>
            <w:vAlign w:val="center"/>
          </w:tcPr>
          <w:p>
            <w:pPr>
              <w:pStyle w:val="TableContents"/>
              <w:bidi w:val="0"/>
              <w:spacing w:before="0" w:after="283"/>
              <w:jc w:val="right"/>
              <w:rPr>
                <w:b/>
              </w:rPr>
            </w:pPr>
            <w:r>
              <w:rPr>
                <w:b/>
              </w:rPr>
              <w:t>(997</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8" w:type="dxa"/>
            <w:tcBorders/>
            <w:shd w:fill="CCEEFF" w:val="clear"/>
            <w:tcMar>
              <w:top w:w="0" w:type="dxa"/>
              <w:bottom w:w="0" w:type="dxa"/>
            </w:tcMar>
            <w:vAlign w:val="center"/>
          </w:tcPr>
          <w:p>
            <w:pPr>
              <w:pStyle w:val="TableContents"/>
              <w:bidi w:val="0"/>
              <w:spacing w:before="0" w:after="283"/>
              <w:jc w:val="right"/>
              <w:rPr/>
            </w:pPr>
            <w:r>
              <w:rPr/>
              <w:t>(94</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 w:type="dxa"/>
            <w:tcBorders/>
            <w:shd w:fill="CCEEFF" w:val="clear"/>
            <w:tcMar>
              <w:top w:w="0" w:type="dxa"/>
              <w:bottom w:w="0" w:type="dxa"/>
            </w:tcMar>
            <w:vAlign w:val="center"/>
          </w:tcPr>
          <w:p>
            <w:pPr>
              <w:pStyle w:val="TableContents"/>
              <w:bidi w:val="0"/>
              <w:spacing w:before="0" w:after="283"/>
              <w:jc w:val="left"/>
              <w:rPr/>
            </w:pPr>
            <w:r>
              <w:rPr/>
              <w:t> </w:t>
            </w:r>
          </w:p>
        </w:tc>
        <w:tc>
          <w:tcPr>
            <w:tcW w:w="860" w:type="dxa"/>
            <w:tcBorders/>
            <w:shd w:fill="CCEEFF" w:val="clear"/>
            <w:tcMar>
              <w:top w:w="0" w:type="dxa"/>
              <w:bottom w:w="0" w:type="dxa"/>
            </w:tcMar>
            <w:vAlign w:val="center"/>
          </w:tcPr>
          <w:p>
            <w:pPr>
              <w:pStyle w:val="TableContents"/>
              <w:bidi w:val="0"/>
              <w:spacing w:before="0" w:after="283"/>
              <w:jc w:val="right"/>
              <w:rPr/>
            </w:pPr>
            <w:r>
              <w:rPr/>
              <w:t>(903</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961</w:t>
            </w:r>
          </w:p>
        </w:tc>
        <w:tc>
          <w:tcPr>
            <w:tcW w:w="218"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0" w:type="dxa"/>
            <w:tcBorders/>
            <w:shd w:fill="CCEEFF" w:val="clear"/>
            <w:tcMar>
              <w:top w:w="0" w:type="dxa"/>
              <w:bottom w:w="0" w:type="dxa"/>
            </w:tcMar>
            <w:vAlign w:val="center"/>
          </w:tcPr>
          <w:p>
            <w:pPr>
              <w:pStyle w:val="TableContents"/>
              <w:bidi w:val="0"/>
              <w:spacing w:before="0" w:after="283"/>
              <w:jc w:val="right"/>
              <w:rPr>
                <w:b/>
              </w:rPr>
            </w:pPr>
            <w:r>
              <w:rPr>
                <w:b/>
              </w:rPr>
              <w:t>(839</w:t>
            </w:r>
          </w:p>
        </w:tc>
        <w:tc>
          <w:tcPr>
            <w:tcW w:w="95" w:type="dxa"/>
            <w:tcBorders/>
            <w:shd w:fill="CCEEFF" w:val="clear"/>
            <w:tcMar>
              <w:top w:w="0" w:type="dxa"/>
              <w:bottom w:w="0" w:type="dxa"/>
            </w:tcMar>
            <w:vAlign w:val="center"/>
          </w:tcPr>
          <w:p>
            <w:pPr>
              <w:pStyle w:val="TableContents"/>
              <w:bidi w:val="0"/>
              <w:spacing w:before="0" w:after="283"/>
              <w:jc w:val="left"/>
              <w:rPr>
                <w:b/>
              </w:rPr>
            </w:pPr>
            <w:r>
              <w:rPr>
                <w:b/>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755" w:type="dxa"/>
            <w:tcBorders/>
            <w:shd w:fill="CCEEFF" w:val="clear"/>
            <w:tcMar>
              <w:top w:w="0" w:type="dxa"/>
              <w:bottom w:w="0" w:type="dxa"/>
            </w:tcMar>
            <w:vAlign w:val="center"/>
          </w:tcPr>
          <w:p>
            <w:pPr>
              <w:pStyle w:val="TableContents"/>
              <w:bidi w:val="0"/>
              <w:spacing w:before="0" w:after="283"/>
              <w:jc w:val="right"/>
              <w:rPr/>
            </w:pPr>
            <w:r>
              <w:rPr/>
              <w:t>(944</w:t>
            </w:r>
          </w:p>
        </w:tc>
        <w:tc>
          <w:tcPr>
            <w:tcW w:w="95" w:type="dxa"/>
            <w:tcBorders/>
            <w:shd w:fill="CCEEFF" w:val="clear"/>
            <w:tcMar>
              <w:top w:w="0" w:type="dxa"/>
              <w:bottom w:w="0" w:type="dxa"/>
            </w:tcMar>
            <w:vAlign w:val="center"/>
          </w:tcPr>
          <w:p>
            <w:pPr>
              <w:pStyle w:val="TableContents"/>
              <w:bidi w:val="0"/>
              <w:spacing w:before="0" w:after="283"/>
              <w:jc w:val="left"/>
              <w:rPr/>
            </w:pPr>
            <w:r>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8" w:type="dxa"/>
            <w:tcBorders/>
            <w:shd w:fill="CCEEFF" w:val="clear"/>
            <w:tcMar>
              <w:top w:w="0" w:type="dxa"/>
              <w:bottom w:w="0" w:type="dxa"/>
            </w:tcMar>
            <w:vAlign w:val="center"/>
          </w:tcPr>
          <w:p>
            <w:pPr>
              <w:pStyle w:val="TableContents"/>
              <w:bidi w:val="0"/>
              <w:spacing w:before="0" w:after="283"/>
              <w:jc w:val="left"/>
              <w:rPr/>
            </w:pPr>
            <w:r>
              <w:rPr/>
              <w:t> </w:t>
            </w:r>
          </w:p>
        </w:tc>
        <w:tc>
          <w:tcPr>
            <w:tcW w:w="867" w:type="dxa"/>
            <w:tcBorders/>
            <w:shd w:fill="CCEEFF" w:val="clear"/>
            <w:tcMar>
              <w:top w:w="0" w:type="dxa"/>
              <w:bottom w:w="0" w:type="dxa"/>
            </w:tcMar>
            <w:vAlign w:val="center"/>
          </w:tcPr>
          <w:p>
            <w:pPr>
              <w:pStyle w:val="TableContents"/>
              <w:bidi w:val="0"/>
              <w:spacing w:before="0" w:after="283"/>
              <w:jc w:val="right"/>
              <w:rPr/>
            </w:pPr>
            <w:r>
              <w:rPr/>
              <w:t>105</w:t>
            </w:r>
          </w:p>
        </w:tc>
        <w:tc>
          <w:tcPr>
            <w:tcW w:w="95"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117" w:type="dxa"/>
            <w:tcBorders/>
            <w:shd w:fill="CCEEFF" w:val="clear"/>
            <w:tcMar>
              <w:top w:w="0" w:type="dxa"/>
              <w:bottom w:w="0" w:type="dxa"/>
            </w:tcMar>
            <w:vAlign w:val="center"/>
          </w:tcPr>
          <w:p>
            <w:pPr>
              <w:pStyle w:val="TableContents"/>
              <w:bidi w:val="0"/>
              <w:spacing w:before="0" w:after="283"/>
              <w:jc w:val="left"/>
              <w:rPr/>
            </w:pPr>
            <w:r>
              <w:rPr/>
              <w:t> </w:t>
            </w:r>
          </w:p>
        </w:tc>
        <w:tc>
          <w:tcPr>
            <w:tcW w:w="893" w:type="dxa"/>
            <w:tcBorders/>
            <w:shd w:fill="CCEEFF" w:val="clear"/>
            <w:tcMar>
              <w:top w:w="0" w:type="dxa"/>
              <w:bottom w:w="0" w:type="dxa"/>
            </w:tcMar>
            <w:vAlign w:val="center"/>
          </w:tcPr>
          <w:p>
            <w:pPr>
              <w:pStyle w:val="TableContents"/>
              <w:bidi w:val="0"/>
              <w:spacing w:before="0" w:after="283"/>
              <w:jc w:val="right"/>
              <w:rPr/>
            </w:pPr>
            <w:r>
              <w:rPr/>
              <w:t>(11</w:t>
            </w:r>
          </w:p>
        </w:tc>
        <w:tc>
          <w:tcPr>
            <w:tcW w:w="238" w:type="dxa"/>
            <w:tcBorders/>
            <w:shd w:fill="CCEEFF" w:val="clear"/>
            <w:tcMar>
              <w:top w:w="0" w:type="dxa"/>
              <w:bottom w:w="0" w:type="dxa"/>
            </w:tcMar>
            <w:vAlign w:val="center"/>
          </w:tcPr>
          <w:p>
            <w:pPr>
              <w:pStyle w:val="TableContents"/>
              <w:bidi w:val="0"/>
              <w:spacing w:before="0" w:after="283"/>
              <w:ind w:left="0" w:right="0" w:hanging="180"/>
              <w:jc w:val="left"/>
              <w:rPr/>
            </w:pPr>
            <w:r>
              <w:rPr/>
              <w:t>)%</w:t>
            </w:r>
          </w:p>
        </w:tc>
      </w:tr>
      <w:tr>
        <w:trPr/>
        <w:tc>
          <w:tcPr>
            <w:tcW w:w="1693"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83" w:type="dxa"/>
            <w:tcBorders>
              <w:top w:val="single" w:sz="8" w:space="0" w:color="000000"/>
              <w:bottom w:val="single" w:sz="12" w:space="0" w:color="000000"/>
            </w:tcBorders>
            <w:shd w:fill="FFFFFF" w:val="clear"/>
            <w:vAlign w:val="center"/>
          </w:tcPr>
          <w:p>
            <w:pPr>
              <w:pStyle w:val="TableContents"/>
              <w:bidi w:val="0"/>
              <w:spacing w:before="0" w:after="283"/>
              <w:jc w:val="right"/>
              <w:rPr>
                <w:b/>
              </w:rPr>
            </w:pPr>
            <w:r>
              <w:rPr>
                <w:b/>
              </w:rPr>
              <w:t>21,843</w:t>
            </w:r>
          </w:p>
        </w:tc>
        <w:tc>
          <w:tcPr>
            <w:tcW w:w="95"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758" w:type="dxa"/>
            <w:tcBorders>
              <w:top w:val="single" w:sz="8" w:space="0" w:color="000000"/>
              <w:bottom w:val="single" w:sz="12" w:space="0" w:color="000000"/>
            </w:tcBorders>
            <w:shd w:fill="FFFFFF" w:val="clear"/>
            <w:vAlign w:val="center"/>
          </w:tcPr>
          <w:p>
            <w:pPr>
              <w:pStyle w:val="TableContents"/>
              <w:bidi w:val="0"/>
              <w:spacing w:before="0" w:after="283"/>
              <w:jc w:val="right"/>
              <w:rPr/>
            </w:pPr>
            <w:r>
              <w:rPr/>
              <w:t>(49,686</w:t>
            </w:r>
          </w:p>
        </w:tc>
        <w:tc>
          <w:tcPr>
            <w:tcW w:w="95" w:type="dxa"/>
            <w:tcBorders>
              <w:top w:val="single" w:sz="8" w:space="0" w:color="000000"/>
              <w:bottom w:val="single" w:sz="12" w:space="0" w:color="000000"/>
            </w:tcBorders>
            <w:shd w:fill="FFFFFF" w:val="clear"/>
            <w:vAlign w:val="center"/>
          </w:tcPr>
          <w:p>
            <w:pPr>
              <w:pStyle w:val="TableContents"/>
              <w:bidi w:val="0"/>
              <w:spacing w:before="0" w:after="283"/>
              <w:jc w:val="left"/>
              <w:rPr/>
            </w:pPr>
            <w:r>
              <w:rPr/>
              <w:t>)</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75"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860" w:type="dxa"/>
            <w:tcBorders>
              <w:top w:val="single" w:sz="8" w:space="0" w:color="000000"/>
              <w:bottom w:val="single" w:sz="12" w:space="0" w:color="000000"/>
            </w:tcBorders>
            <w:shd w:fill="FFFFFF" w:val="clear"/>
            <w:vAlign w:val="center"/>
          </w:tcPr>
          <w:p>
            <w:pPr>
              <w:pStyle w:val="TableContents"/>
              <w:bidi w:val="0"/>
              <w:spacing w:before="0" w:after="283"/>
              <w:jc w:val="right"/>
              <w:rPr/>
            </w:pPr>
            <w:r>
              <w:rPr/>
              <w:t>71,529</w:t>
            </w:r>
          </w:p>
        </w:tc>
        <w:tc>
          <w:tcPr>
            <w:tcW w:w="95"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117"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893" w:type="dxa"/>
            <w:tcBorders>
              <w:top w:val="single" w:sz="8" w:space="0" w:color="000000"/>
              <w:bottom w:val="single" w:sz="12" w:space="0" w:color="000000"/>
            </w:tcBorders>
            <w:shd w:fill="FFFFFF" w:val="clear"/>
            <w:vAlign w:val="center"/>
          </w:tcPr>
          <w:p>
            <w:pPr>
              <w:pStyle w:val="TableContents"/>
              <w:bidi w:val="0"/>
              <w:spacing w:before="0" w:after="283"/>
              <w:jc w:val="right"/>
              <w:rPr/>
            </w:pPr>
            <w:r>
              <w:rPr/>
              <w:t>144</w:t>
            </w:r>
          </w:p>
        </w:tc>
        <w:tc>
          <w:tcPr>
            <w:tcW w:w="218" w:type="dxa"/>
            <w:tcBorders>
              <w:top w:val="single" w:sz="8" w:space="0" w:color="000000"/>
              <w:bottom w:val="single" w:sz="12" w:space="0" w:color="000000"/>
            </w:tcBorders>
            <w:shd w:fill="FFFFFF" w:val="clear"/>
            <w:vAlign w:val="center"/>
          </w:tcPr>
          <w:p>
            <w:pPr>
              <w:pStyle w:val="TableContents"/>
              <w:bidi w:val="0"/>
              <w:spacing w:before="0" w:after="283"/>
              <w:jc w:val="left"/>
              <w:rPr/>
            </w:pPr>
            <w:r>
              <w:rPr/>
              <w:t>%</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80" w:type="dxa"/>
            <w:tcBorders>
              <w:top w:val="single" w:sz="8" w:space="0" w:color="000000"/>
              <w:bottom w:val="single" w:sz="12" w:space="0" w:color="000000"/>
            </w:tcBorders>
            <w:shd w:fill="FFFFFF" w:val="clear"/>
            <w:vAlign w:val="center"/>
          </w:tcPr>
          <w:p>
            <w:pPr>
              <w:pStyle w:val="TableContents"/>
              <w:bidi w:val="0"/>
              <w:spacing w:before="0" w:after="283"/>
              <w:jc w:val="right"/>
              <w:rPr>
                <w:b/>
              </w:rPr>
            </w:pPr>
            <w:r>
              <w:rPr>
                <w:b/>
              </w:rPr>
              <w:t>39,210</w:t>
            </w:r>
          </w:p>
        </w:tc>
        <w:tc>
          <w:tcPr>
            <w:tcW w:w="95"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755" w:type="dxa"/>
            <w:tcBorders>
              <w:top w:val="single" w:sz="8" w:space="0" w:color="000000"/>
              <w:bottom w:val="single" w:sz="12" w:space="0" w:color="000000"/>
            </w:tcBorders>
            <w:shd w:fill="FFFFFF" w:val="clear"/>
            <w:vAlign w:val="center"/>
          </w:tcPr>
          <w:p>
            <w:pPr>
              <w:pStyle w:val="TableContents"/>
              <w:bidi w:val="0"/>
              <w:spacing w:before="0" w:after="283"/>
              <w:jc w:val="right"/>
              <w:rPr/>
            </w:pPr>
            <w:r>
              <w:rPr/>
              <w:t>(37,194</w:t>
            </w:r>
          </w:p>
        </w:tc>
        <w:tc>
          <w:tcPr>
            <w:tcW w:w="95" w:type="dxa"/>
            <w:tcBorders>
              <w:top w:val="single" w:sz="8" w:space="0" w:color="000000"/>
              <w:bottom w:val="single" w:sz="12" w:space="0" w:color="000000"/>
            </w:tcBorders>
            <w:shd w:fill="FFFFFF" w:val="clear"/>
            <w:vAlign w:val="center"/>
          </w:tcPr>
          <w:p>
            <w:pPr>
              <w:pStyle w:val="TableContents"/>
              <w:bidi w:val="0"/>
              <w:spacing w:before="0" w:after="283"/>
              <w:jc w:val="left"/>
              <w:rPr/>
            </w:pPr>
            <w:r>
              <w:rPr/>
              <w:t>)</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8"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867" w:type="dxa"/>
            <w:tcBorders>
              <w:top w:val="single" w:sz="8" w:space="0" w:color="000000"/>
              <w:bottom w:val="single" w:sz="12" w:space="0" w:color="000000"/>
            </w:tcBorders>
            <w:shd w:fill="FFFFFF" w:val="clear"/>
            <w:vAlign w:val="center"/>
          </w:tcPr>
          <w:p>
            <w:pPr>
              <w:pStyle w:val="TableContents"/>
              <w:bidi w:val="0"/>
              <w:spacing w:before="0" w:after="283"/>
              <w:jc w:val="right"/>
              <w:rPr/>
            </w:pPr>
            <w:r>
              <w:rPr/>
              <w:t>76,404</w:t>
            </w:r>
          </w:p>
        </w:tc>
        <w:tc>
          <w:tcPr>
            <w:tcW w:w="95"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60"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117" w:type="dxa"/>
            <w:tcBorders>
              <w:top w:val="single" w:sz="8" w:space="0" w:color="000000"/>
              <w:bottom w:val="single" w:sz="12" w:space="0" w:color="000000"/>
            </w:tcBorders>
            <w:shd w:fill="FFFFFF" w:val="clear"/>
            <w:vAlign w:val="center"/>
          </w:tcPr>
          <w:p>
            <w:pPr>
              <w:pStyle w:val="TableContents"/>
              <w:bidi w:val="0"/>
              <w:spacing w:before="0" w:after="283"/>
              <w:jc w:val="left"/>
              <w:rPr/>
            </w:pPr>
            <w:r>
              <w:rPr/>
              <w:t> </w:t>
            </w:r>
          </w:p>
        </w:tc>
        <w:tc>
          <w:tcPr>
            <w:tcW w:w="893" w:type="dxa"/>
            <w:tcBorders>
              <w:top w:val="single" w:sz="8" w:space="0" w:color="000000"/>
              <w:bottom w:val="single" w:sz="12" w:space="0" w:color="000000"/>
            </w:tcBorders>
            <w:shd w:fill="FFFFFF" w:val="clear"/>
            <w:vAlign w:val="center"/>
          </w:tcPr>
          <w:p>
            <w:pPr>
              <w:pStyle w:val="TableContents"/>
              <w:bidi w:val="0"/>
              <w:spacing w:before="0" w:after="283"/>
              <w:jc w:val="right"/>
              <w:rPr/>
            </w:pPr>
            <w:r>
              <w:rPr/>
              <w:t>205</w:t>
            </w:r>
          </w:p>
        </w:tc>
        <w:tc>
          <w:tcPr>
            <w:tcW w:w="238" w:type="dxa"/>
            <w:tcBorders>
              <w:top w:val="single" w:sz="8" w:space="0" w:color="000000"/>
              <w:bottom w:val="single" w:sz="12" w:space="0" w:color="000000"/>
            </w:tcBorders>
            <w:shd w:fill="FFFFFF" w:val="clear"/>
            <w:vAlign w:val="center"/>
          </w:tcPr>
          <w:p>
            <w:pPr>
              <w:pStyle w:val="TableContents"/>
              <w:bidi w:val="0"/>
              <w:spacing w:before="0" w:after="283"/>
              <w:jc w:val="left"/>
              <w:rPr/>
            </w:pPr>
            <w:r>
              <w:rPr/>
              <w:t>%</w:t>
            </w:r>
          </w:p>
        </w:tc>
      </w:tr>
    </w:tbl>
    <w:tbl>
      <w:tblPr>
        <w:tblW w:w="1893" w:type="dxa"/>
        <w:jc w:val="left"/>
        <w:tblInd w:w="0" w:type="dxa"/>
        <w:tblLayout w:type="fixed"/>
        <w:tblCellMar>
          <w:top w:w="0" w:type="dxa"/>
          <w:left w:w="0" w:type="dxa"/>
          <w:bottom w:w="0" w:type="dxa"/>
          <w:right w:w="0" w:type="dxa"/>
        </w:tblCellMar>
      </w:tblPr>
      <w:tblGrid>
        <w:gridCol w:w="38"/>
        <w:gridCol w:w="395"/>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i/>
              </w:rPr>
            </w:pPr>
            <w:r>
              <w:rPr>
                <w:i/>
              </w:rPr>
              <w:t>nm:</w:t>
            </w:r>
          </w:p>
        </w:tc>
        <w:tc>
          <w:tcPr>
            <w:tcW w:w="1460" w:type="dxa"/>
            <w:tcBorders/>
            <w:vAlign w:val="center"/>
          </w:tcPr>
          <w:p>
            <w:pPr>
              <w:pStyle w:val="TableContents"/>
              <w:bidi w:val="0"/>
              <w:spacing w:before="0" w:after="283"/>
              <w:jc w:val="both"/>
              <w:rPr/>
            </w:pPr>
            <w:r>
              <w:rPr/>
              <w:t>not meaningful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Q4 2024 v. Q4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net financial income was $21.8 million for Q4 2024, compared to a $49.7 million expense for Q4 2023. The $71.5 million favorable change was primarily related to:</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$49.1 million favorable change in gain (loss) on revaluation of warrants due to the decrease in the fair value of the warrant liabilities for the 2023 private placement in Q4 2024 compared to the increase in the fair value of the warrant liabilities for the 2021 and 2023 private placements in Q4 2023. In addition, there were fewer outstanding warrants as of December 31, 2024 compared to December 31, 2023 due to the exercise of 2023 warrants and expiration of 2021 warrants during 2024.</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$17.3 million increase in gain on derivative assets and liabilities mainly due to the Company’s capitalization on BTC price near all-time highs to close out all Synthetic HODL positions during Q4 2024 resulting in a gain of $14.6 million, combined with the $2.1 million gain from the change in the fair value of the BTC redemption option. Refer to Note 9 to the Financial Statements for more details.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 $3.2 million decrease in provision expense on VAT receivable due to the Company writing off the Argentina VAT receivable balance to nil as a result of the political and economic uncertainties in Argentina during the fourth quarter of 2023. During Q4 2024, the Argentina VAT receivable </w:t>
            </w:r>
            <w:r>
              <w:rPr>
                <w:shd w:fill="FFFFFF" w:val="clear"/>
              </w:rPr>
              <w:t>provision expenses were classified within the respective expense and asset ca</w:t>
            </w:r>
            <w:r>
              <w:rPr/>
              <w:t>tegories.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$2.5 million favorable decrease in loss on foreign exchange due to the revaluation of the Company’s net monetary liabilities denominated in foreign currencies, following the weakening of the Argentine Pesos in Q4 2023, while it remained stable in Q4 2024.</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$2.0 million decrease in warrant issuance costs for the 2023 private placement in Q4 2023 compared to no warrants issued in Q4 2024.</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favorable change was partially offset by:</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$1.8 million loss on initial recognition of refundable deposits due to the difference between the fair value and principal of the Scrubgrass Refundable Hosting Deposits and security deposits for energy consumption at the Company’s Paso Pe and Yguazu facilities in Paraguay.</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27 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FINANCIAL PERFORMANCE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565"/>
        <w:gridCol w:w="9558"/>
      </w:tblGrid>
      <w:tr>
        <w:trPr/>
        <w:tc>
          <w:tcPr>
            <w:tcW w:w="8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b/>
              </w:rPr>
            </w:pPr>
            <w:r>
              <w:rPr>
                <w:b/>
              </w:rPr>
              <w:t>D.</w:t>
            </w:r>
          </w:p>
        </w:tc>
        <w:tc>
          <w:tcPr>
            <w:tcW w:w="9558" w:type="dxa"/>
            <w:tcBorders/>
            <w:vAlign w:val="center"/>
          </w:tcPr>
          <w:p>
            <w:pPr>
              <w:pStyle w:val="TableContents"/>
              <w:bidi w:val="0"/>
              <w:spacing w:before="0" w:after="283"/>
              <w:jc w:val="left"/>
              <w:rPr/>
            </w:pPr>
            <w:r>
              <w:rPr>
                <w:b/>
              </w:rPr>
              <w:t xml:space="preserve">Net financial income (expenses) </w:t>
            </w:r>
            <w:r>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net financial income was $39.2 million for FY 2024, compared to a $37.2 million expense for FY 2023. The $76.4 million favorable change was mainly due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$62.6 million favorable change in gain (loss) on revaluation of warrants due to the decrease in the fair value of the warrant liabilities for the 2023 private placement in FY 2024 compared to an increase in the fair value of the warrant liabilities for the 2021 and 2023 private placements in FY 2023. In addition, there were fewer outstanding warrants as of December 31, 2024 compared to December 31, 2023 due to the exercise of 2023 warrants and expiration of 2021 warrants during 2024.</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$17.8 million increase in gain on derivative assets and liabilities mainly due to a $15.9 million gain on the Company’s capitalization on BTC price near all-time highs to close out Synthetic HODL positions, combined with the $2.1 million gain from the change in the fair value of the BTC redemption option. Refer to Note 9 to the Financial Statements for more details.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$6.4 million decrease in loss on foreign exchange due to the same factors explained in the Q4 2024 v. Q4 2023 section above.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$5.9 million decrease in provision expense on VAT receivable due to the same factors explained in the Q4 2024 v. Q4 2023 section above.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A $4.6 million increase in interest income due to the Company’s higher average cash balance during FY 2024 compared to FY 2023. Refer to Section 11a - </w:t>
            </w:r>
            <w:r>
              <w:rPr>
                <w:i/>
              </w:rPr>
              <w:t>Liquidity and Capital Resources (Cash Flows)</w:t>
            </w:r>
            <w:r>
              <w:rPr/>
              <w:t xml:space="preserve"> for details of the Company’s cash flows.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$2.3 million decrease in interest expense due to (i) the extinguishment in February 2023 of the BlockFi Lending LLC (“BlockFi”) Loan that commenced on February 18, 2022 as described below and (ii) the NYDIG ABL LLC (“NYDIG”) Loan that commenced on June 15, 2022 and was fully repaid in February 2024.</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$2.0 million decrease in warrant issuance costs as no warrants were issued in FY 2024 compared to the $2.0 million warrant issuance costs for the 2023 private placement in FY 2023.</w:t>
            </w:r>
          </w:p>
        </w:tc>
      </w:tr>
    </w:tbl>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favorable change was offset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$12.8 million gain on extinguishment of long-term debt and lease liabilities during FY 2023. In February 2023:</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shd w:fill="FFFFFF" w:val="clear"/>
              </w:rPr>
              <w:t xml:space="preserve">BlockFi and the Company negotiated a settlement of the loan in its entirety for cash consideration of </w:t>
            </w:r>
            <w:r>
              <w:rPr/>
              <w:t>$7.8 million</w:t>
            </w:r>
            <w:r>
              <w:rPr>
                <w:shd w:fill="FFFFFF" w:val="clear"/>
              </w:rPr>
              <w:t>, resulting in a gain on extinguishment of long-term debt of</w:t>
            </w:r>
            <w:r>
              <w:rPr/>
              <w:t xml:space="preserve"> $12.6 million;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$9.9 million decrease in gain on disposition of marketable securities due to less funds being sent to Argentina during FY 2024 compared to FY 2023, as the capital expenditures related to the first data center were mostly paid in 2022 and 2023. Since the third quarter of 2021, the Company has been utilizing a mechanism to fund its Argentina expansion through the acquisition of marketable securities and in-kind contribution of those securities to its wholly-owned Argentinian subsidiary that it controls. The subsequent disposition of those marketable securities in exchange for Argentine Pesos gave rise to a gain as the equivalent amount received in Argentine Pesos exceeded the amount of Argentine Pesos the Company would have received from a direct foreign currency exchange.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$2.5 million loss on initial recognition of refundable deposits due to the difference between the fair value and principal of the Refundable Hosting Deposits and security deposits for energy consumption at the Company’s Paso Pe and Yguazu facilities in Paraguay.</w:t>
            </w:r>
          </w:p>
        </w:tc>
      </w:tr>
    </w:tbl>
    <w:p>
      <w:pPr>
        <w:pStyle w:val="TextBody"/>
        <w:bidi w:val="0"/>
        <w:spacing w:before="0" w:after="283"/>
        <w:jc w:val="left"/>
        <w:rPr/>
      </w:pPr>
      <w:r>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28 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Management’s Discussion &amp; Analysis</w:t>
            </w:r>
            <w:r>
              <w:rPr>
                <w:rFonts w:ascii="Times New Roman;Times;Serif" w:hAnsi="Times New Roman;Times;Serif"/>
                <w:b w:val="false"/>
                <w:i w:val="false"/>
                <w:caps w:val="false"/>
                <w:smallCaps w:val="false"/>
                <w:sz w:val="20"/>
              </w:rPr>
              <w:t xml:space="preserve"> </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 w:name="m_009"/>
      <w:bookmarkEnd w:id="97"/>
      <w:r>
        <w:rPr>
          <w:rFonts w:ascii="Times New Roman;Times;Serif" w:hAnsi="Times New Roman;Times;Serif"/>
          <w:b/>
          <w:i w:val="false"/>
          <w:caps w:val="false"/>
          <w:smallCaps w:val="false"/>
          <w:sz w:val="20"/>
        </w:rPr>
        <w:t>9. SELECTED QUARTERLY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2488"/>
        <w:gridCol w:w="60"/>
        <w:gridCol w:w="60"/>
        <w:gridCol w:w="652"/>
        <w:gridCol w:w="215"/>
        <w:gridCol w:w="60"/>
        <w:gridCol w:w="60"/>
        <w:gridCol w:w="651"/>
        <w:gridCol w:w="191"/>
        <w:gridCol w:w="60"/>
        <w:gridCol w:w="60"/>
        <w:gridCol w:w="651"/>
        <w:gridCol w:w="185"/>
        <w:gridCol w:w="60"/>
        <w:gridCol w:w="60"/>
        <w:gridCol w:w="651"/>
        <w:gridCol w:w="185"/>
        <w:gridCol w:w="60"/>
        <w:gridCol w:w="60"/>
        <w:gridCol w:w="651"/>
        <w:gridCol w:w="191"/>
        <w:gridCol w:w="60"/>
        <w:gridCol w:w="60"/>
        <w:gridCol w:w="651"/>
        <w:gridCol w:w="185"/>
        <w:gridCol w:w="60"/>
        <w:gridCol w:w="60"/>
        <w:gridCol w:w="651"/>
        <w:gridCol w:w="191"/>
        <w:gridCol w:w="60"/>
        <w:gridCol w:w="60"/>
        <w:gridCol w:w="651"/>
        <w:gridCol w:w="205"/>
      </w:tblGrid>
      <w:tr>
        <w:trPr/>
        <w:tc>
          <w:tcPr>
            <w:tcW w:w="2488" w:type="dxa"/>
            <w:tcBorders>
              <w:top w:val="single" w:sz="8" w:space="0" w:color="000000"/>
              <w:bottom w:val="single" w:sz="8" w:space="0" w:color="000000"/>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in thousands except earnings per share)</w:t>
            </w:r>
          </w:p>
        </w:tc>
        <w:tc>
          <w:tcPr>
            <w:tcW w:w="60"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712"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2024</w:t>
            </w:r>
          </w:p>
        </w:tc>
        <w:tc>
          <w:tcPr>
            <w:tcW w:w="215"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711"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2024</w:t>
            </w:r>
          </w:p>
        </w:tc>
        <w:tc>
          <w:tcPr>
            <w:tcW w:w="191"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711"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Q2 2024</w:t>
            </w:r>
          </w:p>
        </w:tc>
        <w:tc>
          <w:tcPr>
            <w:tcW w:w="185"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711"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Q1 2024</w:t>
            </w:r>
          </w:p>
        </w:tc>
        <w:tc>
          <w:tcPr>
            <w:tcW w:w="185"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711"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Q4 2023</w:t>
            </w:r>
          </w:p>
        </w:tc>
        <w:tc>
          <w:tcPr>
            <w:tcW w:w="191"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711"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Q3 2023</w:t>
            </w:r>
          </w:p>
        </w:tc>
        <w:tc>
          <w:tcPr>
            <w:tcW w:w="185"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711"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Q2 2023</w:t>
            </w:r>
          </w:p>
        </w:tc>
        <w:tc>
          <w:tcPr>
            <w:tcW w:w="191"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711"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Q1 2023</w:t>
            </w:r>
          </w:p>
        </w:tc>
        <w:tc>
          <w:tcPr>
            <w:tcW w:w="205" w:type="dxa"/>
            <w:tcBorders>
              <w:top w:val="single" w:sz="8" w:space="0" w:color="000000"/>
              <w:bottom w:val="single" w:sz="8" w:space="0" w:color="000000"/>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48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56,163</w:t>
            </w:r>
          </w:p>
        </w:tc>
        <w:tc>
          <w:tcPr>
            <w:tcW w:w="21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44,853</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41,548</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50,317</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46,241</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34,596</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35,479</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30,050</w:t>
            </w:r>
          </w:p>
        </w:tc>
        <w:tc>
          <w:tcPr>
            <w:tcW w:w="205" w:type="dxa"/>
            <w:tcBorders/>
            <w:shd w:fill="CCEE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15,165</w:t>
            </w:r>
          </w:p>
        </w:tc>
        <w:tc>
          <w:tcPr>
            <w:tcW w:w="21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(36,649</w:t>
            </w:r>
          </w:p>
        </w:tc>
        <w:tc>
          <w:tcPr>
            <w:tcW w:w="191"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(26,599</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(5,980</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(62,045</w:t>
            </w:r>
          </w:p>
        </w:tc>
        <w:tc>
          <w:tcPr>
            <w:tcW w:w="191"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(16,507</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(26,083</w:t>
            </w:r>
          </w:p>
        </w:tc>
        <w:tc>
          <w:tcPr>
            <w:tcW w:w="191"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w:t>
            </w:r>
          </w:p>
        </w:tc>
        <w:tc>
          <w:tcPr>
            <w:tcW w:w="205" w:type="dxa"/>
            <w:tcBorders/>
            <w:shd w:fill="FFFFFF" w:val="clear"/>
            <w:tcMar>
              <w:top w:w="0" w:type="dxa"/>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0.03</w:t>
            </w:r>
          </w:p>
        </w:tc>
        <w:tc>
          <w:tcPr>
            <w:tcW w:w="21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91"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18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8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191"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18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191"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205" w:type="dxa"/>
            <w:tcBorders/>
            <w:shd w:fill="CCEEFF" w:val="clear"/>
            <w:tcMar>
              <w:top w:w="0" w:type="dxa"/>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(loss) per share</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0.03</w:t>
            </w:r>
          </w:p>
        </w:tc>
        <w:tc>
          <w:tcPr>
            <w:tcW w:w="21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91"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191"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191"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205" w:type="dxa"/>
            <w:tcBorders/>
            <w:shd w:fill="FFFFFF" w:val="clear"/>
            <w:tcMar>
              <w:top w:w="0" w:type="dxa"/>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8" w:type="dxa"/>
            <w:tcBorders>
              <w:top w:val="single" w:sz="8" w:space="0" w:color="000000"/>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before income taxes</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top w:val="single" w:sz="8" w:space="0" w:color="000000"/>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5,458</w:t>
            </w:r>
          </w:p>
        </w:tc>
        <w:tc>
          <w:tcPr>
            <w:tcW w:w="215"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(36,651</w:t>
            </w:r>
          </w:p>
        </w:tc>
        <w:tc>
          <w:tcPr>
            <w:tcW w:w="191" w:type="dxa"/>
            <w:tcBorders>
              <w:top w:val="single" w:sz="8" w:space="0" w:color="000000"/>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(24,895</w:t>
            </w:r>
          </w:p>
        </w:tc>
        <w:tc>
          <w:tcPr>
            <w:tcW w:w="185" w:type="dxa"/>
            <w:tcBorders>
              <w:top w:val="single" w:sz="8" w:space="0" w:color="000000"/>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(12,265</w:t>
            </w:r>
          </w:p>
        </w:tc>
        <w:tc>
          <w:tcPr>
            <w:tcW w:w="185" w:type="dxa"/>
            <w:tcBorders>
              <w:top w:val="single" w:sz="8" w:space="0" w:color="000000"/>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(62,423</w:t>
            </w:r>
          </w:p>
        </w:tc>
        <w:tc>
          <w:tcPr>
            <w:tcW w:w="191" w:type="dxa"/>
            <w:tcBorders>
              <w:top w:val="single" w:sz="8" w:space="0" w:color="000000"/>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(16,106</w:t>
            </w:r>
          </w:p>
        </w:tc>
        <w:tc>
          <w:tcPr>
            <w:tcW w:w="185" w:type="dxa"/>
            <w:tcBorders>
              <w:top w:val="single" w:sz="8" w:space="0" w:color="000000"/>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(26,177</w:t>
            </w:r>
          </w:p>
        </w:tc>
        <w:tc>
          <w:tcPr>
            <w:tcW w:w="191" w:type="dxa"/>
            <w:tcBorders>
              <w:top w:val="single" w:sz="8" w:space="0" w:color="000000"/>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(4,617</w:t>
            </w:r>
          </w:p>
        </w:tc>
        <w:tc>
          <w:tcPr>
            <w:tcW w:w="205" w:type="dxa"/>
            <w:tcBorders>
              <w:top w:val="single" w:sz="8" w:space="0" w:color="000000"/>
              <w:bottom w:val="single" w:sz="8" w:space="0" w:color="000000"/>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and expense</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w:t>
            </w:r>
          </w:p>
        </w:tc>
        <w:tc>
          <w:tcPr>
            <w:tcW w:w="21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w:t>
            </w:r>
          </w:p>
        </w:tc>
        <w:tc>
          <w:tcPr>
            <w:tcW w:w="191"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(1,693</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w:t>
            </w:r>
          </w:p>
        </w:tc>
        <w:tc>
          <w:tcPr>
            <w:tcW w:w="205" w:type="dxa"/>
            <w:tcBorders/>
            <w:shd w:fill="FFFF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24,584</w:t>
            </w:r>
          </w:p>
        </w:tc>
        <w:tc>
          <w:tcPr>
            <w:tcW w:w="21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28,829</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57,337</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38,977</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21,790</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21,767</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20,528</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20,700</w:t>
            </w:r>
          </w:p>
        </w:tc>
        <w:tc>
          <w:tcPr>
            <w:tcW w:w="205" w:type="dxa"/>
            <w:tcBorders/>
            <w:shd w:fill="CCEE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tax recovery - depreciation and amortization</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(8,760</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205" w:type="dxa"/>
            <w:tcBorders/>
            <w:shd w:fill="FFFF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top w:val="single" w:sz="8" w:space="0" w:color="000000"/>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EBITDA </w:t>
            </w:r>
            <w:r>
              <w:rPr>
                <w:rFonts w:ascii="Times New Roman;Times;Serif" w:hAnsi="Times New Roman;Times;Serif"/>
                <w:b/>
                <w:i w:val="false"/>
                <w:caps w:val="false"/>
                <w:smallCaps w:val="false"/>
                <w:position w:val="7"/>
                <w:sz w:val="16"/>
                <w:sz w:val="20"/>
              </w:rPr>
              <w:t>(1)</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29,752</w:t>
            </w:r>
          </w:p>
        </w:tc>
        <w:tc>
          <w:tcPr>
            <w:tcW w:w="215"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(9,836</w:t>
            </w:r>
          </w:p>
        </w:tc>
        <w:tc>
          <w:tcPr>
            <w:tcW w:w="191" w:type="dxa"/>
            <w:tcBorders>
              <w:top w:val="single" w:sz="8" w:space="0" w:color="000000"/>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21,989</w:t>
            </w:r>
          </w:p>
        </w:tc>
        <w:tc>
          <w:tcPr>
            <w:tcW w:w="185"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26,410</w:t>
            </w:r>
          </w:p>
        </w:tc>
        <w:tc>
          <w:tcPr>
            <w:tcW w:w="185"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(40,542</w:t>
            </w:r>
          </w:p>
        </w:tc>
        <w:tc>
          <w:tcPr>
            <w:tcW w:w="191" w:type="dxa"/>
            <w:tcBorders>
              <w:top w:val="single" w:sz="8" w:space="0" w:color="000000"/>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6,029</w:t>
            </w:r>
          </w:p>
        </w:tc>
        <w:tc>
          <w:tcPr>
            <w:tcW w:w="185"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(4,803</w:t>
            </w:r>
          </w:p>
        </w:tc>
        <w:tc>
          <w:tcPr>
            <w:tcW w:w="191" w:type="dxa"/>
            <w:tcBorders>
              <w:top w:val="single" w:sz="8" w:space="0" w:color="000000"/>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17,437</w:t>
            </w:r>
          </w:p>
        </w:tc>
        <w:tc>
          <w:tcPr>
            <w:tcW w:w="205" w:type="dxa"/>
            <w:tcBorders>
              <w:top w:val="single" w:sz="8" w:space="0" w:color="000000"/>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EBITDA margin </w:t>
            </w:r>
            <w:r>
              <w:rPr>
                <w:rFonts w:ascii="Times New Roman;Times;Serif" w:hAnsi="Times New Roman;Times;Serif"/>
                <w:b/>
                <w:i w:val="false"/>
                <w:caps w:val="false"/>
                <w:smallCaps w:val="false"/>
                <w:position w:val="7"/>
                <w:sz w:val="16"/>
                <w:sz w:val="20"/>
              </w:rPr>
              <w:t>(1)</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215"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91"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85"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85"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91"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85"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91"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205" w:type="dxa"/>
            <w:tcBorders>
              <w:bottom w:val="single" w:sz="8" w:space="0" w:color="000000"/>
            </w:tcBorders>
            <w:shd w:fill="FFFFFF" w:val="clear"/>
            <w:tcMar>
              <w:top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4,021</w:t>
            </w:r>
          </w:p>
        </w:tc>
        <w:tc>
          <w:tcPr>
            <w:tcW w:w="21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5,159</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3,906</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2,536</w:t>
            </w:r>
          </w:p>
        </w:tc>
        <w:tc>
          <w:tcPr>
            <w:tcW w:w="205" w:type="dxa"/>
            <w:tcBorders/>
            <w:shd w:fill="CCEE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disposition of digital assets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205" w:type="dxa"/>
            <w:tcBorders/>
            <w:shd w:fill="FFFF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revaluation loss on digital assets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w:t>
            </w:r>
          </w:p>
        </w:tc>
        <w:tc>
          <w:tcPr>
            <w:tcW w:w="191"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(2,695</w:t>
            </w:r>
          </w:p>
        </w:tc>
        <w:tc>
          <w:tcPr>
            <w:tcW w:w="205" w:type="dxa"/>
            <w:tcBorders/>
            <w:shd w:fill="CCEEFF" w:val="clear"/>
            <w:tcMar>
              <w:top w:w="0" w:type="dxa"/>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long-term debt and lease liabilities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(12,835</w:t>
            </w:r>
          </w:p>
        </w:tc>
        <w:tc>
          <w:tcPr>
            <w:tcW w:w="205" w:type="dxa"/>
            <w:tcBorders/>
            <w:shd w:fill="FFFFFF" w:val="clear"/>
            <w:tcMar>
              <w:top w:w="0" w:type="dxa"/>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on short-term prepaid deposits, assets held for sale, equipment and construction prepayments, property, plant and equipment and right-of-use assets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3,628</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2,270</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9,982</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205" w:type="dxa"/>
            <w:tcBorders/>
            <w:shd w:fill="CCEE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revaluation of warrants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(6,314</w:t>
            </w:r>
          </w:p>
        </w:tc>
        <w:tc>
          <w:tcPr>
            <w:tcW w:w="21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(5,704</w:t>
            </w:r>
          </w:p>
        </w:tc>
        <w:tc>
          <w:tcPr>
            <w:tcW w:w="191"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1,455</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(9,040</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42,760</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(2,196</w:t>
            </w:r>
          </w:p>
        </w:tc>
        <w:tc>
          <w:tcPr>
            <w:tcW w:w="18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1,189</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205" w:type="dxa"/>
            <w:tcBorders/>
            <w:shd w:fill="FFFF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disposition of marketable securities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(782</w:t>
            </w:r>
          </w:p>
        </w:tc>
        <w:tc>
          <w:tcPr>
            <w:tcW w:w="21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w:t>
            </w:r>
          </w:p>
        </w:tc>
        <w:tc>
          <w:tcPr>
            <w:tcW w:w="191"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18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18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w:t>
            </w:r>
          </w:p>
        </w:tc>
        <w:tc>
          <w:tcPr>
            <w:tcW w:w="191"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(4,120</w:t>
            </w:r>
          </w:p>
        </w:tc>
        <w:tc>
          <w:tcPr>
            <w:tcW w:w="18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(4,955</w:t>
            </w:r>
          </w:p>
        </w:tc>
        <w:tc>
          <w:tcPr>
            <w:tcW w:w="191"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w:t>
            </w:r>
          </w:p>
        </w:tc>
        <w:tc>
          <w:tcPr>
            <w:tcW w:w="205" w:type="dxa"/>
            <w:tcBorders/>
            <w:shd w:fill="CCEEFF" w:val="clear"/>
            <w:tcMar>
              <w:top w:w="0" w:type="dxa"/>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fees not associated with ongoing operations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w:t>
            </w:r>
          </w:p>
        </w:tc>
        <w:tc>
          <w:tcPr>
            <w:tcW w:w="21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3,096</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205" w:type="dxa"/>
            <w:tcBorders/>
            <w:shd w:fill="FFFF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tax recovery - prior years - energy and infrastructure and G&amp;A expenses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(18,468</w:t>
            </w:r>
          </w:p>
        </w:tc>
        <w:tc>
          <w:tcPr>
            <w:tcW w:w="18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2,387</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2,485</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2,366</w:t>
            </w:r>
          </w:p>
        </w:tc>
        <w:tc>
          <w:tcPr>
            <w:tcW w:w="18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w:t>
            </w:r>
          </w:p>
        </w:tc>
        <w:tc>
          <w:tcPr>
            <w:tcW w:w="191"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2,097</w:t>
            </w:r>
          </w:p>
        </w:tc>
        <w:tc>
          <w:tcPr>
            <w:tcW w:w="205" w:type="dxa"/>
            <w:tcBorders/>
            <w:shd w:fill="CCEE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financial expenses and other</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(13,649</w:t>
            </w:r>
          </w:p>
        </w:tc>
        <w:tc>
          <w:tcPr>
            <w:tcW w:w="21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3,706</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2,132</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7,635</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3,610</w:t>
            </w:r>
          </w:p>
        </w:tc>
        <w:tc>
          <w:tcPr>
            <w:tcW w:w="18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3,760</w:t>
            </w:r>
          </w:p>
        </w:tc>
        <w:tc>
          <w:tcPr>
            <w:tcW w:w="191"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2,785</w:t>
            </w:r>
          </w:p>
        </w:tc>
        <w:tc>
          <w:tcPr>
            <w:tcW w:w="205" w:type="dxa"/>
            <w:tcBorders/>
            <w:shd w:fill="FFFFFF" w:val="clear"/>
            <w:tcMar>
              <w:top w:w="0" w:type="dxa"/>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top w:val="single" w:sz="8" w:space="0" w:color="000000"/>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Adjusted EBITDA </w:t>
            </w:r>
            <w:r>
              <w:rPr>
                <w:rFonts w:ascii="Times New Roman;Times;Serif" w:hAnsi="Times New Roman;Times;Serif"/>
                <w:b/>
                <w:i w:val="false"/>
                <w:caps w:val="false"/>
                <w:smallCaps w:val="false"/>
                <w:position w:val="7"/>
                <w:sz w:val="16"/>
                <w:sz w:val="20"/>
              </w:rPr>
              <w:t>(1)</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14,315</w:t>
            </w:r>
          </w:p>
        </w:tc>
        <w:tc>
          <w:tcPr>
            <w:tcW w:w="215"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5,556</w:t>
            </w:r>
          </w:p>
        </w:tc>
        <w:tc>
          <w:tcPr>
            <w:tcW w:w="191"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11,466</w:t>
            </w:r>
          </w:p>
        </w:tc>
        <w:tc>
          <w:tcPr>
            <w:tcW w:w="185"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23,324</w:t>
            </w:r>
          </w:p>
        </w:tc>
        <w:tc>
          <w:tcPr>
            <w:tcW w:w="185"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16,332</w:t>
            </w:r>
          </w:p>
        </w:tc>
        <w:tc>
          <w:tcPr>
            <w:tcW w:w="191"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8,883</w:t>
            </w:r>
          </w:p>
        </w:tc>
        <w:tc>
          <w:tcPr>
            <w:tcW w:w="185"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9,968</w:t>
            </w:r>
          </w:p>
        </w:tc>
        <w:tc>
          <w:tcPr>
            <w:tcW w:w="191"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top w:val="single" w:sz="8" w:space="0" w:color="000000"/>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w:t>
            </w:r>
          </w:p>
        </w:tc>
        <w:tc>
          <w:tcPr>
            <w:tcW w:w="205" w:type="dxa"/>
            <w:tcBorders>
              <w:top w:val="single" w:sz="8" w:space="0" w:color="000000"/>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88"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Adjusted EBITDA margin </w:t>
            </w:r>
            <w:r>
              <w:rPr>
                <w:rFonts w:ascii="Times New Roman;Times;Serif" w:hAnsi="Times New Roman;Times;Serif"/>
                <w:b/>
                <w:i w:val="false"/>
                <w:caps w:val="false"/>
                <w:smallCaps w:val="false"/>
                <w:position w:val="7"/>
                <w:sz w:val="16"/>
                <w:sz w:val="20"/>
              </w:rPr>
              <w:t>(1)</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5"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91"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85"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85"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91"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185"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91"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1"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05" w:type="dxa"/>
            <w:tcBorders>
              <w:bottom w:val="single" w:sz="12"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41"/>
        <w:gridCol w:w="10064"/>
      </w:tblGrid>
      <w:tr>
        <w:trPr/>
        <w:tc>
          <w:tcPr>
            <w:tcW w:w="141"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64" w:type="dxa"/>
            <w:tcBorders>
              <w:top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EBITDA, EBITDA margin, Adjusted EBITDA and Adjusted EBITDA margin are non-IFRS measures or ratios; refer to Section 10 - </w:t>
            </w:r>
            <w:r>
              <w:rPr>
                <w:rFonts w:ascii="Times New Roman;Times;Serif" w:hAnsi="Times New Roman;Times;Serif"/>
                <w:b w:val="false"/>
                <w:i/>
                <w:caps w:val="false"/>
                <w:smallCaps w:val="false"/>
                <w:sz w:val="20"/>
              </w:rPr>
              <w:t>Non-IFRS and Other Financial Measures and Ratios</w:t>
            </w:r>
            <w:r>
              <w:rPr>
                <w:rFonts w:ascii="Times New Roman;Times;Serif" w:hAnsi="Times New Roman;Times;Serif"/>
                <w:b w:val="false"/>
                <w:i w:val="false"/>
                <w:caps w:val="false"/>
                <w:smallCaps w:val="false"/>
                <w:sz w:val="20"/>
              </w:rPr>
              <w:t>.</w:t>
            </w:r>
          </w:p>
        </w:tc>
      </w:tr>
      <w:tr>
        <w:trPr/>
        <w:tc>
          <w:tcPr>
            <w:tcW w:w="141"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064" w:type="dxa"/>
            <w:tcBorders/>
            <w:tcMar>
              <w:top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1"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 xml:space="preserve">2 </w:t>
            </w:r>
          </w:p>
        </w:tc>
        <w:tc>
          <w:tcPr>
            <w:tcW w:w="10064" w:type="dxa"/>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tax recovery relating to energy and infrastructure and general and administrative expenses have been allocated to their respective periods; refer to Note 29b - </w:t>
            </w:r>
            <w:r>
              <w:rPr>
                <w:rFonts w:ascii="Times New Roman;Times;Serif" w:hAnsi="Times New Roman;Times;Serif"/>
                <w:b w:val="false"/>
                <w:i/>
                <w:caps w:val="false"/>
                <w:smallCaps w:val="false"/>
                <w:sz w:val="20"/>
              </w:rPr>
              <w:t>Additional Details to the Statement of Profit or Loss and Comprehensive Profit or Loss (Canadian sales tax refund)</w:t>
            </w:r>
            <w:r>
              <w:rPr>
                <w:rFonts w:ascii="Times New Roman;Times;Serif" w:hAnsi="Times New Roman;Times;Serif"/>
                <w:b w:val="false"/>
                <w:i w:val="false"/>
                <w:caps w:val="false"/>
                <w:smallCaps w:val="false"/>
                <w:sz w:val="20"/>
              </w:rPr>
              <w:t xml:space="preserve"> to the Financial Statements. </w:t>
            </w:r>
          </w:p>
        </w:tc>
      </w:tr>
    </w:tbl>
    <w:p>
      <w:pPr>
        <w:pStyle w:val="TextBody"/>
        <w:bidi w:val="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29 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SELECTED QUARTERLY INFORMATION</w:t>
      </w:r>
      <w:r>
        <w:rPr>
          <w:rFonts w:ascii="Times New Roman;Times;Serif" w:hAnsi="Times New Roman;Times;Serif"/>
          <w:b w:val="false"/>
          <w:i w:val="false"/>
          <w:caps w:val="false"/>
          <w:smallCaps w:val="false"/>
          <w:sz w:val="20"/>
        </w:rPr>
        <w:t xml:space="preserve"> (Continued)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BTC Mining industry experiences volatility, it is not generally subject to seasonality or seasonal effects. Seasonal fluctuations in energy supply, however, may impact the Company’s operations. The majority of the Company’s operations during the above periods were in Quebec, Canada, where power was sourced directly from Hydro-Québec, Hydro-Magog, Hydro-Sherbrooke and the City of Baie-Comeau. The Company also had operations in Washington State, United States, that were powered by the Grant County Power Utility District, operations in Pennsylvania, United States that were powered by Stronghold and PJM Interconnection Merchant Market, as well as operations in Paraguay that were powered by ANDE and Compañía de Luz y Fuerza S.A (“CLYFSA”). Energy rates in Argentina increase during the winter months of May through September. Among other phenomena, changing weather in Quebec (Canada) Washington State (United States), Paraguay or Argentina may impact seasonal electricity needs and costs.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Q4 2024 details, refer to Section 8A - </w:t>
      </w:r>
      <w:r>
        <w:rPr>
          <w:rFonts w:ascii="Times New Roman;Times;Serif" w:hAnsi="Times New Roman;Times;Serif"/>
          <w:b w:val="false"/>
          <w:i/>
          <w:caps w:val="false"/>
          <w:smallCaps w:val="false"/>
          <w:sz w:val="20"/>
        </w:rPr>
        <w:t>Financial Performance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xml:space="preserve"> Section 11A - </w:t>
      </w:r>
      <w:r>
        <w:rPr>
          <w:rFonts w:ascii="Times New Roman;Times;Serif" w:hAnsi="Times New Roman;Times;Serif"/>
          <w:b w:val="false"/>
          <w:i/>
          <w:caps w:val="false"/>
          <w:smallCaps w:val="false"/>
          <w:sz w:val="20"/>
        </w:rPr>
        <w:t>Liquidity and Capital Resources (Cash Flows);</w:t>
      </w:r>
      <w:r>
        <w:rPr>
          <w:rFonts w:ascii="Times New Roman;Times;Serif" w:hAnsi="Times New Roman;Times;Serif"/>
          <w:b w:val="false"/>
          <w:i w:val="false"/>
          <w:caps w:val="false"/>
          <w:smallCaps w:val="false"/>
          <w:sz w:val="20"/>
        </w:rPr>
        <w:t xml:space="preserve"> and Section 7 - </w:t>
      </w:r>
      <w:r>
        <w:rPr>
          <w:rFonts w:ascii="Times New Roman;Times;Serif" w:hAnsi="Times New Roman;Times;Serif"/>
          <w:b w:val="false"/>
          <w:i/>
          <w:caps w:val="false"/>
          <w:smallCaps w:val="false"/>
          <w:sz w:val="20"/>
        </w:rPr>
        <w:t>Expansion Projects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United States Expansion, Paraguay Expansion, and Canada Expansion</w:t>
      </w:r>
      <w:r>
        <w:rPr>
          <w:rFonts w:ascii="Times New Roman;Times;Serif" w:hAnsi="Times New Roman;Times;Serif"/>
          <w:b w:val="false"/>
          <w:i w:val="false"/>
          <w:caps w:val="false"/>
          <w:smallCaps w:val="false"/>
          <w:sz w:val="20"/>
        </w:rPr>
        <w:t>) of this MD&amp;A.</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30 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8" w:name="m_010"/>
      <w:bookmarkEnd w:id="98"/>
      <w:r>
        <w:rPr>
          <w:rFonts w:ascii="Times New Roman;Times;Serif" w:hAnsi="Times New Roman;Times;Serif"/>
          <w:b/>
          <w:i w:val="false"/>
          <w:caps w:val="false"/>
          <w:smallCaps w:val="false"/>
          <w:sz w:val="20"/>
        </w:rPr>
        <w:t>10. NON-IFRS AND OTHER FINANCIAL MEASURES AND RATIOS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23 - </w:t>
      </w:r>
      <w:r>
        <w:rPr>
          <w:rFonts w:ascii="Times New Roman;Times;Serif" w:hAnsi="Times New Roman;Times;Serif"/>
          <w:b w:val="false"/>
          <w:i/>
          <w:caps w:val="false"/>
          <w:smallCaps w:val="false"/>
          <w:sz w:val="20"/>
        </w:rPr>
        <w:t xml:space="preserve">Cautionary Note Regarding Non-IFRS and Other Financial Measures and Ratios </w:t>
      </w:r>
      <w:r>
        <w:rPr>
          <w:rFonts w:ascii="Times New Roman;Times;Serif" w:hAnsi="Times New Roman;Times;Serif"/>
          <w:b w:val="false"/>
          <w:i w:val="false"/>
          <w:caps w:val="false"/>
          <w:smallCaps w:val="false"/>
          <w:sz w:val="20"/>
        </w:rPr>
        <w:t>of this MD&amp;A.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947"/>
        <w:gridCol w:w="6290"/>
        <w:gridCol w:w="2968"/>
      </w:tblGrid>
      <w:tr>
        <w:trPr/>
        <w:tc>
          <w:tcPr>
            <w:tcW w:w="947"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Measures</w:t>
            </w:r>
          </w:p>
        </w:tc>
        <w:tc>
          <w:tcPr>
            <w:tcW w:w="629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w:t>
            </w:r>
          </w:p>
        </w:tc>
        <w:tc>
          <w:tcPr>
            <w:tcW w:w="2968" w:type="dxa"/>
            <w:tcBorders>
              <w:top w:val="single" w:sz="8" w:space="0" w:color="000000"/>
              <w:bottom w:val="single" w:sz="8" w:space="0" w:color="000000"/>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947"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Mining  profit</w:t>
            </w:r>
          </w:p>
        </w:tc>
        <w:tc>
          <w:tcPr>
            <w:tcW w:w="629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adjusted to exclude: (i) non-Mining revenues; (ii) depreciation and amortization; (iii) purchase of electrical components and other expenses; (iv) electrician salaries and payroll taxes; and (v) sales tax recovery.</w:t>
            </w:r>
          </w:p>
        </w:tc>
        <w:tc>
          <w:tcPr>
            <w:tcW w:w="2968" w:type="dxa"/>
            <w:tcBorders>
              <w:bottom w:val="single" w:sz="8" w:space="0" w:color="000000"/>
            </w:tcBorders>
            <w:tcMar>
              <w:top w:w="0" w:type="dxa"/>
            </w:tcMar>
            <w:vAlign w:val="center"/>
          </w:tcPr>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profitability after power costs in cryptocurrency production and other infrastructure costs. Power costs are the largest variable expense in Mining.</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provide the users of the MD&amp;A the ability to assess the gross profitability of the Company’s core digital asset Mining operations.</w:t>
            </w:r>
          </w:p>
        </w:tc>
      </w:tr>
      <w:tr>
        <w:trPr/>
        <w:tc>
          <w:tcPr>
            <w:tcW w:w="947" w:type="dxa"/>
            <w:tcBorders>
              <w:bottom w:val="single" w:sz="8" w:space="0" w:color="000000"/>
            </w:tcBorders>
            <w:tcMar>
              <w:top w:w="0" w:type="dxa"/>
              <w:bottom w:w="4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EBITDA </w:t>
            </w:r>
            <w:r>
              <w:rPr>
                <w:rFonts w:ascii="Times New Roman;Times;Serif" w:hAnsi="Times New Roman;Times;Serif"/>
                <w:b w:val="false"/>
                <w:i w:val="false"/>
                <w:caps w:val="false"/>
                <w:smallCaps w:val="false"/>
                <w:sz w:val="20"/>
              </w:rPr>
              <w:t>   </w:t>
            </w:r>
          </w:p>
        </w:tc>
        <w:tc>
          <w:tcPr>
            <w:tcW w:w="6290" w:type="dxa"/>
            <w:tcBorders>
              <w:bottom w:val="single" w:sz="8" w:space="0" w:color="000000"/>
            </w:tcBorders>
            <w:tcMar>
              <w:top w:w="0" w:type="dxa"/>
              <w:bottom w:w="4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adjusted to exclude: (i) interest expense; (ii) income tax expense; and (iii) depreciation and amortization.  </w:t>
            </w:r>
          </w:p>
        </w:tc>
        <w:tc>
          <w:tcPr>
            <w:tcW w:w="2968" w:type="dxa"/>
            <w:tcBorders>
              <w:bottom w:val="single" w:sz="8" w:space="0" w:color="000000"/>
            </w:tcBorders>
            <w:tcMar>
              <w:top w:w="0" w:type="dxa"/>
              <w:bottom w:w="40" w:type="dxa"/>
            </w:tcMar>
            <w:vAlign w:val="center"/>
          </w:tcPr>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profitability before the impact of different financing methods, income taxes, depreciation of capital assets and amortization of intangible assets.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provide the users of the MD&amp;A with additional information to assist them in understanding components of the Company’s financial results, including a more complete understanding of factors and trends affecting its performance.</w:t>
            </w:r>
          </w:p>
          <w:p>
            <w:pPr>
              <w:pStyle w:val="TableContents"/>
              <w:bidi w:val="0"/>
              <w:spacing w:before="0" w:after="0"/>
              <w:ind w:left="0" w:right="0" w:hanging="1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Used by Management to facilitate comparisons of operating performance from period to period and to prepare annual operating budgets and forecasts.</w:t>
            </w:r>
          </w:p>
        </w:tc>
      </w:tr>
      <w:tr>
        <w:trPr/>
        <w:tc>
          <w:tcPr>
            <w:tcW w:w="947"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29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adjusted to exclude: (i) share-based payment; (ii) non-cash finance expenses; (iii) asset impairment charges; (iv) realized gains or losses on disposition of digital assets and  (reversal of) revaluation loss on digital assets; (v) gain on disposition of marketable securities, gains or losses on derivative assets and liabilities and discount expense on VAT receivable; (vi) loss (gain) on revaluation of warrants and warrant issuance costs; (vii) loss on currency exchange; (viii) sales tax recovery; and (iv) other non-recurring items that do not reflect the core performance of the Company.</w:t>
            </w:r>
          </w:p>
        </w:tc>
        <w:tc>
          <w:tcPr>
            <w:tcW w:w="2968" w:type="dxa"/>
            <w:tcBorders>
              <w:bottom w:val="single" w:sz="8" w:space="0" w:color="000000"/>
            </w:tcBorders>
            <w:tcMar>
              <w:top w:w="0" w:type="dxa"/>
            </w:tcMar>
            <w:vAlign w:val="center"/>
          </w:tcPr>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profitability before the impact of all of the items in calculating EBITDA in addition to certain other non-cash expenses.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provide the users of the MD&amp;A a consistent comparable metric for profitability of the Company’s core performance across time periods.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Used by Management to facilitate comparisons of operating performance from period to period and to prepare annual operating budgets and forecasts.</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31 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NON-IFRS AND OTHER FINANCIAL MEASURES AND RATIOS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Non-IFRS financial measures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937"/>
        <w:gridCol w:w="6440"/>
        <w:gridCol w:w="2828"/>
      </w:tblGrid>
      <w:tr>
        <w:trPr/>
        <w:tc>
          <w:tcPr>
            <w:tcW w:w="937"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Measures</w:t>
            </w:r>
          </w:p>
        </w:tc>
        <w:tc>
          <w:tcPr>
            <w:tcW w:w="644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w:t>
            </w:r>
          </w:p>
        </w:tc>
        <w:tc>
          <w:tcPr>
            <w:tcW w:w="2828"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937"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Cost</w:t>
            </w:r>
          </w:p>
        </w:tc>
        <w:tc>
          <w:tcPr>
            <w:tcW w:w="644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revenues adjusted to exclude: (i) depreciation and amortization; (ii) purchases of electrical components; (iii) electrician salaries and payroll taxes; (iv) infrastructure; (v) sales tax recovery; and (vi) other direct expenses. </w:t>
            </w:r>
          </w:p>
        </w:tc>
        <w:tc>
          <w:tcPr>
            <w:tcW w:w="2828" w:type="dxa"/>
            <w:tcBorders>
              <w:bottom w:val="single" w:sz="8" w:space="0" w:color="000000"/>
            </w:tcBorders>
            <w:tcMar>
              <w:top w:w="0" w:type="dxa"/>
            </w:tcMar>
            <w:vAlign w:val="center"/>
          </w:tcPr>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the Company’s power and hosting costs, the largest variable expense in Mining.</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provide the users of the MD&amp;A a metric to evaluate the Company’s direct variable cost for its core digital asset Mining operations across time periods.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Used by Management to assess the operating performance from period to period and to prepare annual operating budgets and forecasts.</w:t>
            </w:r>
          </w:p>
        </w:tc>
      </w:tr>
      <w:tr>
        <w:trPr/>
        <w:tc>
          <w:tcPr>
            <w:tcW w:w="937"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Cash Cost</w:t>
            </w:r>
          </w:p>
        </w:tc>
        <w:tc>
          <w:tcPr>
            <w:tcW w:w="6440"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cost of revenues and general and administrative expenses before: (i) depreciation and amortization; (ii) non-cash service expense (iii) purchases of electrical components; (iv) electrician salaries and payroll taxes; (v) share-based payment; (vi) other direct expenses; (vii) sales tax recovery; and (viii) other non-recurring items that do not reflect the core performance of the Company.</w:t>
            </w:r>
            <w:r>
              <w:rPr>
                <w:rFonts w:ascii="Times New Roman;Times;Serif" w:hAnsi="Times New Roman;Times;Serif"/>
                <w:b w:val="false"/>
                <w:i w:val="false"/>
                <w:caps w:val="false"/>
                <w:smallCaps w:val="false"/>
                <w:position w:val="7"/>
                <w:sz w:val="16"/>
                <w:sz w:val="20"/>
              </w:rPr>
              <w:t>1</w:t>
            </w:r>
          </w:p>
        </w:tc>
        <w:tc>
          <w:tcPr>
            <w:tcW w:w="2828" w:type="dxa"/>
            <w:tcBorders>
              <w:bottom w:val="single" w:sz="8" w:space="0" w:color="000000"/>
            </w:tcBorders>
            <w:tcMar>
              <w:top w:w="0" w:type="dxa"/>
            </w:tcMar>
            <w:vAlign w:val="center"/>
          </w:tcPr>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the total cash cost of the Company’s core digital asset Mining operations.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provide the users of the MD&amp;A a consistent comparable metric for the liquidity impact of the Company’s mining activities across time periods.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Used by Management to assess the operating performance from period to period and to prepare annual operating budgets and forecasts.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revised the definition of Total Cash Cost from a net income (loss)-based approach to the sum of cost of revenues and G&amp;A expenses before specified items, which lead to the same results as the previous approach. This change simplifies the measure’s presentation and enhances clarity for users.</w:t>
            </w:r>
          </w:p>
        </w:tc>
      </w:tr>
    </w:tbl>
    <w:p>
      <w:pPr>
        <w:pStyle w:val="TextBody"/>
        <w:bidi w:val="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32 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NON-IFRS AND OTHER FINANCIAL MEASURES AND RATIOS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ratios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196"/>
        <w:gridCol w:w="2695"/>
        <w:gridCol w:w="6314"/>
      </w:tblGrid>
      <w:tr>
        <w:trPr/>
        <w:tc>
          <w:tcPr>
            <w:tcW w:w="1196" w:type="dxa"/>
            <w:tcBorders>
              <w:top w:val="single" w:sz="8" w:space="0" w:color="000000"/>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Ratios</w:t>
            </w:r>
          </w:p>
        </w:tc>
        <w:tc>
          <w:tcPr>
            <w:tcW w:w="2695" w:type="dxa"/>
            <w:tcBorders>
              <w:top w:val="single" w:sz="8" w:space="0" w:color="000000"/>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w:t>
            </w:r>
          </w:p>
        </w:tc>
        <w:tc>
          <w:tcPr>
            <w:tcW w:w="6314" w:type="dxa"/>
            <w:tcBorders>
              <w:top w:val="single" w:sz="8" w:space="0" w:color="000000"/>
              <w:bottom w:val="single" w:sz="8" w:space="0" w:color="000000"/>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196"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Mining margin</w:t>
            </w:r>
          </w:p>
        </w:tc>
        <w:tc>
          <w:tcPr>
            <w:tcW w:w="269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obtained when dividing Gross Mining profit by Mining related revenues.</w:t>
            </w:r>
          </w:p>
        </w:tc>
        <w:tc>
          <w:tcPr>
            <w:tcW w:w="6314" w:type="dxa"/>
            <w:tcBorders>
              <w:bottom w:val="single" w:sz="8" w:space="0" w:color="000000"/>
            </w:tcBorders>
            <w:tcMar>
              <w:top w:w="0" w:type="dxa"/>
            </w:tcMar>
            <w:vAlign w:val="center"/>
          </w:tcPr>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profitability after power costs in cryptocurrency production, the largest variable expense in Mining.</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provide the users of the MD&amp;A the ability to assess the profitability of the Company’s core digital asset Mining operations, exclusive of depreciation and amortization and certain general and administrative expenses.</w:t>
            </w:r>
          </w:p>
        </w:tc>
      </w:tr>
      <w:tr>
        <w:trPr/>
        <w:tc>
          <w:tcPr>
            <w:tcW w:w="1196"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margin</w:t>
            </w:r>
          </w:p>
        </w:tc>
        <w:tc>
          <w:tcPr>
            <w:tcW w:w="269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obtained when dividing EBITDA by Revenues.</w:t>
            </w:r>
          </w:p>
        </w:tc>
        <w:tc>
          <w:tcPr>
            <w:tcW w:w="6314" w:type="dxa"/>
            <w:tcBorders>
              <w:bottom w:val="single" w:sz="8" w:space="0" w:color="000000"/>
            </w:tcBorders>
            <w:tcMar>
              <w:top w:w="0" w:type="dxa"/>
            </w:tcMar>
            <w:vAlign w:val="center"/>
          </w:tcPr>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profitability before the impact of different financing methods, income taxes, depreciation of capital assets and amortization of intangible assets.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Used by Management to facilitate comparisons of operating performance from period to period and to prepare annual operating budgets and forecasts.</w:t>
            </w:r>
          </w:p>
          <w:p>
            <w:pPr>
              <w:pStyle w:val="TableContents"/>
              <w:bidi w:val="0"/>
              <w:spacing w:before="0" w:after="0"/>
              <w:ind w:left="0" w:right="0" w:hanging="1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Useful for providing users of the MD&amp;A with additional information to assist them in understanding components of the Company’s financial results, including a more complete understanding of factors and trends affecting its performance.</w:t>
            </w:r>
          </w:p>
        </w:tc>
      </w:tr>
      <w:tr>
        <w:trPr/>
        <w:tc>
          <w:tcPr>
            <w:tcW w:w="1196"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margin</w:t>
            </w:r>
          </w:p>
        </w:tc>
        <w:tc>
          <w:tcPr>
            <w:tcW w:w="2695"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obtained when dividing Adjusted EBITDA by Revenues.</w:t>
            </w:r>
          </w:p>
        </w:tc>
        <w:tc>
          <w:tcPr>
            <w:tcW w:w="6314" w:type="dxa"/>
            <w:tcBorders>
              <w:bottom w:val="single" w:sz="8" w:space="0" w:color="000000"/>
            </w:tcBorders>
            <w:tcMar>
              <w:top w:w="0" w:type="dxa"/>
            </w:tcMar>
            <w:vAlign w:val="center"/>
          </w:tcPr>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profitability before the impact of all of the items in calculating EBITDA in addition to certain other non-cash expenses.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provide a consistent comparable metric for profitability of the Company’s core performance across time periods.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Used by Management to facilitate comparisons of operating performance from period to period and to prepare annual operating budgets and forecasts.</w:t>
            </w:r>
          </w:p>
        </w:tc>
      </w:tr>
    </w:tbl>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33 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NON-IFRS AND OTHER FINANCIAL MEASURES AND RATIOS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Non-IFRS financial ratios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212"/>
        <w:gridCol w:w="3266"/>
        <w:gridCol w:w="5727"/>
      </w:tblGrid>
      <w:tr>
        <w:trPr/>
        <w:tc>
          <w:tcPr>
            <w:tcW w:w="1212" w:type="dxa"/>
            <w:tcBorders>
              <w:top w:val="single" w:sz="8" w:space="0" w:color="000000"/>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Ratios</w:t>
            </w:r>
          </w:p>
        </w:tc>
        <w:tc>
          <w:tcPr>
            <w:tcW w:w="3266" w:type="dxa"/>
            <w:tcBorders>
              <w:top w:val="single" w:sz="8" w:space="0" w:color="000000"/>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w:t>
            </w:r>
          </w:p>
        </w:tc>
        <w:tc>
          <w:tcPr>
            <w:tcW w:w="5727" w:type="dxa"/>
            <w:tcBorders>
              <w:top w:val="single" w:sz="8" w:space="0" w:color="000000"/>
              <w:bottom w:val="single" w:sz="8" w:space="0" w:color="000000"/>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212"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Cost per BTC</w:t>
            </w:r>
          </w:p>
        </w:tc>
        <w:tc>
          <w:tcPr>
            <w:tcW w:w="3266"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obtained when dividing Direct Cost by the quantity of BTC earned.</w:t>
            </w:r>
          </w:p>
        </w:tc>
        <w:tc>
          <w:tcPr>
            <w:tcW w:w="5727" w:type="dxa"/>
            <w:tcBorders>
              <w:bottom w:val="single" w:sz="8" w:space="0" w:color="000000"/>
            </w:tcBorders>
            <w:tcMar>
              <w:top w:w="0" w:type="dxa"/>
            </w:tcMar>
            <w:vAlign w:val="center"/>
          </w:tcPr>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the Company’s power costs, the largest variable expense in Mining.</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provide the users of the MD&amp;A a metric to evaluate the Company’s direct variable cost for its core digital asset Mining operations across time periods.</w:t>
            </w:r>
          </w:p>
          <w:p>
            <w:pPr>
              <w:pStyle w:val="TableContents"/>
              <w:bidi w:val="0"/>
              <w:spacing w:before="0" w:after="0"/>
              <w:ind w:left="0" w:right="0" w:hanging="1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Used by Management to assess the operating performance from period to period and to prepare annual operating budgets and forecasts.</w:t>
            </w:r>
          </w:p>
        </w:tc>
      </w:tr>
      <w:tr>
        <w:trPr/>
        <w:tc>
          <w:tcPr>
            <w:tcW w:w="1212"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Cash Cost per BTC</w:t>
            </w:r>
          </w:p>
        </w:tc>
        <w:tc>
          <w:tcPr>
            <w:tcW w:w="3266" w:type="dxa"/>
            <w:tcBorders>
              <w:bottom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obtained when dividing Total Cash cost by the quantity of BTC earned.</w:t>
            </w:r>
          </w:p>
        </w:tc>
        <w:tc>
          <w:tcPr>
            <w:tcW w:w="5727" w:type="dxa"/>
            <w:tcBorders>
              <w:bottom w:val="single" w:sz="8" w:space="0" w:color="000000"/>
            </w:tcBorders>
            <w:tcMar>
              <w:top w:w="0" w:type="dxa"/>
            </w:tcMar>
            <w:vAlign w:val="center"/>
          </w:tcPr>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the total cash cost of the Company’s core digital asset Mining operations.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provide the users of the MD&amp;A a consistent comparable metric for the liquidity impact of the Company’s mining activities across time periods.</w:t>
            </w:r>
          </w:p>
          <w:p>
            <w:pPr>
              <w:pStyle w:val="TableContents"/>
              <w:bidi w:val="0"/>
              <w:spacing w:before="0" w:after="0"/>
              <w:ind w:left="504"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Used by Management to assess the operating performance from period to period and to prepare annual operating budgets and forecasts.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financial ratios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the following supplemental financial ratios in assessing operating performance.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346"/>
        <w:gridCol w:w="4469"/>
        <w:gridCol w:w="4390"/>
      </w:tblGrid>
      <w:tr>
        <w:trPr/>
        <w:tc>
          <w:tcPr>
            <w:tcW w:w="1346"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Ratios</w:t>
            </w:r>
          </w:p>
        </w:tc>
        <w:tc>
          <w:tcPr>
            <w:tcW w:w="4469"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w:t>
            </w:r>
          </w:p>
        </w:tc>
        <w:tc>
          <w:tcPr>
            <w:tcW w:w="439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346"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tc>
        <w:tc>
          <w:tcPr>
            <w:tcW w:w="4469" w:type="dxa"/>
            <w:tcBorders>
              <w:bottom w:val="single" w:sz="8" w:space="0" w:color="000000"/>
            </w:tcBorders>
            <w:tcMar>
              <w:top w:w="0" w:type="dxa"/>
            </w:tcMar>
            <w:vAlign w:val="center"/>
          </w:tcPr>
          <w:p>
            <w:pPr>
              <w:pStyle w:val="TableContents"/>
              <w:bidi w:val="0"/>
              <w:spacing w:before="0" w:after="283"/>
              <w:ind w:left="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obtained when dividing Gross profit by Revenues.</w:t>
            </w:r>
          </w:p>
        </w:tc>
        <w:tc>
          <w:tcPr>
            <w:tcW w:w="4390" w:type="dxa"/>
            <w:tcBorders>
              <w:bottom w:val="single" w:sz="8" w:space="0" w:color="000000"/>
            </w:tcBorders>
            <w:tcMar>
              <w:top w:w="0" w:type="dxa"/>
            </w:tcMar>
            <w:vAlign w:val="center"/>
          </w:tcPr>
          <w:p>
            <w:pPr>
              <w:pStyle w:val="TableContents"/>
              <w:bidi w:val="0"/>
              <w:spacing w:before="0" w:after="283"/>
              <w:ind w:left="0" w:right="0" w:hanging="18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profitability of the Company across time periods.</w:t>
            </w:r>
          </w:p>
        </w:tc>
      </w:tr>
      <w:tr>
        <w:trPr/>
        <w:tc>
          <w:tcPr>
            <w:tcW w:w="1346"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margin</w:t>
            </w:r>
          </w:p>
        </w:tc>
        <w:tc>
          <w:tcPr>
            <w:tcW w:w="4469" w:type="dxa"/>
            <w:tcBorders>
              <w:bottom w:val="single" w:sz="8" w:space="0" w:color="000000"/>
            </w:tcBorders>
            <w:tcMar>
              <w:top w:w="0" w:type="dxa"/>
            </w:tcMar>
            <w:vAlign w:val="center"/>
          </w:tcPr>
          <w:p>
            <w:pPr>
              <w:pStyle w:val="TableContents"/>
              <w:bidi w:val="0"/>
              <w:spacing w:before="0" w:after="283"/>
              <w:ind w:left="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obtained when dividing Operating income (loss) by Revenues.</w:t>
            </w:r>
          </w:p>
        </w:tc>
        <w:tc>
          <w:tcPr>
            <w:tcW w:w="4390" w:type="dxa"/>
            <w:tcBorders>
              <w:bottom w:val="single" w:sz="8" w:space="0" w:color="000000"/>
            </w:tcBorders>
            <w:tcMar>
              <w:top w:w="0" w:type="dxa"/>
            </w:tcM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To assess operational profitability of the Company across time periods.</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34 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NON-IFRS AND OTHER FINANCIAL MEASURES AND RATIOS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200"/>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70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Reconciliation of Consolidated Net Income (loss) to EBITDA and Adjusted EBITDA</w:t>
            </w:r>
          </w:p>
        </w:tc>
      </w:tr>
    </w:tbl>
    <w:p>
      <w:pPr>
        <w:pStyle w:val="TextBody"/>
        <w:bidi w:val="0"/>
        <w:spacing w:before="0" w:after="0"/>
        <w:ind w:left="0" w:right="0" w:firstLine="360"/>
        <w:jc w:val="left"/>
        <w:rPr>
          <w:caps w:val="false"/>
          <w:smallCaps w:val="false"/>
        </w:rPr>
      </w:pPr>
      <w:r>
        <w:rPr>
          <w:caps w:val="false"/>
          <w:smallCaps w:val="false"/>
        </w:rPr>
        <w:t> </w:t>
      </w:r>
    </w:p>
    <w:tbl>
      <w:tblPr>
        <w:tblW w:w="10700" w:type="dxa"/>
        <w:jc w:val="left"/>
        <w:tblInd w:w="0" w:type="dxa"/>
        <w:tblLayout w:type="fixed"/>
        <w:tblCellMar>
          <w:top w:w="0" w:type="dxa"/>
          <w:left w:w="0" w:type="dxa"/>
          <w:bottom w:w="28" w:type="dxa"/>
          <w:right w:w="0" w:type="dxa"/>
        </w:tblCellMar>
      </w:tblPr>
      <w:tblGrid>
        <w:gridCol w:w="1475"/>
        <w:gridCol w:w="60"/>
        <w:gridCol w:w="60"/>
        <w:gridCol w:w="755"/>
        <w:gridCol w:w="260"/>
        <w:gridCol w:w="60"/>
        <w:gridCol w:w="60"/>
        <w:gridCol w:w="755"/>
        <w:gridCol w:w="215"/>
        <w:gridCol w:w="60"/>
        <w:gridCol w:w="68"/>
        <w:gridCol w:w="867"/>
        <w:gridCol w:w="95"/>
        <w:gridCol w:w="60"/>
        <w:gridCol w:w="117"/>
        <w:gridCol w:w="893"/>
        <w:gridCol w:w="215"/>
        <w:gridCol w:w="60"/>
        <w:gridCol w:w="60"/>
        <w:gridCol w:w="800"/>
        <w:gridCol w:w="260"/>
        <w:gridCol w:w="60"/>
        <w:gridCol w:w="60"/>
        <w:gridCol w:w="875"/>
        <w:gridCol w:w="215"/>
        <w:gridCol w:w="60"/>
        <w:gridCol w:w="68"/>
        <w:gridCol w:w="867"/>
        <w:gridCol w:w="95"/>
        <w:gridCol w:w="60"/>
        <w:gridCol w:w="117"/>
        <w:gridCol w:w="893"/>
        <w:gridCol w:w="75"/>
      </w:tblGrid>
      <w:tr>
        <w:trPr/>
        <w:tc>
          <w:tcPr>
            <w:tcW w:w="1475" w:type="dxa"/>
            <w:tcBorders>
              <w:bottom w:val="single" w:sz="8" w:space="0" w:color="000000"/>
            </w:tcBorders>
            <w:vAlign w:val="center"/>
          </w:tcPr>
          <w:p>
            <w:pPr>
              <w:pStyle w:val="TableContents"/>
              <w:bidi w:val="0"/>
              <w:spacing w:before="0" w:after="283"/>
              <w:ind w:left="0" w:right="0" w:hanging="180"/>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4325" w:type="dxa"/>
            <w:gridSpan w:val="14"/>
            <w:tcBorders>
              <w:bottom w:val="single" w:sz="8" w:space="0" w:color="000000"/>
            </w:tcBorders>
            <w:vAlign w:val="center"/>
          </w:tcPr>
          <w:p>
            <w:pPr>
              <w:pStyle w:val="TableContents"/>
              <w:bidi w:val="0"/>
              <w:spacing w:before="0" w:after="283"/>
              <w:jc w:val="center"/>
              <w:rPr>
                <w:b/>
              </w:rPr>
            </w:pPr>
            <w:r>
              <w:rPr>
                <w:b/>
              </w:rPr>
              <w:t>Three months ended December 31,</w:t>
            </w:r>
          </w:p>
        </w:tc>
        <w:tc>
          <w:tcPr>
            <w:tcW w:w="21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4490" w:type="dxa"/>
            <w:gridSpan w:val="14"/>
            <w:tcBorders>
              <w:bottom w:val="single" w:sz="8" w:space="0" w:color="000000"/>
            </w:tcBorders>
            <w:vAlign w:val="center"/>
          </w:tcPr>
          <w:p>
            <w:pPr>
              <w:pStyle w:val="TableContents"/>
              <w:bidi w:val="0"/>
              <w:spacing w:before="0" w:after="283"/>
              <w:jc w:val="center"/>
              <w:rPr>
                <w:b/>
              </w:rPr>
            </w:pPr>
            <w:r>
              <w:rPr>
                <w:b/>
              </w:rPr>
              <w:t>Year ended December 31,</w:t>
            </w:r>
          </w:p>
        </w:tc>
        <w:tc>
          <w:tcPr>
            <w:tcW w:w="75"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475" w:type="dxa"/>
            <w:tcBorders>
              <w:bottom w:val="single" w:sz="8" w:space="0" w:color="000000"/>
            </w:tcBorders>
            <w:vAlign w:val="center"/>
          </w:tcPr>
          <w:p>
            <w:pPr>
              <w:pStyle w:val="TableContents"/>
              <w:bidi w:val="0"/>
              <w:spacing w:before="0" w:after="283"/>
              <w:jc w:val="left"/>
              <w:rPr/>
            </w:pPr>
            <w:r>
              <w:rPr/>
              <w:t>(U.S.$ in thousands except where indicated)</w:t>
            </w:r>
          </w:p>
        </w:tc>
        <w:tc>
          <w:tcPr>
            <w:tcW w:w="60" w:type="dxa"/>
            <w:tcBorders>
              <w:bottom w:val="single" w:sz="8" w:space="0" w:color="000000"/>
            </w:tcBorders>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right"/>
              <w:rPr>
                <w:b/>
              </w:rPr>
            </w:pPr>
            <w:r>
              <w:rPr>
                <w:b/>
              </w:rPr>
              <w:t>2024</w:t>
            </w:r>
          </w:p>
        </w:tc>
        <w:tc>
          <w:tcPr>
            <w:tcW w:w="260"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right"/>
              <w:rPr/>
            </w:pPr>
            <w:r>
              <w:rPr/>
              <w:t>2023</w:t>
            </w:r>
          </w:p>
        </w:tc>
        <w:tc>
          <w:tcPr>
            <w:tcW w:w="21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right"/>
              <w:rPr/>
            </w:pPr>
            <w:r>
              <w:rPr/>
              <w:t>$ Change</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right"/>
              <w:rPr/>
            </w:pPr>
            <w:r>
              <w:rPr/>
              <w:t>% Change</w:t>
            </w:r>
          </w:p>
        </w:tc>
        <w:tc>
          <w:tcPr>
            <w:tcW w:w="21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right"/>
              <w:rPr>
                <w:b/>
              </w:rPr>
            </w:pPr>
            <w:r>
              <w:rPr>
                <w:b/>
              </w:rPr>
              <w:t>2024</w:t>
            </w:r>
          </w:p>
        </w:tc>
        <w:tc>
          <w:tcPr>
            <w:tcW w:w="260"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right"/>
              <w:rPr/>
            </w:pPr>
            <w:r>
              <w:rPr/>
              <w:t>2023</w:t>
            </w:r>
          </w:p>
        </w:tc>
        <w:tc>
          <w:tcPr>
            <w:tcW w:w="21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right"/>
              <w:rPr/>
            </w:pPr>
            <w:r>
              <w:rPr/>
              <w:t>$ Change</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right"/>
              <w:rPr/>
            </w:pPr>
            <w:r>
              <w:rPr/>
              <w:t>% Change</w:t>
            </w:r>
          </w:p>
        </w:tc>
        <w:tc>
          <w:tcPr>
            <w:tcW w:w="75"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47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Revenues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b/>
              </w:rPr>
            </w:pPr>
            <w:r>
              <w:rPr>
                <w:b/>
              </w:rPr>
              <w:t>56,163</w:t>
            </w:r>
          </w:p>
        </w:tc>
        <w:tc>
          <w:tcPr>
            <w:tcW w:w="2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46,241</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vAlign w:val="center"/>
          </w:tcPr>
          <w:p>
            <w:pPr>
              <w:pStyle w:val="TableContents"/>
              <w:bidi w:val="0"/>
              <w:spacing w:before="0" w:after="283"/>
              <w:jc w:val="left"/>
              <w:rPr/>
            </w:pPr>
            <w:r>
              <w:rPr/>
              <w:t> </w:t>
            </w:r>
          </w:p>
        </w:tc>
        <w:tc>
          <w:tcPr>
            <w:tcW w:w="867" w:type="dxa"/>
            <w:tcBorders>
              <w:bottom w:val="single" w:sz="8" w:space="0" w:color="000000"/>
            </w:tcBorders>
            <w:shd w:fill="CCEEFF" w:val="clear"/>
            <w:vAlign w:val="center"/>
          </w:tcPr>
          <w:p>
            <w:pPr>
              <w:pStyle w:val="TableContents"/>
              <w:bidi w:val="0"/>
              <w:spacing w:before="0" w:after="283"/>
              <w:jc w:val="right"/>
              <w:rPr/>
            </w:pPr>
            <w:r>
              <w:rPr/>
              <w:t>9,922</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93" w:type="dxa"/>
            <w:tcBorders>
              <w:bottom w:val="single" w:sz="8" w:space="0" w:color="000000"/>
            </w:tcBorders>
            <w:shd w:fill="CCEEFF" w:val="clear"/>
            <w:vAlign w:val="center"/>
          </w:tcPr>
          <w:p>
            <w:pPr>
              <w:pStyle w:val="TableContents"/>
              <w:bidi w:val="0"/>
              <w:spacing w:before="0" w:after="283"/>
              <w:jc w:val="right"/>
              <w:rPr/>
            </w:pPr>
            <w:r>
              <w:rPr/>
              <w:t>21</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192,881</w:t>
            </w:r>
          </w:p>
        </w:tc>
        <w:tc>
          <w:tcPr>
            <w:tcW w:w="2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75" w:type="dxa"/>
            <w:tcBorders>
              <w:bottom w:val="single" w:sz="8" w:space="0" w:color="000000"/>
            </w:tcBorders>
            <w:shd w:fill="CCEEFF" w:val="clear"/>
            <w:vAlign w:val="center"/>
          </w:tcPr>
          <w:p>
            <w:pPr>
              <w:pStyle w:val="TableContents"/>
              <w:bidi w:val="0"/>
              <w:spacing w:before="0" w:after="283"/>
              <w:jc w:val="right"/>
              <w:rPr/>
            </w:pPr>
            <w:r>
              <w:rPr/>
              <w:t>146,366</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vAlign w:val="center"/>
          </w:tcPr>
          <w:p>
            <w:pPr>
              <w:pStyle w:val="TableContents"/>
              <w:bidi w:val="0"/>
              <w:spacing w:before="0" w:after="283"/>
              <w:jc w:val="left"/>
              <w:rPr/>
            </w:pPr>
            <w:r>
              <w:rPr/>
              <w:t> </w:t>
            </w:r>
          </w:p>
        </w:tc>
        <w:tc>
          <w:tcPr>
            <w:tcW w:w="867" w:type="dxa"/>
            <w:tcBorders>
              <w:bottom w:val="single" w:sz="8" w:space="0" w:color="000000"/>
            </w:tcBorders>
            <w:shd w:fill="CCEEFF" w:val="clear"/>
            <w:vAlign w:val="center"/>
          </w:tcPr>
          <w:p>
            <w:pPr>
              <w:pStyle w:val="TableContents"/>
              <w:bidi w:val="0"/>
              <w:spacing w:before="0" w:after="283"/>
              <w:jc w:val="right"/>
              <w:rPr/>
            </w:pPr>
            <w:r>
              <w:rPr/>
              <w:t>46,515</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93" w:type="dxa"/>
            <w:tcBorders>
              <w:bottom w:val="single" w:sz="8" w:space="0" w:color="000000"/>
            </w:tcBorders>
            <w:shd w:fill="CCEEFF" w:val="clear"/>
            <w:vAlign w:val="center"/>
          </w:tcPr>
          <w:p>
            <w:pPr>
              <w:pStyle w:val="TableContents"/>
              <w:bidi w:val="0"/>
              <w:spacing w:before="0" w:after="283"/>
              <w:jc w:val="right"/>
              <w:rPr/>
            </w:pPr>
            <w:r>
              <w:rPr/>
              <w:t>32</w:t>
            </w:r>
          </w:p>
        </w:tc>
        <w:tc>
          <w:tcPr>
            <w:tcW w:w="7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147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 </w:t>
            </w:r>
          </w:p>
        </w:tc>
        <w:tc>
          <w:tcPr>
            <w:tcW w:w="2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 </w:t>
            </w:r>
          </w:p>
        </w:tc>
        <w:tc>
          <w:tcPr>
            <w:tcW w:w="21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vAlign w:val="center"/>
          </w:tcPr>
          <w:p>
            <w:pPr>
              <w:pStyle w:val="TableContents"/>
              <w:bidi w:val="0"/>
              <w:spacing w:before="0" w:after="283"/>
              <w:jc w:val="left"/>
              <w:rPr/>
            </w:pPr>
            <w:r>
              <w:rPr/>
              <w:t> </w:t>
            </w:r>
          </w:p>
        </w:tc>
        <w:tc>
          <w:tcPr>
            <w:tcW w:w="867"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93" w:type="dxa"/>
            <w:tcBorders>
              <w:bottom w:val="single" w:sz="8" w:space="0" w:color="000000"/>
            </w:tcBorders>
            <w:shd w:fill="FFFFFF" w:val="clear"/>
            <w:vAlign w:val="center"/>
          </w:tcPr>
          <w:p>
            <w:pPr>
              <w:pStyle w:val="TableContents"/>
              <w:bidi w:val="0"/>
              <w:spacing w:before="0" w:after="283"/>
              <w:jc w:val="right"/>
              <w:rPr/>
            </w:pPr>
            <w:r>
              <w:rPr/>
              <w:t> </w:t>
            </w:r>
          </w:p>
        </w:tc>
        <w:tc>
          <w:tcPr>
            <w:tcW w:w="21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 </w:t>
            </w:r>
          </w:p>
        </w:tc>
        <w:tc>
          <w:tcPr>
            <w:tcW w:w="2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vAlign w:val="center"/>
          </w:tcPr>
          <w:p>
            <w:pPr>
              <w:pStyle w:val="TableContents"/>
              <w:bidi w:val="0"/>
              <w:spacing w:before="0" w:after="283"/>
              <w:jc w:val="right"/>
              <w:rPr/>
            </w:pPr>
            <w:r>
              <w:rPr/>
              <w:t> </w:t>
            </w:r>
          </w:p>
        </w:tc>
        <w:tc>
          <w:tcPr>
            <w:tcW w:w="21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vAlign w:val="center"/>
          </w:tcPr>
          <w:p>
            <w:pPr>
              <w:pStyle w:val="TableContents"/>
              <w:bidi w:val="0"/>
              <w:spacing w:before="0" w:after="283"/>
              <w:jc w:val="left"/>
              <w:rPr/>
            </w:pPr>
            <w:r>
              <w:rPr/>
              <w:t> </w:t>
            </w:r>
          </w:p>
        </w:tc>
        <w:tc>
          <w:tcPr>
            <w:tcW w:w="867"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93"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bottom w:val="single" w:sz="8" w:space="0" w:color="000000"/>
            </w:tcBorders>
            <w:shd w:fill="FFFFFF" w:val="clear"/>
            <w:tcMar>
              <w:bottom w:w="30" w:type="dxa"/>
            </w:tcMar>
            <w:vAlign w:val="center"/>
          </w:tcPr>
          <w:p>
            <w:pPr>
              <w:pStyle w:val="TableContents"/>
              <w:bidi w:val="0"/>
              <w:spacing w:before="0" w:after="283"/>
              <w:ind w:left="0" w:right="0" w:hanging="180"/>
              <w:jc w:val="left"/>
              <w:rPr/>
            </w:pPr>
            <w:r>
              <w:rPr/>
              <w:t> </w:t>
            </w:r>
          </w:p>
        </w:tc>
      </w:tr>
      <w:tr>
        <w:trPr/>
        <w:tc>
          <w:tcPr>
            <w:tcW w:w="147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Net (loss) income before income taxes</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b/>
              </w:rPr>
            </w:pPr>
            <w:r>
              <w:rPr>
                <w:b/>
              </w:rPr>
              <w:t>5,458</w:t>
            </w:r>
          </w:p>
        </w:tc>
        <w:tc>
          <w:tcPr>
            <w:tcW w:w="2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(62,423</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vAlign w:val="center"/>
          </w:tcPr>
          <w:p>
            <w:pPr>
              <w:pStyle w:val="TableContents"/>
              <w:bidi w:val="0"/>
              <w:spacing w:before="0" w:after="283"/>
              <w:jc w:val="left"/>
              <w:rPr/>
            </w:pPr>
            <w:r>
              <w:rPr/>
              <w:t> </w:t>
            </w:r>
          </w:p>
        </w:tc>
        <w:tc>
          <w:tcPr>
            <w:tcW w:w="867" w:type="dxa"/>
            <w:tcBorders>
              <w:bottom w:val="single" w:sz="8" w:space="0" w:color="000000"/>
            </w:tcBorders>
            <w:shd w:fill="CCEEFF" w:val="clear"/>
            <w:vAlign w:val="center"/>
          </w:tcPr>
          <w:p>
            <w:pPr>
              <w:pStyle w:val="TableContents"/>
              <w:bidi w:val="0"/>
              <w:spacing w:before="0" w:after="283"/>
              <w:jc w:val="right"/>
              <w:rPr/>
            </w:pPr>
            <w:r>
              <w:rPr/>
              <w:t>67,881</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93" w:type="dxa"/>
            <w:tcBorders>
              <w:bottom w:val="single" w:sz="8" w:space="0" w:color="000000"/>
            </w:tcBorders>
            <w:shd w:fill="CCEEFF" w:val="clear"/>
            <w:vAlign w:val="center"/>
          </w:tcPr>
          <w:p>
            <w:pPr>
              <w:pStyle w:val="TableContents"/>
              <w:bidi w:val="0"/>
              <w:spacing w:before="0" w:after="283"/>
              <w:jc w:val="right"/>
              <w:rPr>
                <w:i/>
              </w:rPr>
            </w:pPr>
            <w:r>
              <w:rPr>
                <w:i/>
              </w:rPr>
              <w:t>nm</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(68,353</w:t>
            </w:r>
          </w:p>
        </w:tc>
        <w:tc>
          <w:tcPr>
            <w:tcW w:w="260"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75" w:type="dxa"/>
            <w:tcBorders>
              <w:bottom w:val="single" w:sz="8" w:space="0" w:color="000000"/>
            </w:tcBorders>
            <w:shd w:fill="CCEEFF" w:val="clear"/>
            <w:vAlign w:val="center"/>
          </w:tcPr>
          <w:p>
            <w:pPr>
              <w:pStyle w:val="TableContents"/>
              <w:bidi w:val="0"/>
              <w:spacing w:before="0" w:after="283"/>
              <w:jc w:val="right"/>
              <w:rPr/>
            </w:pPr>
            <w:r>
              <w:rPr/>
              <w:t>(109,323</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vAlign w:val="center"/>
          </w:tcPr>
          <w:p>
            <w:pPr>
              <w:pStyle w:val="TableContents"/>
              <w:bidi w:val="0"/>
              <w:spacing w:before="0" w:after="283"/>
              <w:jc w:val="left"/>
              <w:rPr/>
            </w:pPr>
            <w:r>
              <w:rPr/>
              <w:t> </w:t>
            </w:r>
          </w:p>
        </w:tc>
        <w:tc>
          <w:tcPr>
            <w:tcW w:w="867" w:type="dxa"/>
            <w:tcBorders>
              <w:bottom w:val="single" w:sz="8" w:space="0" w:color="000000"/>
            </w:tcBorders>
            <w:shd w:fill="CCEEFF" w:val="clear"/>
            <w:vAlign w:val="center"/>
          </w:tcPr>
          <w:p>
            <w:pPr>
              <w:pStyle w:val="TableContents"/>
              <w:bidi w:val="0"/>
              <w:spacing w:before="0" w:after="283"/>
              <w:jc w:val="right"/>
              <w:rPr/>
            </w:pPr>
            <w:r>
              <w:rPr/>
              <w:t>40,970</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93" w:type="dxa"/>
            <w:tcBorders>
              <w:bottom w:val="single" w:sz="8" w:space="0" w:color="000000"/>
            </w:tcBorders>
            <w:shd w:fill="CCEEFF" w:val="clear"/>
            <w:vAlign w:val="center"/>
          </w:tcPr>
          <w:p>
            <w:pPr>
              <w:pStyle w:val="TableContents"/>
              <w:bidi w:val="0"/>
              <w:spacing w:before="0" w:after="283"/>
              <w:jc w:val="right"/>
              <w:rPr/>
            </w:pPr>
            <w:r>
              <w:rPr/>
              <w:t>(37</w:t>
            </w:r>
          </w:p>
        </w:tc>
        <w:tc>
          <w:tcPr>
            <w:tcW w:w="7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1475" w:type="dxa"/>
            <w:tcBorders/>
            <w:shd w:fill="FFFFFF" w:val="clear"/>
            <w:tcMar>
              <w:bottom w:w="0" w:type="dxa"/>
            </w:tcMar>
            <w:vAlign w:val="center"/>
          </w:tcPr>
          <w:p>
            <w:pPr>
              <w:pStyle w:val="TableContents"/>
              <w:bidi w:val="0"/>
              <w:spacing w:before="0" w:after="283"/>
              <w:jc w:val="left"/>
              <w:rPr/>
            </w:pPr>
            <w:r>
              <w:rPr/>
              <w:t>Interest (income) and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(290</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91</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(381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(419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(4,299</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2,659</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(6,958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(262</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24,584</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21,790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2,794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149,727</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84,785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64,942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77</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bottom w:val="single" w:sz="8" w:space="0" w:color="000000"/>
            </w:tcBorders>
            <w:shd w:fill="FFFFFF" w:val="clear"/>
            <w:tcMar>
              <w:bottom w:w="30" w:type="dxa"/>
            </w:tcMar>
            <w:vAlign w:val="center"/>
          </w:tcPr>
          <w:p>
            <w:pPr>
              <w:pStyle w:val="TableContents"/>
              <w:bidi w:val="0"/>
              <w:spacing w:before="0" w:after="283"/>
              <w:jc w:val="left"/>
              <w:rPr/>
            </w:pPr>
            <w:r>
              <w:rPr/>
              <w:t>Sales tax recovery - depreciation and amortization</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w:t>
            </w:r>
          </w:p>
        </w:tc>
        <w:tc>
          <w:tcPr>
            <w:tcW w:w="2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w:t>
            </w:r>
          </w:p>
        </w:tc>
        <w:tc>
          <w:tcPr>
            <w:tcW w:w="21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vAlign w:val="center"/>
          </w:tcPr>
          <w:p>
            <w:pPr>
              <w:pStyle w:val="TableContents"/>
              <w:bidi w:val="0"/>
              <w:spacing w:before="0" w:after="283"/>
              <w:jc w:val="left"/>
              <w:rPr/>
            </w:pPr>
            <w:r>
              <w:rPr/>
              <w:t> </w:t>
            </w:r>
          </w:p>
        </w:tc>
        <w:tc>
          <w:tcPr>
            <w:tcW w:w="867"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93" w:type="dxa"/>
            <w:tcBorders>
              <w:bottom w:val="single" w:sz="8" w:space="0" w:color="000000"/>
            </w:tcBorders>
            <w:shd w:fill="FFFFFF" w:val="clear"/>
            <w:vAlign w:val="center"/>
          </w:tcPr>
          <w:p>
            <w:pPr>
              <w:pStyle w:val="TableContents"/>
              <w:bidi w:val="0"/>
              <w:spacing w:before="0" w:after="283"/>
              <w:jc w:val="right"/>
              <w:rPr/>
            </w:pPr>
            <w:r>
              <w:rPr/>
              <w:t>—</w:t>
            </w:r>
          </w:p>
        </w:tc>
        <w:tc>
          <w:tcPr>
            <w:tcW w:w="215"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(8,760</w:t>
            </w:r>
          </w:p>
        </w:tc>
        <w:tc>
          <w:tcPr>
            <w:tcW w:w="260" w:type="dxa"/>
            <w:tcBorders>
              <w:bottom w:val="single" w:sz="8" w:space="0" w:color="000000"/>
            </w:tcBorders>
            <w:shd w:fill="FFFFFF" w:val="clear"/>
            <w:tcMar>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vAlign w:val="center"/>
          </w:tcPr>
          <w:p>
            <w:pPr>
              <w:pStyle w:val="TableContents"/>
              <w:bidi w:val="0"/>
              <w:spacing w:before="0" w:after="283"/>
              <w:jc w:val="right"/>
              <w:rPr/>
            </w:pPr>
            <w:r>
              <w:rPr/>
              <w:t>—</w:t>
            </w:r>
          </w:p>
        </w:tc>
        <w:tc>
          <w:tcPr>
            <w:tcW w:w="21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vAlign w:val="center"/>
          </w:tcPr>
          <w:p>
            <w:pPr>
              <w:pStyle w:val="TableContents"/>
              <w:bidi w:val="0"/>
              <w:spacing w:before="0" w:after="283"/>
              <w:jc w:val="left"/>
              <w:rPr/>
            </w:pPr>
            <w:r>
              <w:rPr/>
              <w:t> </w:t>
            </w:r>
          </w:p>
        </w:tc>
        <w:tc>
          <w:tcPr>
            <w:tcW w:w="867" w:type="dxa"/>
            <w:tcBorders>
              <w:bottom w:val="single" w:sz="8" w:space="0" w:color="000000"/>
            </w:tcBorders>
            <w:shd w:fill="FFFFFF" w:val="clear"/>
            <w:vAlign w:val="center"/>
          </w:tcPr>
          <w:p>
            <w:pPr>
              <w:pStyle w:val="TableContents"/>
              <w:bidi w:val="0"/>
              <w:spacing w:before="0" w:after="283"/>
              <w:jc w:val="right"/>
              <w:rPr/>
            </w:pPr>
            <w:r>
              <w:rPr/>
              <w:t>(8,760</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93" w:type="dxa"/>
            <w:tcBorders>
              <w:bottom w:val="single" w:sz="8" w:space="0" w:color="000000"/>
            </w:tcBorders>
            <w:shd w:fill="FFFFFF" w:val="clear"/>
            <w:vAlign w:val="center"/>
          </w:tcPr>
          <w:p>
            <w:pPr>
              <w:pStyle w:val="TableContents"/>
              <w:bidi w:val="0"/>
              <w:spacing w:before="0" w:after="283"/>
              <w:jc w:val="right"/>
              <w:rPr/>
            </w:pPr>
            <w:r>
              <w:rPr/>
              <w:t>100</w:t>
            </w:r>
          </w:p>
        </w:tc>
        <w:tc>
          <w:tcPr>
            <w:tcW w:w="75" w:type="dxa"/>
            <w:tcBorders>
              <w:bottom w:val="single" w:sz="8" w:space="0" w:color="000000"/>
            </w:tcBorders>
            <w:shd w:fill="FFFFFF" w:val="clear"/>
            <w:tcMar>
              <w:bottom w:w="30" w:type="dxa"/>
            </w:tcMar>
            <w:vAlign w:val="center"/>
          </w:tcPr>
          <w:p>
            <w:pPr>
              <w:pStyle w:val="TableContents"/>
              <w:bidi w:val="0"/>
              <w:spacing w:before="0" w:after="283"/>
              <w:ind w:left="0" w:right="0" w:hanging="180"/>
              <w:jc w:val="left"/>
              <w:rPr/>
            </w:pPr>
            <w:r>
              <w:rPr/>
              <w:t>%</w:t>
            </w:r>
          </w:p>
        </w:tc>
      </w:tr>
      <w:tr>
        <w:trPr/>
        <w:tc>
          <w:tcPr>
            <w:tcW w:w="1475" w:type="dxa"/>
            <w:tcBorders/>
            <w:shd w:fill="CCEEFF" w:val="clear"/>
            <w:tcMar>
              <w:bottom w:w="0" w:type="dxa"/>
            </w:tcMar>
            <w:vAlign w:val="center"/>
          </w:tcPr>
          <w:p>
            <w:pPr>
              <w:pStyle w:val="TableContents"/>
              <w:bidi w:val="0"/>
              <w:spacing w:before="0" w:after="283"/>
              <w:jc w:val="left"/>
              <w:rPr>
                <w:b/>
              </w:rPr>
            </w:pPr>
            <w:r>
              <w:rPr>
                <w:b/>
              </w:rPr>
              <w:t>EBITDA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29,752</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(40,542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70,294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68,315</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(21,879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90,194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75" w:type="dxa"/>
            <w:tcBorders>
              <w:bottom w:val="single" w:sz="8" w:space="0" w:color="000000"/>
            </w:tcBorders>
            <w:shd w:fill="FFFFFF" w:val="clear"/>
            <w:tcMar>
              <w:bottom w:w="30" w:type="dxa"/>
            </w:tcMar>
            <w:vAlign w:val="center"/>
          </w:tcPr>
          <w:p>
            <w:pPr>
              <w:pStyle w:val="TableContents"/>
              <w:bidi w:val="0"/>
              <w:spacing w:before="0" w:after="283"/>
              <w:jc w:val="left"/>
              <w:rPr>
                <w:b/>
              </w:rPr>
            </w:pPr>
            <w:r>
              <w:rPr>
                <w:b/>
              </w:rPr>
              <w:t>EBITDA margin</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b/>
              </w:rPr>
            </w:pPr>
            <w:r>
              <w:rPr>
                <w:b/>
              </w:rPr>
              <w:t>53</w:t>
            </w:r>
          </w:p>
        </w:tc>
        <w:tc>
          <w:tcPr>
            <w:tcW w:w="260" w:type="dxa"/>
            <w:tcBorders>
              <w:bottom w:val="single" w:sz="8" w:space="0" w:color="000000"/>
            </w:tcBorders>
            <w:shd w:fill="FFFFFF" w:val="clear"/>
            <w:tcMar>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(88</w:t>
            </w:r>
          </w:p>
        </w:tc>
        <w:tc>
          <w:tcPr>
            <w:tcW w:w="215"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vAlign w:val="center"/>
          </w:tcPr>
          <w:p>
            <w:pPr>
              <w:pStyle w:val="TableContents"/>
              <w:bidi w:val="0"/>
              <w:spacing w:before="0" w:after="283"/>
              <w:jc w:val="left"/>
              <w:rPr/>
            </w:pPr>
            <w:r>
              <w:rPr/>
              <w:t> </w:t>
            </w:r>
          </w:p>
        </w:tc>
        <w:tc>
          <w:tcPr>
            <w:tcW w:w="867"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93" w:type="dxa"/>
            <w:tcBorders>
              <w:bottom w:val="single" w:sz="8" w:space="0" w:color="000000"/>
            </w:tcBorders>
            <w:shd w:fill="FFFFFF" w:val="clear"/>
            <w:vAlign w:val="center"/>
          </w:tcPr>
          <w:p>
            <w:pPr>
              <w:pStyle w:val="TableContents"/>
              <w:bidi w:val="0"/>
              <w:spacing w:before="0" w:after="283"/>
              <w:jc w:val="right"/>
              <w:rPr/>
            </w:pPr>
            <w:r>
              <w:rPr/>
              <w:t>—</w:t>
            </w:r>
          </w:p>
        </w:tc>
        <w:tc>
          <w:tcPr>
            <w:tcW w:w="21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b/>
              </w:rPr>
            </w:pPr>
            <w:r>
              <w:rPr>
                <w:b/>
              </w:rPr>
              <w:t>35</w:t>
            </w:r>
          </w:p>
        </w:tc>
        <w:tc>
          <w:tcPr>
            <w:tcW w:w="260" w:type="dxa"/>
            <w:tcBorders>
              <w:bottom w:val="single" w:sz="8" w:space="0" w:color="000000"/>
            </w:tcBorders>
            <w:shd w:fill="FFFFFF" w:val="clear"/>
            <w:tcMar>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5" w:type="dxa"/>
            <w:tcBorders>
              <w:bottom w:val="single" w:sz="8" w:space="0" w:color="000000"/>
            </w:tcBorders>
            <w:shd w:fill="FFFFFF" w:val="clear"/>
            <w:vAlign w:val="center"/>
          </w:tcPr>
          <w:p>
            <w:pPr>
              <w:pStyle w:val="TableContents"/>
              <w:bidi w:val="0"/>
              <w:spacing w:before="0" w:after="283"/>
              <w:jc w:val="right"/>
              <w:rPr/>
            </w:pPr>
            <w:r>
              <w:rPr/>
              <w:t>(15</w:t>
            </w:r>
          </w:p>
        </w:tc>
        <w:tc>
          <w:tcPr>
            <w:tcW w:w="215"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vAlign w:val="center"/>
          </w:tcPr>
          <w:p>
            <w:pPr>
              <w:pStyle w:val="TableContents"/>
              <w:bidi w:val="0"/>
              <w:spacing w:before="0" w:after="283"/>
              <w:jc w:val="left"/>
              <w:rPr/>
            </w:pPr>
            <w:r>
              <w:rPr/>
              <w:t> </w:t>
            </w:r>
          </w:p>
        </w:tc>
        <w:tc>
          <w:tcPr>
            <w:tcW w:w="867"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vAlign w:val="center"/>
          </w:tcPr>
          <w:p>
            <w:pPr>
              <w:pStyle w:val="TableContents"/>
              <w:bidi w:val="0"/>
              <w:spacing w:before="0" w:after="283"/>
              <w:jc w:val="left"/>
              <w:rPr/>
            </w:pPr>
            <w:r>
              <w:rPr/>
              <w:t> </w:t>
            </w:r>
          </w:p>
        </w:tc>
        <w:tc>
          <w:tcPr>
            <w:tcW w:w="8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75" w:type="dxa"/>
            <w:tcBorders>
              <w:bottom w:val="single" w:sz="8" w:space="0" w:color="000000"/>
            </w:tcBorders>
            <w:shd w:fill="FFFFFF" w:val="clear"/>
            <w:tcMar>
              <w:bottom w:w="30" w:type="dxa"/>
            </w:tcMar>
            <w:vAlign w:val="center"/>
          </w:tcPr>
          <w:p>
            <w:pPr>
              <w:pStyle w:val="TableContents"/>
              <w:bidi w:val="0"/>
              <w:spacing w:before="0" w:after="283"/>
              <w:ind w:left="0" w:right="0" w:hanging="180"/>
              <w:jc w:val="left"/>
              <w:rPr/>
            </w:pPr>
            <w:r>
              <w:rPr/>
              <w:t> </w:t>
            </w:r>
          </w:p>
        </w:tc>
      </w:tr>
      <w:tr>
        <w:trPr/>
        <w:tc>
          <w:tcPr>
            <w:tcW w:w="1475" w:type="dxa"/>
            <w:tcBorders/>
            <w:shd w:fill="CCEEFF" w:val="clear"/>
            <w:tcMar>
              <w:bottom w:w="0" w:type="dxa"/>
            </w:tcMar>
            <w:vAlign w:val="center"/>
          </w:tcPr>
          <w:p>
            <w:pPr>
              <w:pStyle w:val="TableContents"/>
              <w:bidi w:val="0"/>
              <w:spacing w:before="0" w:after="283"/>
              <w:jc w:val="left"/>
              <w:rPr/>
            </w:pPr>
            <w:r>
              <w:rPr/>
              <w:t>Share-based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4,021</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3,906</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115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13,949</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10,915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3,034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28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shd w:fill="FFFFFF" w:val="clear"/>
            <w:tcMar>
              <w:bottom w:w="0" w:type="dxa"/>
            </w:tcMar>
            <w:vAlign w:val="center"/>
          </w:tcPr>
          <w:p>
            <w:pPr>
              <w:pStyle w:val="TableContents"/>
              <w:bidi w:val="0"/>
              <w:spacing w:before="0" w:after="283"/>
              <w:jc w:val="left"/>
              <w:rPr/>
            </w:pPr>
            <w:r>
              <w:rPr/>
              <w:t>Impairment on short-term prepaid deposits, property, plant and equipment and assets held for sale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2,270</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(2,270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3,628</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12,252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(8,624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(70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shd w:fill="CCEEFF" w:val="clear"/>
            <w:tcMar>
              <w:bottom w:w="0" w:type="dxa"/>
            </w:tcMar>
            <w:vAlign w:val="center"/>
          </w:tcPr>
          <w:p>
            <w:pPr>
              <w:pStyle w:val="TableContents"/>
              <w:bidi w:val="0"/>
              <w:spacing w:before="0" w:after="283"/>
              <w:jc w:val="left"/>
              <w:rPr/>
            </w:pPr>
            <w:r>
              <w:rPr/>
              <w:t>Reversal of revaluation loss on digital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(1,183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1,183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(2,695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2,695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shd w:fill="FFFFFF" w:val="clear"/>
            <w:tcMar>
              <w:bottom w:w="0" w:type="dxa"/>
            </w:tcMar>
            <w:vAlign w:val="center"/>
          </w:tcPr>
          <w:p>
            <w:pPr>
              <w:pStyle w:val="TableContents"/>
              <w:bidi w:val="0"/>
              <w:spacing w:before="0" w:after="283"/>
              <w:jc w:val="left"/>
              <w:rPr/>
            </w:pPr>
            <w:r>
              <w:rPr/>
              <w:t>Gain on extinguishment of long-term debt and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(12,835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12,835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shd w:fill="CCEEFF" w:val="clear"/>
            <w:tcMar>
              <w:bottom w:w="0" w:type="dxa"/>
            </w:tcMar>
            <w:vAlign w:val="center"/>
          </w:tcPr>
          <w:p>
            <w:pPr>
              <w:pStyle w:val="TableContents"/>
              <w:bidi w:val="0"/>
              <w:spacing w:before="0" w:after="283"/>
              <w:jc w:val="left"/>
              <w:rPr/>
            </w:pPr>
            <w:r>
              <w:rPr/>
              <w:t>(Gain) loss revaluation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(6,314</w:t>
            </w:r>
          </w:p>
        </w:tc>
        <w:tc>
          <w:tcPr>
            <w:tcW w:w="260"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42,760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(49,074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(115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(19,603</w:t>
            </w:r>
          </w:p>
        </w:tc>
        <w:tc>
          <w:tcPr>
            <w:tcW w:w="260"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42,974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(62,577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(146</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shd w:fill="FFFFFF" w:val="clear"/>
            <w:tcMar>
              <w:bottom w:w="0" w:type="dxa"/>
            </w:tcMar>
            <w:vAlign w:val="center"/>
          </w:tcPr>
          <w:p>
            <w:pPr>
              <w:pStyle w:val="TableContents"/>
              <w:bidi w:val="0"/>
              <w:spacing w:before="0" w:after="283"/>
              <w:jc w:val="left"/>
              <w:rPr/>
            </w:pPr>
            <w:r>
              <w:rPr/>
              <w:t>Gain on disposition of marketable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(782</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(999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217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(22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(2,313</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(12,245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9,932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(81</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shd w:fill="CCEEFF" w:val="clear"/>
            <w:tcMar>
              <w:bottom w:w="0" w:type="dxa"/>
            </w:tcMar>
            <w:vAlign w:val="center"/>
          </w:tcPr>
          <w:p>
            <w:pPr>
              <w:pStyle w:val="TableContents"/>
              <w:bidi w:val="0"/>
              <w:spacing w:before="0" w:after="283"/>
              <w:jc w:val="left"/>
              <w:rPr/>
            </w:pPr>
            <w:r>
              <w:rPr/>
              <w:t>Service fees not associated with ongoing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1,287</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1,287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13,766</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13,766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shd w:fill="FFFFFF" w:val="clear"/>
            <w:tcMar>
              <w:bottom w:w="0" w:type="dxa"/>
            </w:tcMar>
            <w:vAlign w:val="center"/>
          </w:tcPr>
          <w:p>
            <w:pPr>
              <w:pStyle w:val="TableContents"/>
              <w:bidi w:val="0"/>
              <w:spacing w:before="0" w:after="283"/>
              <w:jc w:val="left"/>
              <w:rPr/>
            </w:pPr>
            <w:r>
              <w:rPr/>
              <w:t xml:space="preserve">Sales tax recovery - prior years - energy and infrastructure and G&amp;A expenses </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2,485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(2,485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(16,081</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9,281</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(25,362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(273</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bottom w:val="single" w:sz="8" w:space="0" w:color="000000"/>
            </w:tcBorders>
            <w:shd w:fill="CCEEFF" w:val="clear"/>
            <w:tcMar>
              <w:bottom w:w="30" w:type="dxa"/>
            </w:tcMar>
            <w:vAlign w:val="center"/>
          </w:tcPr>
          <w:p>
            <w:pPr>
              <w:pStyle w:val="TableContents"/>
              <w:bidi w:val="0"/>
              <w:spacing w:before="0" w:after="283"/>
              <w:jc w:val="left"/>
              <w:rPr/>
            </w:pPr>
            <w:r>
              <w:rPr/>
              <w:t>Net financial (income) expense and other</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b/>
              </w:rPr>
            </w:pPr>
            <w:r>
              <w:rPr>
                <w:b/>
              </w:rPr>
              <w:t>(13,649</w:t>
            </w:r>
          </w:p>
        </w:tc>
        <w:tc>
          <w:tcPr>
            <w:tcW w:w="260"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7,635</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vAlign w:val="center"/>
          </w:tcPr>
          <w:p>
            <w:pPr>
              <w:pStyle w:val="TableContents"/>
              <w:bidi w:val="0"/>
              <w:spacing w:before="0" w:after="283"/>
              <w:jc w:val="left"/>
              <w:rPr/>
            </w:pPr>
            <w:r>
              <w:rPr/>
              <w:t> </w:t>
            </w:r>
          </w:p>
        </w:tc>
        <w:tc>
          <w:tcPr>
            <w:tcW w:w="867" w:type="dxa"/>
            <w:tcBorders>
              <w:bottom w:val="single" w:sz="8" w:space="0" w:color="000000"/>
            </w:tcBorders>
            <w:shd w:fill="CCEEFF" w:val="clear"/>
            <w:vAlign w:val="center"/>
          </w:tcPr>
          <w:p>
            <w:pPr>
              <w:pStyle w:val="TableContents"/>
              <w:bidi w:val="0"/>
              <w:spacing w:before="0" w:after="283"/>
              <w:jc w:val="right"/>
              <w:rPr/>
            </w:pPr>
            <w:r>
              <w:rPr/>
              <w:t>(21,284</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93" w:type="dxa"/>
            <w:tcBorders>
              <w:bottom w:val="single" w:sz="8" w:space="0" w:color="000000"/>
            </w:tcBorders>
            <w:shd w:fill="CCEEFF" w:val="clear"/>
            <w:vAlign w:val="center"/>
          </w:tcPr>
          <w:p>
            <w:pPr>
              <w:pStyle w:val="TableContents"/>
              <w:bidi w:val="0"/>
              <w:spacing w:before="0" w:after="283"/>
              <w:jc w:val="right"/>
              <w:rPr/>
            </w:pPr>
            <w:r>
              <w:rPr/>
              <w:t>(279</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b/>
              </w:rPr>
            </w:pPr>
            <w:r>
              <w:rPr>
                <w:b/>
              </w:rPr>
              <w:t>(7,000</w:t>
            </w:r>
          </w:p>
        </w:tc>
        <w:tc>
          <w:tcPr>
            <w:tcW w:w="260"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75" w:type="dxa"/>
            <w:tcBorders>
              <w:bottom w:val="single" w:sz="8" w:space="0" w:color="000000"/>
            </w:tcBorders>
            <w:shd w:fill="CCEEFF" w:val="clear"/>
            <w:vAlign w:val="center"/>
          </w:tcPr>
          <w:p>
            <w:pPr>
              <w:pStyle w:val="TableContents"/>
              <w:bidi w:val="0"/>
              <w:spacing w:before="0" w:after="283"/>
              <w:jc w:val="right"/>
              <w:rPr/>
            </w:pPr>
            <w:r>
              <w:rPr/>
              <w:t>17,790</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vAlign w:val="center"/>
          </w:tcPr>
          <w:p>
            <w:pPr>
              <w:pStyle w:val="TableContents"/>
              <w:bidi w:val="0"/>
              <w:spacing w:before="0" w:after="283"/>
              <w:jc w:val="left"/>
              <w:rPr/>
            </w:pPr>
            <w:r>
              <w:rPr/>
              <w:t> </w:t>
            </w:r>
          </w:p>
        </w:tc>
        <w:tc>
          <w:tcPr>
            <w:tcW w:w="867" w:type="dxa"/>
            <w:tcBorders>
              <w:bottom w:val="single" w:sz="8" w:space="0" w:color="000000"/>
            </w:tcBorders>
            <w:shd w:fill="CCEEFF" w:val="clear"/>
            <w:vAlign w:val="center"/>
          </w:tcPr>
          <w:p>
            <w:pPr>
              <w:pStyle w:val="TableContents"/>
              <w:bidi w:val="0"/>
              <w:spacing w:before="0" w:after="283"/>
              <w:jc w:val="right"/>
              <w:rPr/>
            </w:pPr>
            <w:r>
              <w:rPr/>
              <w:t>(24,790</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 w:type="dxa"/>
            <w:tcBorders>
              <w:bottom w:val="single" w:sz="8" w:space="0" w:color="000000"/>
            </w:tcBorders>
            <w:shd w:fill="CCEEFF" w:val="clear"/>
            <w:vAlign w:val="center"/>
          </w:tcPr>
          <w:p>
            <w:pPr>
              <w:pStyle w:val="TableContents"/>
              <w:bidi w:val="0"/>
              <w:spacing w:before="0" w:after="283"/>
              <w:jc w:val="left"/>
              <w:rPr/>
            </w:pPr>
            <w:r>
              <w:rPr/>
              <w:t> </w:t>
            </w:r>
          </w:p>
        </w:tc>
        <w:tc>
          <w:tcPr>
            <w:tcW w:w="893" w:type="dxa"/>
            <w:tcBorders>
              <w:bottom w:val="single" w:sz="8" w:space="0" w:color="000000"/>
            </w:tcBorders>
            <w:shd w:fill="CCEEFF" w:val="clear"/>
            <w:vAlign w:val="center"/>
          </w:tcPr>
          <w:p>
            <w:pPr>
              <w:pStyle w:val="TableContents"/>
              <w:bidi w:val="0"/>
              <w:spacing w:before="0" w:after="283"/>
              <w:jc w:val="right"/>
              <w:rPr/>
            </w:pPr>
            <w:r>
              <w:rPr/>
              <w:t>(139</w:t>
            </w:r>
          </w:p>
        </w:tc>
        <w:tc>
          <w:tcPr>
            <w:tcW w:w="7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1475" w:type="dxa"/>
            <w:tcBorders/>
            <w:shd w:fill="FFFFFF" w:val="clear"/>
            <w:tcMar>
              <w:bottom w:w="0" w:type="dxa"/>
            </w:tcMar>
            <w:vAlign w:val="center"/>
          </w:tcPr>
          <w:p>
            <w:pPr>
              <w:pStyle w:val="TableContents"/>
              <w:bidi w:val="0"/>
              <w:spacing w:before="0" w:after="283"/>
              <w:jc w:val="left"/>
              <w:rPr>
                <w:b/>
              </w:rPr>
            </w:pPr>
            <w:r>
              <w:rPr>
                <w:b/>
              </w:rPr>
              <w:t>Adjusted EBITDA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14,315</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16,332</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(2,017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54,661</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43,558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11,103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25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75"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Adjusted EBITDA margin</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25</w:t>
            </w:r>
          </w:p>
        </w:tc>
        <w:tc>
          <w:tcPr>
            <w:tcW w:w="260"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35</w:t>
            </w:r>
          </w:p>
        </w:tc>
        <w:tc>
          <w:tcPr>
            <w:tcW w:w="215"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867"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w:t>
            </w:r>
          </w:p>
        </w:tc>
        <w:tc>
          <w:tcPr>
            <w:tcW w:w="21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28</w:t>
            </w:r>
          </w:p>
        </w:tc>
        <w:tc>
          <w:tcPr>
            <w:tcW w:w="260"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30</w:t>
            </w:r>
          </w:p>
        </w:tc>
        <w:tc>
          <w:tcPr>
            <w:tcW w:w="215"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867"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893"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nm: </w:t>
      </w:r>
      <w:r>
        <w:rPr>
          <w:rFonts w:ascii="Times New Roman;Times;Serif" w:hAnsi="Times New Roman;Times;Serif"/>
          <w:b w:val="false"/>
          <w:i w:val="false"/>
          <w:caps w:val="false"/>
          <w:smallCaps w:val="false"/>
          <w:sz w:val="20"/>
        </w:rPr>
        <w:t>not meaningful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tax recovery relating to energy and infrastructure and general and administrative expenses have been allocated to their respective periods; refer to Note 29b - </w:t>
            </w:r>
            <w:r>
              <w:rPr>
                <w:rFonts w:ascii="Times New Roman;Times;Serif" w:hAnsi="Times New Roman;Times;Serif"/>
                <w:b w:val="false"/>
                <w:i/>
                <w:caps w:val="false"/>
                <w:smallCaps w:val="false"/>
                <w:sz w:val="20"/>
              </w:rPr>
              <w:t xml:space="preserve">Additional Details to the Statement of Profit or Loss and Comprehensive Profit or Loss (Canadian sales tax refund) </w:t>
            </w:r>
            <w:r>
              <w:rPr>
                <w:rFonts w:ascii="Times New Roman;Times;Serif" w:hAnsi="Times New Roman;Times;Serif"/>
                <w:b w:val="false"/>
                <w:i w:val="false"/>
                <w:caps w:val="false"/>
                <w:smallCaps w:val="false"/>
                <w:sz w:val="20"/>
              </w:rPr>
              <w:t>to the Financial Statements.</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35 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NON-IFRS AND OTHER FINANCIAL MEASURES AND RATIOS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0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52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Gross Mining Profit and Gross Mining Margin</w:t>
            </w:r>
          </w:p>
        </w:tc>
      </w:tr>
    </w:tbl>
    <w:p>
      <w:pPr>
        <w:pStyle w:val="TextBody"/>
        <w:bidi w:val="0"/>
        <w:spacing w:before="0" w:after="0"/>
        <w:ind w:left="0" w:right="0" w:firstLine="360"/>
        <w:jc w:val="left"/>
        <w:rPr>
          <w:caps w:val="false"/>
          <w:smallCaps w:val="false"/>
        </w:rPr>
      </w:pPr>
      <w:r>
        <w:rPr>
          <w:caps w:val="false"/>
          <w:smallCaps w:val="false"/>
        </w:rPr>
        <w:t> </w:t>
      </w:r>
    </w:p>
    <w:tbl>
      <w:tblPr>
        <w:tblW w:w="10280" w:type="dxa"/>
        <w:jc w:val="left"/>
        <w:tblInd w:w="0" w:type="dxa"/>
        <w:tblLayout w:type="fixed"/>
        <w:tblCellMar>
          <w:top w:w="0" w:type="dxa"/>
          <w:left w:w="0" w:type="dxa"/>
          <w:bottom w:w="28" w:type="dxa"/>
          <w:right w:w="0" w:type="dxa"/>
        </w:tblCellMar>
      </w:tblPr>
      <w:tblGrid>
        <w:gridCol w:w="1325"/>
        <w:gridCol w:w="60"/>
        <w:gridCol w:w="60"/>
        <w:gridCol w:w="680"/>
        <w:gridCol w:w="260"/>
        <w:gridCol w:w="60"/>
        <w:gridCol w:w="60"/>
        <w:gridCol w:w="680"/>
        <w:gridCol w:w="215"/>
        <w:gridCol w:w="60"/>
        <w:gridCol w:w="80"/>
        <w:gridCol w:w="855"/>
        <w:gridCol w:w="95"/>
        <w:gridCol w:w="60"/>
        <w:gridCol w:w="137"/>
        <w:gridCol w:w="873"/>
        <w:gridCol w:w="215"/>
        <w:gridCol w:w="60"/>
        <w:gridCol w:w="60"/>
        <w:gridCol w:w="800"/>
        <w:gridCol w:w="260"/>
        <w:gridCol w:w="60"/>
        <w:gridCol w:w="60"/>
        <w:gridCol w:w="755"/>
        <w:gridCol w:w="215"/>
        <w:gridCol w:w="60"/>
        <w:gridCol w:w="68"/>
        <w:gridCol w:w="867"/>
        <w:gridCol w:w="95"/>
        <w:gridCol w:w="60"/>
        <w:gridCol w:w="117"/>
        <w:gridCol w:w="893"/>
        <w:gridCol w:w="75"/>
      </w:tblGrid>
      <w:tr>
        <w:trPr/>
        <w:tc>
          <w:tcPr>
            <w:tcW w:w="1325" w:type="dxa"/>
            <w:tcBorders>
              <w:bottom w:val="single" w:sz="8" w:space="0" w:color="000000"/>
            </w:tcBorders>
            <w:vAlign w:val="center"/>
          </w:tcPr>
          <w:p>
            <w:pPr>
              <w:pStyle w:val="TableContents"/>
              <w:bidi w:val="0"/>
              <w:spacing w:before="0" w:after="283"/>
              <w:ind w:left="0" w:right="0" w:hanging="180"/>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4175" w:type="dxa"/>
            <w:gridSpan w:val="14"/>
            <w:tcBorders>
              <w:bottom w:val="single" w:sz="8" w:space="0" w:color="000000"/>
            </w:tcBorders>
            <w:tcMar>
              <w:bottom w:w="30" w:type="dxa"/>
            </w:tcMar>
            <w:vAlign w:val="center"/>
          </w:tcPr>
          <w:p>
            <w:pPr>
              <w:pStyle w:val="TableContents"/>
              <w:bidi w:val="0"/>
              <w:spacing w:before="0" w:after="283"/>
              <w:jc w:val="center"/>
              <w:rPr>
                <w:b/>
              </w:rPr>
            </w:pPr>
            <w:r>
              <w:rPr>
                <w:b/>
              </w:rPr>
              <w:t>Three months ended December 31,</w:t>
            </w:r>
          </w:p>
        </w:tc>
        <w:tc>
          <w:tcPr>
            <w:tcW w:w="21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4370" w:type="dxa"/>
            <w:gridSpan w:val="14"/>
            <w:tcBorders>
              <w:bottom w:val="single" w:sz="8" w:space="0" w:color="000000"/>
            </w:tcBorders>
            <w:tcMar>
              <w:bottom w:w="30" w:type="dxa"/>
            </w:tcMar>
            <w:vAlign w:val="center"/>
          </w:tcPr>
          <w:p>
            <w:pPr>
              <w:pStyle w:val="TableContents"/>
              <w:bidi w:val="0"/>
              <w:spacing w:before="0" w:after="283"/>
              <w:jc w:val="center"/>
              <w:rPr>
                <w:b/>
              </w:rPr>
            </w:pPr>
            <w:r>
              <w:rPr>
                <w:b/>
              </w:rPr>
              <w:t>Year ended December 31,</w:t>
            </w:r>
          </w:p>
        </w:tc>
        <w:tc>
          <w:tcPr>
            <w:tcW w:w="75"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325" w:type="dxa"/>
            <w:tcBorders>
              <w:bottom w:val="single" w:sz="8" w:space="0" w:color="000000"/>
            </w:tcBorders>
            <w:tcMar>
              <w:bottom w:w="30" w:type="dxa"/>
            </w:tcMar>
            <w:vAlign w:val="center"/>
          </w:tcPr>
          <w:p>
            <w:pPr>
              <w:pStyle w:val="TableContents"/>
              <w:bidi w:val="0"/>
              <w:spacing w:before="0" w:after="283"/>
              <w:jc w:val="left"/>
              <w:rPr/>
            </w:pPr>
            <w:r>
              <w:rPr/>
              <w:t>(U.S.$ in thousands except where indicated)</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740" w:type="dxa"/>
            <w:gridSpan w:val="2"/>
            <w:tcBorders>
              <w:bottom w:val="single" w:sz="8" w:space="0" w:color="000000"/>
            </w:tcBorders>
            <w:tcMar>
              <w:bottom w:w="30" w:type="dxa"/>
            </w:tcMar>
            <w:vAlign w:val="center"/>
          </w:tcPr>
          <w:p>
            <w:pPr>
              <w:pStyle w:val="TableContents"/>
              <w:bidi w:val="0"/>
              <w:spacing w:before="0" w:after="283"/>
              <w:jc w:val="right"/>
              <w:rPr>
                <w:b/>
              </w:rPr>
            </w:pPr>
            <w:r>
              <w:rPr>
                <w:b/>
              </w:rPr>
              <w:t>2024</w:t>
            </w:r>
          </w:p>
        </w:tc>
        <w:tc>
          <w:tcPr>
            <w:tcW w:w="260"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740" w:type="dxa"/>
            <w:gridSpan w:val="2"/>
            <w:tcBorders>
              <w:bottom w:val="single" w:sz="8" w:space="0" w:color="000000"/>
            </w:tcBorders>
            <w:tcMar>
              <w:bottom w:w="30" w:type="dxa"/>
            </w:tcMar>
            <w:vAlign w:val="center"/>
          </w:tcPr>
          <w:p>
            <w:pPr>
              <w:pStyle w:val="TableContents"/>
              <w:bidi w:val="0"/>
              <w:spacing w:before="0" w:after="283"/>
              <w:jc w:val="right"/>
              <w:rPr/>
            </w:pPr>
            <w:r>
              <w:rPr/>
              <w:t>2023</w:t>
            </w:r>
          </w:p>
        </w:tc>
        <w:tc>
          <w:tcPr>
            <w:tcW w:w="21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21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30" w:type="dxa"/>
            </w:tcMar>
            <w:vAlign w:val="center"/>
          </w:tcPr>
          <w:p>
            <w:pPr>
              <w:pStyle w:val="TableContents"/>
              <w:bidi w:val="0"/>
              <w:spacing w:before="0" w:after="283"/>
              <w:jc w:val="right"/>
              <w:rPr>
                <w:b/>
              </w:rPr>
            </w:pPr>
            <w:r>
              <w:rPr>
                <w:b/>
              </w:rPr>
              <w:t>2024</w:t>
            </w:r>
          </w:p>
        </w:tc>
        <w:tc>
          <w:tcPr>
            <w:tcW w:w="260"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30" w:type="dxa"/>
            </w:tcMar>
            <w:vAlign w:val="center"/>
          </w:tcPr>
          <w:p>
            <w:pPr>
              <w:pStyle w:val="TableContents"/>
              <w:bidi w:val="0"/>
              <w:spacing w:before="0" w:after="283"/>
              <w:jc w:val="right"/>
              <w:rPr/>
            </w:pPr>
            <w:r>
              <w:rPr/>
              <w:t>2023</w:t>
            </w:r>
          </w:p>
        </w:tc>
        <w:tc>
          <w:tcPr>
            <w:tcW w:w="21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75"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32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Gross (loss) profit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1,387</w:t>
            </w:r>
          </w:p>
        </w:tc>
        <w:tc>
          <w:tcPr>
            <w:tcW w:w="2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30" w:type="dxa"/>
            </w:tcMar>
            <w:vAlign w:val="center"/>
          </w:tcPr>
          <w:p>
            <w:pPr>
              <w:pStyle w:val="TableContents"/>
              <w:bidi w:val="0"/>
              <w:spacing w:before="0" w:after="283"/>
              <w:jc w:val="right"/>
              <w:rPr/>
            </w:pPr>
            <w:r>
              <w:rPr/>
              <w:t>1,757</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55" w:type="dxa"/>
            <w:tcBorders>
              <w:bottom w:val="single" w:sz="8" w:space="0" w:color="000000"/>
            </w:tcBorders>
            <w:shd w:fill="CCEEFF" w:val="clear"/>
            <w:tcMar>
              <w:bottom w:w="30" w:type="dxa"/>
            </w:tcMar>
            <w:vAlign w:val="center"/>
          </w:tcPr>
          <w:p>
            <w:pPr>
              <w:pStyle w:val="TableContents"/>
              <w:bidi w:val="0"/>
              <w:spacing w:before="0" w:after="283"/>
              <w:jc w:val="right"/>
              <w:rPr/>
            </w:pPr>
            <w:r>
              <w:rPr/>
              <w:t>(370</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30" w:type="dxa"/>
            </w:tcMar>
            <w:vAlign w:val="center"/>
          </w:tcPr>
          <w:p>
            <w:pPr>
              <w:pStyle w:val="TableContents"/>
              <w:bidi w:val="0"/>
              <w:spacing w:before="0" w:after="283"/>
              <w:jc w:val="right"/>
              <w:rPr/>
            </w:pPr>
            <w:r>
              <w:rPr/>
              <w:t>(21</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(32,359</w:t>
            </w:r>
          </w:p>
        </w:tc>
        <w:tc>
          <w:tcPr>
            <w:tcW w:w="260"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pPr>
            <w:r>
              <w:rPr/>
              <w:t>(21,502</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30" w:type="dxa"/>
            </w:tcMar>
            <w:vAlign w:val="center"/>
          </w:tcPr>
          <w:p>
            <w:pPr>
              <w:pStyle w:val="TableContents"/>
              <w:bidi w:val="0"/>
              <w:spacing w:before="0" w:after="283"/>
              <w:jc w:val="right"/>
              <w:rPr/>
            </w:pPr>
            <w:r>
              <w:rPr/>
              <w:t>(10,857</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50</w:t>
            </w:r>
          </w:p>
        </w:tc>
        <w:tc>
          <w:tcPr>
            <w:tcW w:w="7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1325" w:type="dxa"/>
            <w:tcBorders/>
            <w:shd w:fill="FFFFFF" w:val="clear"/>
            <w:tcMar>
              <w:bottom w:w="0" w:type="dxa"/>
            </w:tcMar>
            <w:vAlign w:val="center"/>
          </w:tcPr>
          <w:p>
            <w:pPr>
              <w:pStyle w:val="TableContents"/>
              <w:bidi w:val="0"/>
              <w:spacing w:before="0" w:after="283"/>
              <w:jc w:val="left"/>
              <w:rPr/>
            </w:pPr>
            <w:r>
              <w:rPr/>
              <w:t>Non-Mining revenues¹</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b/>
              </w:rPr>
            </w:pPr>
            <w:r>
              <w:rPr>
                <w:b/>
              </w:rPr>
              <w:t>(1,592</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(1,285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283"/>
              <w:jc w:val="right"/>
              <w:rPr/>
            </w:pPr>
            <w:r>
              <w:rPr/>
              <w:t>(307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24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(5,102</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(5,060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(42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25"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24,584</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21,790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right"/>
              <w:rPr/>
            </w:pPr>
            <w:r>
              <w:rPr/>
              <w:t>2,794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13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149,727</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84,785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64,942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77</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325" w:type="dxa"/>
            <w:tcBorders/>
            <w:shd w:fill="FFFFFF" w:val="clear"/>
            <w:tcMar>
              <w:bottom w:w="0" w:type="dxa"/>
            </w:tcMar>
            <w:vAlign w:val="center"/>
          </w:tcPr>
          <w:p>
            <w:pPr>
              <w:pStyle w:val="TableContents"/>
              <w:bidi w:val="0"/>
              <w:spacing w:before="0" w:after="283"/>
              <w:jc w:val="left"/>
              <w:rPr/>
            </w:pPr>
            <w:r>
              <w:rPr/>
              <w:t>Sales tax recovery - 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(8,760</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(8,760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(100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25" w:type="dxa"/>
            <w:tcBorders/>
            <w:shd w:fill="CCEEFF" w:val="clear"/>
            <w:tcMar>
              <w:bottom w:w="0" w:type="dxa"/>
            </w:tcMar>
            <w:vAlign w:val="center"/>
          </w:tcPr>
          <w:p>
            <w:pPr>
              <w:pStyle w:val="TableContents"/>
              <w:bidi w:val="0"/>
              <w:spacing w:before="0" w:after="283"/>
              <w:jc w:val="left"/>
              <w:rPr/>
            </w:pPr>
            <w:r>
              <w:rPr/>
              <w:t>Electrical components and salaries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1,403</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1,095</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283"/>
              <w:jc w:val="right"/>
              <w:rPr/>
            </w:pPr>
            <w:r>
              <w:rPr/>
              <w:t>308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28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4,081</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4,151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(2</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325" w:type="dxa"/>
            <w:tcBorders/>
            <w:shd w:fill="FFFFFF" w:val="clear"/>
            <w:tcMar>
              <w:bottom w:w="0" w:type="dxa"/>
            </w:tcMar>
            <w:vAlign w:val="center"/>
          </w:tcPr>
          <w:p>
            <w:pPr>
              <w:pStyle w:val="TableContents"/>
              <w:bidi w:val="0"/>
              <w:spacing w:before="0" w:after="283"/>
              <w:jc w:val="left"/>
              <w:rPr/>
            </w:pPr>
            <w:r>
              <w:rPr/>
              <w:t>Sales tax recovery - prior years - energy and infrastructure²</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2,211</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283"/>
              <w:jc w:val="right"/>
              <w:rPr/>
            </w:pPr>
            <w:r>
              <w:rPr/>
              <w:t>(2,211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(14,338</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8,366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(22,704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(271</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25" w:type="dxa"/>
            <w:tcBorders>
              <w:bottom w:val="single" w:sz="8" w:space="0" w:color="000000"/>
            </w:tcBorders>
            <w:shd w:fill="CCEEFF" w:val="clear"/>
            <w:tcMar>
              <w:bottom w:w="30" w:type="dxa"/>
            </w:tcMar>
            <w:vAlign w:val="center"/>
          </w:tcPr>
          <w:p>
            <w:pPr>
              <w:pStyle w:val="TableContents"/>
              <w:bidi w:val="0"/>
              <w:spacing w:before="0" w:after="283"/>
              <w:jc w:val="left"/>
              <w:rPr/>
            </w:pPr>
            <w:r>
              <w:rPr/>
              <w:t>Other</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4</w:t>
            </w:r>
          </w:p>
        </w:tc>
        <w:tc>
          <w:tcPr>
            <w:tcW w:w="2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30" w:type="dxa"/>
            </w:tcMar>
            <w:vAlign w:val="center"/>
          </w:tcPr>
          <w:p>
            <w:pPr>
              <w:pStyle w:val="TableContents"/>
              <w:bidi w:val="0"/>
              <w:spacing w:before="0" w:after="283"/>
              <w:jc w:val="right"/>
              <w:rPr/>
            </w:pPr>
            <w:r>
              <w:rPr/>
              <w:t>(114</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55" w:type="dxa"/>
            <w:tcBorders>
              <w:bottom w:val="single" w:sz="8" w:space="0" w:color="000000"/>
            </w:tcBorders>
            <w:shd w:fill="CCEEFF" w:val="clear"/>
            <w:tcMar>
              <w:bottom w:w="30" w:type="dxa"/>
            </w:tcMar>
            <w:vAlign w:val="center"/>
          </w:tcPr>
          <w:p>
            <w:pPr>
              <w:pStyle w:val="TableContents"/>
              <w:bidi w:val="0"/>
              <w:spacing w:before="0" w:after="283"/>
              <w:jc w:val="right"/>
              <w:rPr/>
            </w:pPr>
            <w:r>
              <w:rPr/>
              <w:t>118</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3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1,220</w:t>
            </w:r>
          </w:p>
        </w:tc>
        <w:tc>
          <w:tcPr>
            <w:tcW w:w="2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pPr>
            <w:r>
              <w:rPr/>
              <w:t>(463</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30" w:type="dxa"/>
            </w:tcMar>
            <w:vAlign w:val="center"/>
          </w:tcPr>
          <w:p>
            <w:pPr>
              <w:pStyle w:val="TableContents"/>
              <w:bidi w:val="0"/>
              <w:spacing w:before="0" w:after="283"/>
              <w:jc w:val="right"/>
              <w:rPr/>
            </w:pPr>
            <w:r>
              <w:rPr/>
              <w:t>1,683</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7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1325" w:type="dxa"/>
            <w:tcBorders/>
            <w:shd w:fill="FFFFFF" w:val="clear"/>
            <w:tcMar>
              <w:bottom w:w="0" w:type="dxa"/>
            </w:tcMar>
            <w:vAlign w:val="center"/>
          </w:tcPr>
          <w:p>
            <w:pPr>
              <w:pStyle w:val="TableContents"/>
              <w:bidi w:val="0"/>
              <w:spacing w:before="0" w:after="283"/>
              <w:jc w:val="left"/>
              <w:rPr>
                <w:b/>
              </w:rPr>
            </w:pPr>
            <w:r>
              <w:rPr>
                <w:b/>
              </w:rPr>
              <w:t>Gross Mining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b/>
              </w:rPr>
            </w:pPr>
            <w:r>
              <w:rPr>
                <w:b/>
              </w:rPr>
              <w:t>25,786</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25,454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283"/>
              <w:jc w:val="right"/>
              <w:rPr/>
            </w:pPr>
            <w:r>
              <w:rPr/>
              <w:t>332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94,469</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70,277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24,192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34</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25"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Gross Mining margin</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30" w:type="dxa"/>
            </w:tcMar>
            <w:vAlign w:val="center"/>
          </w:tcPr>
          <w:p>
            <w:pPr>
              <w:pStyle w:val="TableContents"/>
              <w:bidi w:val="0"/>
              <w:spacing w:before="0" w:after="283"/>
              <w:jc w:val="right"/>
              <w:rPr>
                <w:b/>
              </w:rPr>
            </w:pPr>
            <w:r>
              <w:rPr>
                <w:b/>
              </w:rPr>
              <w:t>47</w:t>
            </w:r>
          </w:p>
        </w:tc>
        <w:tc>
          <w:tcPr>
            <w:tcW w:w="260"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30" w:type="dxa"/>
            </w:tcMar>
            <w:vAlign w:val="center"/>
          </w:tcPr>
          <w:p>
            <w:pPr>
              <w:pStyle w:val="TableContents"/>
              <w:bidi w:val="0"/>
              <w:spacing w:before="0" w:after="283"/>
              <w:jc w:val="right"/>
              <w:rPr/>
            </w:pPr>
            <w:r>
              <w:rPr/>
              <w:t>57</w:t>
            </w:r>
          </w:p>
        </w:tc>
        <w:tc>
          <w:tcPr>
            <w:tcW w:w="215"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30" w:type="dxa"/>
            </w:tcMar>
            <w:vAlign w:val="center"/>
          </w:tcPr>
          <w:p>
            <w:pPr>
              <w:pStyle w:val="TableContents"/>
              <w:bidi w:val="0"/>
              <w:spacing w:before="0" w:after="283"/>
              <w:jc w:val="right"/>
              <w:rPr/>
            </w:pPr>
            <w:r>
              <w:rPr/>
              <w:t>—</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30" w:type="dxa"/>
            </w:tcMar>
            <w:vAlign w:val="center"/>
          </w:tcPr>
          <w:p>
            <w:pPr>
              <w:pStyle w:val="TableContents"/>
              <w:bidi w:val="0"/>
              <w:spacing w:before="0" w:after="283"/>
              <w:jc w:val="right"/>
              <w:rPr/>
            </w:pPr>
            <w:r>
              <w:rPr/>
              <w:t>—</w:t>
            </w:r>
          </w:p>
        </w:tc>
        <w:tc>
          <w:tcPr>
            <w:tcW w:w="21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30" w:type="dxa"/>
            </w:tcMar>
            <w:vAlign w:val="center"/>
          </w:tcPr>
          <w:p>
            <w:pPr>
              <w:pStyle w:val="TableContents"/>
              <w:bidi w:val="0"/>
              <w:spacing w:before="0" w:after="283"/>
              <w:jc w:val="right"/>
              <w:rPr>
                <w:b/>
              </w:rPr>
            </w:pPr>
            <w:r>
              <w:rPr>
                <w:b/>
              </w:rPr>
              <w:t>50</w:t>
            </w:r>
          </w:p>
        </w:tc>
        <w:tc>
          <w:tcPr>
            <w:tcW w:w="260" w:type="dxa"/>
            <w:tcBorders>
              <w:bottom w:val="single" w:sz="12"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30" w:type="dxa"/>
            </w:tcMar>
            <w:vAlign w:val="center"/>
          </w:tcPr>
          <w:p>
            <w:pPr>
              <w:pStyle w:val="TableContents"/>
              <w:bidi w:val="0"/>
              <w:spacing w:before="0" w:after="283"/>
              <w:jc w:val="right"/>
              <w:rPr/>
            </w:pPr>
            <w:r>
              <w:rPr/>
              <w:t>50</w:t>
            </w:r>
          </w:p>
        </w:tc>
        <w:tc>
          <w:tcPr>
            <w:tcW w:w="215"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30" w:type="dxa"/>
            </w:tcMar>
            <w:vAlign w:val="center"/>
          </w:tcPr>
          <w:p>
            <w:pPr>
              <w:pStyle w:val="TableContents"/>
              <w:bidi w:val="0"/>
              <w:spacing w:before="0" w:after="283"/>
              <w:jc w:val="right"/>
              <w:rPr/>
            </w:pPr>
            <w:r>
              <w:rPr/>
              <w:t>—</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30" w:type="dxa"/>
            </w:tcMar>
            <w:vAlign w:val="center"/>
          </w:tcPr>
          <w:p>
            <w:pPr>
              <w:pStyle w:val="TableContents"/>
              <w:bidi w:val="0"/>
              <w:spacing w:before="0" w:after="283"/>
              <w:jc w:val="right"/>
              <w:rPr/>
            </w:pPr>
            <w:r>
              <w:rPr/>
              <w:t>—</w:t>
            </w:r>
          </w:p>
        </w:tc>
        <w:tc>
          <w:tcPr>
            <w:tcW w:w="7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nm: </w:t>
      </w:r>
      <w:r>
        <w:rPr>
          <w:rFonts w:ascii="Times New Roman;Times;Serif" w:hAnsi="Times New Roman;Times;Serif"/>
          <w:b w:val="false"/>
          <w:i w:val="false"/>
          <w:caps w:val="false"/>
          <w:smallCaps w:val="false"/>
          <w:sz w:val="20"/>
        </w:rPr>
        <w:t>not meaningful</w:t>
      </w:r>
    </w:p>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60"/>
        <w:gridCol w:w="306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Non-Mining revenues reconciliation:</w:t>
            </w:r>
          </w:p>
        </w:tc>
      </w:tr>
    </w:tbl>
    <w:p>
      <w:pPr>
        <w:pStyle w:val="TextBody"/>
        <w:bidi w:val="0"/>
        <w:spacing w:before="0" w:after="0"/>
        <w:ind w:left="1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58"/>
        <w:gridCol w:w="60"/>
        <w:gridCol w:w="61"/>
        <w:gridCol w:w="661"/>
        <w:gridCol w:w="81"/>
        <w:gridCol w:w="61"/>
        <w:gridCol w:w="61"/>
        <w:gridCol w:w="661"/>
        <w:gridCol w:w="81"/>
        <w:gridCol w:w="61"/>
        <w:gridCol w:w="79"/>
        <w:gridCol w:w="721"/>
        <w:gridCol w:w="81"/>
        <w:gridCol w:w="61"/>
        <w:gridCol w:w="177"/>
        <w:gridCol w:w="683"/>
        <w:gridCol w:w="185"/>
        <w:gridCol w:w="60"/>
        <w:gridCol w:w="60"/>
        <w:gridCol w:w="755"/>
        <w:gridCol w:w="80"/>
        <w:gridCol w:w="60"/>
        <w:gridCol w:w="60"/>
        <w:gridCol w:w="755"/>
        <w:gridCol w:w="80"/>
        <w:gridCol w:w="60"/>
        <w:gridCol w:w="67"/>
        <w:gridCol w:w="733"/>
        <w:gridCol w:w="80"/>
        <w:gridCol w:w="60"/>
        <w:gridCol w:w="177"/>
        <w:gridCol w:w="683"/>
        <w:gridCol w:w="202"/>
      </w:tblGrid>
      <w:tr>
        <w:trPr/>
        <w:tc>
          <w:tcPr>
            <w:tcW w:w="2458" w:type="dxa"/>
            <w:tcBorders>
              <w:bottom w:val="single" w:sz="8" w:space="0" w:color="000000"/>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3530" w:type="dxa"/>
            <w:gridSpan w:val="14"/>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w:t>
            </w:r>
          </w:p>
        </w:tc>
        <w:tc>
          <w:tcPr>
            <w:tcW w:w="18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3710" w:type="dxa"/>
            <w:gridSpan w:val="14"/>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202" w:type="dxa"/>
            <w:tcBorders>
              <w:bottom w:val="single" w:sz="8" w:space="0" w:color="000000"/>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8"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in thousands except where indicated)</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22"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1"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22"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81"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w:t>
            </w:r>
          </w:p>
        </w:tc>
        <w:tc>
          <w:tcPr>
            <w:tcW w:w="81"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w:t>
            </w:r>
          </w:p>
        </w:tc>
        <w:tc>
          <w:tcPr>
            <w:tcW w:w="18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w:t>
            </w:r>
          </w:p>
        </w:tc>
        <w:tc>
          <w:tcPr>
            <w:tcW w:w="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w:t>
            </w:r>
          </w:p>
        </w:tc>
        <w:tc>
          <w:tcPr>
            <w:tcW w:w="202" w:type="dxa"/>
            <w:tcBorders>
              <w:bottom w:val="single" w:sz="8" w:space="0" w:color="000000"/>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8"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56,163</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46,241</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9,922</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8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192,881</w:t>
            </w:r>
          </w:p>
        </w:tc>
        <w:tc>
          <w:tcPr>
            <w:tcW w:w="8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146,366</w:t>
            </w:r>
          </w:p>
        </w:tc>
        <w:tc>
          <w:tcPr>
            <w:tcW w:w="8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46,515</w:t>
            </w:r>
          </w:p>
        </w:tc>
        <w:tc>
          <w:tcPr>
            <w:tcW w:w="8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02" w:type="dxa"/>
            <w:tcBorders>
              <w:bottom w:val="single" w:sz="8" w:space="0" w:color="000000"/>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Mining related revenues for the purpose of calculating gross Mining margin: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8"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revenues</w:t>
            </w:r>
            <w:r>
              <w:rPr>
                <w:rFonts w:ascii="Times New Roman;Times;Serif" w:hAnsi="Times New Roman;Times;Serif"/>
                <w:b w:val="false"/>
                <w:i w:val="false"/>
                <w:caps w:val="false"/>
                <w:smallCaps w:val="false"/>
                <w:position w:val="7"/>
                <w:sz w:val="16"/>
                <w:sz w:val="20"/>
              </w:rPr>
              <w:t>3</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(54,571</w:t>
            </w:r>
          </w:p>
        </w:tc>
        <w:tc>
          <w:tcPr>
            <w:tcW w:w="8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(44,956</w:t>
            </w:r>
          </w:p>
        </w:tc>
        <w:tc>
          <w:tcPr>
            <w:tcW w:w="8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(9,615</w:t>
            </w:r>
          </w:p>
        </w:tc>
        <w:tc>
          <w:tcPr>
            <w:tcW w:w="8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8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(187,779</w:t>
            </w:r>
          </w:p>
        </w:tc>
        <w:tc>
          <w:tcPr>
            <w:tcW w:w="8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(141,306</w:t>
            </w:r>
          </w:p>
        </w:tc>
        <w:tc>
          <w:tcPr>
            <w:tcW w:w="8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(46,473</w:t>
            </w:r>
          </w:p>
        </w:tc>
        <w:tc>
          <w:tcPr>
            <w:tcW w:w="8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02" w:type="dxa"/>
            <w:tcBorders>
              <w:bottom w:val="single" w:sz="8" w:space="0" w:color="000000"/>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58"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Non-Mining revenues</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1,592</w:t>
            </w:r>
          </w:p>
        </w:tc>
        <w:tc>
          <w:tcPr>
            <w:tcW w:w="8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w:t>
            </w:r>
          </w:p>
        </w:tc>
        <w:tc>
          <w:tcPr>
            <w:tcW w:w="8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8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8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5,102</w:t>
            </w:r>
          </w:p>
        </w:tc>
        <w:tc>
          <w:tcPr>
            <w:tcW w:w="8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5,060</w:t>
            </w:r>
          </w:p>
        </w:tc>
        <w:tc>
          <w:tcPr>
            <w:tcW w:w="8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02"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1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tax recovery relating to energy and infrastructure expenses has been allocated to their respective periods; refer to Note 29b - </w:t>
            </w:r>
            <w:r>
              <w:rPr>
                <w:rFonts w:ascii="Times New Roman;Times;Serif" w:hAnsi="Times New Roman;Times;Serif"/>
                <w:b w:val="false"/>
                <w:i/>
                <w:caps w:val="false"/>
                <w:smallCaps w:val="false"/>
                <w:sz w:val="20"/>
              </w:rPr>
              <w:t>Additional Details to the Statement of Profit or Loss and Comprehensive Profit or Loss (Canadian sales tax refund)</w:t>
            </w:r>
            <w:r>
              <w:rPr>
                <w:rFonts w:ascii="Times New Roman;Times;Serif" w:hAnsi="Times New Roman;Times;Serif"/>
                <w:b w:val="false"/>
                <w:i w:val="false"/>
                <w:caps w:val="false"/>
                <w:smallCaps w:val="false"/>
                <w:sz w:val="20"/>
              </w:rPr>
              <w:t xml:space="preserve"> to the Financial Statements.</w:t>
            </w:r>
          </w:p>
        </w:tc>
      </w:tr>
      <w:tr>
        <w:trPr/>
        <w:tc>
          <w:tcPr>
            <w:tcW w:w="209" w:type="dxa"/>
            <w:tcBorders/>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revenues include revenues from sale of computational power used for hashing calculations and revenues from computational power sold in exchange of services.</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36 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NON-IFRS AND OTHER FINANCIAL MEASURES AND RATIOS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20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Direct Cost and Direct Cost per BTC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89"/>
        <w:gridCol w:w="60"/>
        <w:gridCol w:w="60"/>
        <w:gridCol w:w="755"/>
        <w:gridCol w:w="95"/>
        <w:gridCol w:w="60"/>
        <w:gridCol w:w="60"/>
        <w:gridCol w:w="755"/>
        <w:gridCol w:w="95"/>
        <w:gridCol w:w="60"/>
        <w:gridCol w:w="75"/>
        <w:gridCol w:w="860"/>
        <w:gridCol w:w="95"/>
        <w:gridCol w:w="60"/>
        <w:gridCol w:w="117"/>
        <w:gridCol w:w="893"/>
        <w:gridCol w:w="216"/>
        <w:gridCol w:w="60"/>
        <w:gridCol w:w="60"/>
        <w:gridCol w:w="875"/>
        <w:gridCol w:w="95"/>
        <w:gridCol w:w="60"/>
        <w:gridCol w:w="60"/>
        <w:gridCol w:w="800"/>
        <w:gridCol w:w="95"/>
        <w:gridCol w:w="60"/>
        <w:gridCol w:w="68"/>
        <w:gridCol w:w="867"/>
        <w:gridCol w:w="95"/>
        <w:gridCol w:w="60"/>
        <w:gridCol w:w="117"/>
        <w:gridCol w:w="893"/>
        <w:gridCol w:w="235"/>
      </w:tblGrid>
      <w:tr>
        <w:trPr/>
        <w:tc>
          <w:tcPr>
            <w:tcW w:w="1389" w:type="dxa"/>
            <w:tcBorders>
              <w:bottom w:val="single" w:sz="8" w:space="0" w:color="000000"/>
            </w:tcBorders>
            <w:vAlign w:val="center"/>
          </w:tcPr>
          <w:p>
            <w:pPr>
              <w:pStyle w:val="TableContents"/>
              <w:bidi w:val="0"/>
              <w:spacing w:before="0" w:after="283"/>
              <w:ind w:left="0" w:right="0" w:hanging="180"/>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4040" w:type="dxa"/>
            <w:gridSpan w:val="14"/>
            <w:tcBorders>
              <w:bottom w:val="single" w:sz="8" w:space="0" w:color="000000"/>
            </w:tcBorders>
            <w:tcMar>
              <w:bottom w:w="30" w:type="dxa"/>
            </w:tcMar>
            <w:vAlign w:val="center"/>
          </w:tcPr>
          <w:p>
            <w:pPr>
              <w:pStyle w:val="TableContents"/>
              <w:bidi w:val="0"/>
              <w:spacing w:before="0" w:after="283"/>
              <w:jc w:val="center"/>
              <w:rPr>
                <w:b/>
              </w:rPr>
            </w:pPr>
            <w:r>
              <w:rPr>
                <w:b/>
              </w:rPr>
              <w:t>Three months ended December 31,</w:t>
            </w:r>
          </w:p>
        </w:tc>
        <w:tc>
          <w:tcPr>
            <w:tcW w:w="216"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4205" w:type="dxa"/>
            <w:gridSpan w:val="14"/>
            <w:tcBorders>
              <w:bottom w:val="single" w:sz="8" w:space="0" w:color="000000"/>
            </w:tcBorders>
            <w:tcMar>
              <w:bottom w:w="30" w:type="dxa"/>
            </w:tcMar>
            <w:vAlign w:val="center"/>
          </w:tcPr>
          <w:p>
            <w:pPr>
              <w:pStyle w:val="TableContents"/>
              <w:bidi w:val="0"/>
              <w:spacing w:before="0" w:after="283"/>
              <w:jc w:val="center"/>
              <w:rPr>
                <w:b/>
              </w:rPr>
            </w:pPr>
            <w:r>
              <w:rPr>
                <w:b/>
              </w:rPr>
              <w:t>Year ended December 31,</w:t>
            </w:r>
          </w:p>
        </w:tc>
        <w:tc>
          <w:tcPr>
            <w:tcW w:w="235"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389" w:type="dxa"/>
            <w:tcBorders>
              <w:bottom w:val="single" w:sz="8" w:space="0" w:color="000000"/>
            </w:tcBorders>
            <w:tcMar>
              <w:bottom w:w="30" w:type="dxa"/>
            </w:tcMar>
            <w:vAlign w:val="center"/>
          </w:tcPr>
          <w:p>
            <w:pPr>
              <w:pStyle w:val="TableContents"/>
              <w:bidi w:val="0"/>
              <w:spacing w:before="0" w:after="283"/>
              <w:jc w:val="left"/>
              <w:rPr/>
            </w:pPr>
            <w:r>
              <w:rPr/>
              <w:t>(U.S.$ in thousands except where indicated)</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30" w:type="dxa"/>
            </w:tcMar>
            <w:vAlign w:val="center"/>
          </w:tcPr>
          <w:p>
            <w:pPr>
              <w:pStyle w:val="TableContents"/>
              <w:bidi w:val="0"/>
              <w:spacing w:before="0" w:after="283"/>
              <w:jc w:val="right"/>
              <w:rPr>
                <w:b/>
              </w:rPr>
            </w:pPr>
            <w:r>
              <w:rPr>
                <w:b/>
              </w:rPr>
              <w:t>2024</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30" w:type="dxa"/>
            </w:tcMar>
            <w:vAlign w:val="center"/>
          </w:tcPr>
          <w:p>
            <w:pPr>
              <w:pStyle w:val="TableContents"/>
              <w:bidi w:val="0"/>
              <w:spacing w:before="0" w:after="283"/>
              <w:jc w:val="right"/>
              <w:rPr/>
            </w:pPr>
            <w:r>
              <w:rPr/>
              <w:t>2023</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216"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30" w:type="dxa"/>
            </w:tcMar>
            <w:vAlign w:val="center"/>
          </w:tcPr>
          <w:p>
            <w:pPr>
              <w:pStyle w:val="TableContents"/>
              <w:bidi w:val="0"/>
              <w:spacing w:before="0" w:after="283"/>
              <w:jc w:val="right"/>
              <w:rPr>
                <w:b/>
              </w:rPr>
            </w:pPr>
            <w:r>
              <w:rPr>
                <w:b/>
              </w:rPr>
              <w:t>2024</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30" w:type="dxa"/>
            </w:tcMar>
            <w:vAlign w:val="center"/>
          </w:tcPr>
          <w:p>
            <w:pPr>
              <w:pStyle w:val="TableContents"/>
              <w:bidi w:val="0"/>
              <w:spacing w:before="0" w:after="283"/>
              <w:jc w:val="right"/>
              <w:rPr/>
            </w:pPr>
            <w:r>
              <w:rPr/>
              <w:t>2023</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235"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389"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Cost of revenues</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54,776</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pPr>
            <w:r>
              <w:rPr/>
              <w:t>44,484</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30" w:type="dxa"/>
            </w:tcMar>
            <w:vAlign w:val="center"/>
          </w:tcPr>
          <w:p>
            <w:pPr>
              <w:pStyle w:val="TableContents"/>
              <w:bidi w:val="0"/>
              <w:spacing w:before="0" w:after="283"/>
              <w:jc w:val="right"/>
              <w:rPr/>
            </w:pPr>
            <w:r>
              <w:rPr/>
              <w:t>10,292</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23</w:t>
            </w:r>
          </w:p>
        </w:tc>
        <w:tc>
          <w:tcPr>
            <w:tcW w:w="216"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225,240</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30" w:type="dxa"/>
            </w:tcMar>
            <w:vAlign w:val="center"/>
          </w:tcPr>
          <w:p>
            <w:pPr>
              <w:pStyle w:val="TableContents"/>
              <w:bidi w:val="0"/>
              <w:spacing w:before="0" w:after="283"/>
              <w:jc w:val="right"/>
              <w:rPr/>
            </w:pPr>
            <w:r>
              <w:rPr/>
              <w:t>167,868</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30" w:type="dxa"/>
            </w:tcMar>
            <w:vAlign w:val="center"/>
          </w:tcPr>
          <w:p>
            <w:pPr>
              <w:pStyle w:val="TableContents"/>
              <w:bidi w:val="0"/>
              <w:spacing w:before="0" w:after="283"/>
              <w:jc w:val="right"/>
              <w:rPr/>
            </w:pPr>
            <w:r>
              <w:rPr/>
              <w:t>57,372</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34</w:t>
            </w:r>
          </w:p>
        </w:tc>
        <w:tc>
          <w:tcPr>
            <w:tcW w:w="23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1389" w:type="dxa"/>
            <w:tcBorders/>
            <w:shd w:fill="FFFFFF" w:val="clear"/>
            <w:tcMar>
              <w:bottom w:w="0" w:type="dxa"/>
            </w:tcMar>
            <w:vAlign w:val="center"/>
          </w:tcPr>
          <w:p>
            <w:pPr>
              <w:pStyle w:val="TableContents"/>
              <w:bidi w:val="0"/>
              <w:spacing w:before="0" w:after="283"/>
              <w:jc w:val="left"/>
              <w:rPr/>
            </w:pPr>
            <w:r>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(24,584</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(21,790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(2,794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13</w:t>
            </w:r>
          </w:p>
        </w:tc>
        <w:tc>
          <w:tcPr>
            <w:tcW w:w="216"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(149,727</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(84,785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(64,942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77</w:t>
            </w:r>
          </w:p>
        </w:tc>
        <w:tc>
          <w:tcPr>
            <w:tcW w:w="2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89" w:type="dxa"/>
            <w:tcBorders/>
            <w:shd w:fill="CCEEFF" w:val="clear"/>
            <w:tcMar>
              <w:bottom w:w="0" w:type="dxa"/>
            </w:tcMar>
            <w:vAlign w:val="center"/>
          </w:tcPr>
          <w:p>
            <w:pPr>
              <w:pStyle w:val="TableContents"/>
              <w:bidi w:val="0"/>
              <w:spacing w:before="0" w:after="283"/>
              <w:jc w:val="left"/>
              <w:rPr/>
            </w:pPr>
            <w:r>
              <w:rPr/>
              <w:t>Sales tax recovery - 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w:t>
            </w:r>
          </w:p>
        </w:tc>
        <w:tc>
          <w:tcPr>
            <w:tcW w:w="216"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b/>
              </w:rPr>
            </w:pPr>
            <w:r>
              <w:rPr>
                <w:b/>
              </w:rPr>
              <w:t>8,760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8,760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100</w:t>
            </w:r>
          </w:p>
        </w:tc>
        <w:tc>
          <w:tcPr>
            <w:tcW w:w="2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389" w:type="dxa"/>
            <w:tcBorders/>
            <w:shd w:fill="FFFFFF" w:val="clear"/>
            <w:tcMar>
              <w:bottom w:w="0" w:type="dxa"/>
            </w:tcMar>
            <w:vAlign w:val="center"/>
          </w:tcPr>
          <w:p>
            <w:pPr>
              <w:pStyle w:val="TableContents"/>
              <w:bidi w:val="0"/>
              <w:spacing w:before="0" w:after="283"/>
              <w:jc w:val="left"/>
              <w:rPr/>
            </w:pPr>
            <w:r>
              <w:rPr/>
              <w:t>Electrical components and salaries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(1,403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(1,091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(312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29</w:t>
            </w:r>
          </w:p>
        </w:tc>
        <w:tc>
          <w:tcPr>
            <w:tcW w:w="216"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(4,081</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(4,141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w:t>
            </w:r>
          </w:p>
        </w:tc>
        <w:tc>
          <w:tcPr>
            <w:tcW w:w="2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89" w:type="dxa"/>
            <w:tcBorders/>
            <w:shd w:fill="CCEEFF" w:val="clear"/>
            <w:tcMar>
              <w:bottom w:w="0" w:type="dxa"/>
            </w:tcMar>
            <w:vAlign w:val="center"/>
          </w:tcPr>
          <w:p>
            <w:pPr>
              <w:pStyle w:val="TableContents"/>
              <w:bidi w:val="0"/>
              <w:spacing w:before="0" w:after="283"/>
              <w:jc w:val="left"/>
              <w:rPr/>
            </w:pPr>
            <w:r>
              <w:rPr/>
              <w:t>Infrastructure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(1,456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(1,607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(9</w:t>
            </w:r>
          </w:p>
        </w:tc>
        <w:tc>
          <w:tcPr>
            <w:tcW w:w="216"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b/>
              </w:rPr>
            </w:pPr>
            <w:r>
              <w:rPr>
                <w:b/>
              </w:rPr>
              <w:t>(5,784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(3,909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(1,875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48</w:t>
            </w:r>
          </w:p>
        </w:tc>
        <w:tc>
          <w:tcPr>
            <w:tcW w:w="2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3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Sales tax recovery - prior years - energy and infrastructure </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2,211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100</w:t>
            </w:r>
          </w:p>
        </w:tc>
        <w:tc>
          <w:tcPr>
            <w:tcW w:w="216"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14,338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(8,366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22,704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271</w:t>
            </w:r>
          </w:p>
        </w:tc>
        <w:tc>
          <w:tcPr>
            <w:tcW w:w="2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89" w:type="dxa"/>
            <w:tcBorders>
              <w:bottom w:val="single" w:sz="8" w:space="0" w:color="000000"/>
            </w:tcBorders>
            <w:shd w:fill="CCEEFF" w:val="clear"/>
            <w:tcMar>
              <w:bottom w:w="30" w:type="dxa"/>
            </w:tcMar>
            <w:vAlign w:val="center"/>
          </w:tcPr>
          <w:p>
            <w:pPr>
              <w:pStyle w:val="TableContents"/>
              <w:bidi w:val="0"/>
              <w:spacing w:before="0" w:after="283"/>
              <w:jc w:val="left"/>
              <w:rPr/>
            </w:pPr>
            <w:r>
              <w:rPr/>
              <w:t>Other</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(649</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30" w:type="dxa"/>
            </w:tcMar>
            <w:vAlign w:val="center"/>
          </w:tcPr>
          <w:p>
            <w:pPr>
              <w:pStyle w:val="TableContents"/>
              <w:bidi w:val="0"/>
              <w:spacing w:before="0" w:after="283"/>
              <w:jc w:val="right"/>
              <w:rPr/>
            </w:pPr>
            <w:r>
              <w:rPr/>
              <w:t>(649</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(100</w:t>
            </w:r>
          </w:p>
        </w:tc>
        <w:tc>
          <w:tcPr>
            <w:tcW w:w="216"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30" w:type="dxa"/>
            </w:tcMar>
            <w:vAlign w:val="center"/>
          </w:tcPr>
          <w:p>
            <w:pPr>
              <w:pStyle w:val="TableContents"/>
              <w:bidi w:val="0"/>
              <w:spacing w:before="0" w:after="283"/>
              <w:jc w:val="right"/>
              <w:rPr/>
            </w:pPr>
            <w:r>
              <w:rPr/>
              <w:t>—</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30" w:type="dxa"/>
            </w:tcMar>
            <w:vAlign w:val="center"/>
          </w:tcPr>
          <w:p>
            <w:pPr>
              <w:pStyle w:val="TableContents"/>
              <w:bidi w:val="0"/>
              <w:spacing w:before="0" w:after="283"/>
              <w:jc w:val="right"/>
              <w:rPr/>
            </w:pPr>
            <w:r>
              <w:rPr/>
              <w:t>82</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30" w:type="dxa"/>
            </w:tcMar>
            <w:vAlign w:val="center"/>
          </w:tcPr>
          <w:p>
            <w:pPr>
              <w:pStyle w:val="TableContents"/>
              <w:bidi w:val="0"/>
              <w:spacing w:before="0" w:after="283"/>
              <w:jc w:val="right"/>
              <w:rPr/>
            </w:pPr>
            <w:r>
              <w:rPr/>
              <w:t>(82</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(100</w:t>
            </w:r>
          </w:p>
        </w:tc>
        <w:tc>
          <w:tcPr>
            <w:tcW w:w="23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1389" w:type="dxa"/>
            <w:tcBorders/>
            <w:shd w:fill="FFFFFF" w:val="clear"/>
            <w:tcMar>
              <w:bottom w:w="0" w:type="dxa"/>
            </w:tcMar>
            <w:vAlign w:val="center"/>
          </w:tcPr>
          <w:p>
            <w:pPr>
              <w:pStyle w:val="TableContents"/>
              <w:bidi w:val="0"/>
              <w:spacing w:before="0" w:after="283"/>
              <w:jc w:val="left"/>
              <w:rPr>
                <w:b/>
              </w:rPr>
            </w:pPr>
            <w:r>
              <w:rPr>
                <w:b/>
              </w:rPr>
              <w:t>Direct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26,684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17,785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8,899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50</w:t>
            </w:r>
          </w:p>
        </w:tc>
        <w:tc>
          <w:tcPr>
            <w:tcW w:w="216"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88,746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66,749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21,997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33</w:t>
            </w:r>
          </w:p>
        </w:tc>
        <w:tc>
          <w:tcPr>
            <w:tcW w:w="23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89" w:type="dxa"/>
            <w:tcBorders>
              <w:bottom w:val="single" w:sz="8" w:space="0" w:color="000000"/>
            </w:tcBorders>
            <w:shd w:fill="CCEEFF" w:val="clear"/>
            <w:tcMar>
              <w:bottom w:w="30" w:type="dxa"/>
            </w:tcMar>
            <w:vAlign w:val="center"/>
          </w:tcPr>
          <w:p>
            <w:pPr>
              <w:pStyle w:val="TableContents"/>
              <w:bidi w:val="0"/>
              <w:spacing w:before="0" w:after="283"/>
              <w:jc w:val="left"/>
              <w:rPr/>
            </w:pPr>
            <w:r>
              <w:rPr/>
              <w:t>Quantity of BTC earned</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654</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pPr>
            <w:r>
              <w:rPr/>
              <w:t>1,236</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30" w:type="dxa"/>
            </w:tcMar>
            <w:vAlign w:val="center"/>
          </w:tcPr>
          <w:p>
            <w:pPr>
              <w:pStyle w:val="TableContents"/>
              <w:bidi w:val="0"/>
              <w:spacing w:before="0" w:after="283"/>
              <w:jc w:val="right"/>
              <w:rPr/>
            </w:pPr>
            <w:r>
              <w:rPr/>
              <w:t>(582</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(47</w:t>
            </w:r>
          </w:p>
        </w:tc>
        <w:tc>
          <w:tcPr>
            <w:tcW w:w="216"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2,914</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30" w:type="dxa"/>
            </w:tcMar>
            <w:vAlign w:val="center"/>
          </w:tcPr>
          <w:p>
            <w:pPr>
              <w:pStyle w:val="TableContents"/>
              <w:bidi w:val="0"/>
              <w:spacing w:before="0" w:after="283"/>
              <w:jc w:val="right"/>
              <w:rPr/>
            </w:pPr>
            <w:r>
              <w:rPr/>
              <w:t>4,928</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30" w:type="dxa"/>
            </w:tcMar>
            <w:vAlign w:val="center"/>
          </w:tcPr>
          <w:p>
            <w:pPr>
              <w:pStyle w:val="TableContents"/>
              <w:bidi w:val="0"/>
              <w:spacing w:before="0" w:after="283"/>
              <w:jc w:val="right"/>
              <w:rPr/>
            </w:pPr>
            <w:r>
              <w:rPr/>
              <w:t>(2,014</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(41</w:t>
            </w:r>
          </w:p>
        </w:tc>
        <w:tc>
          <w:tcPr>
            <w:tcW w:w="235"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1389" w:type="dxa"/>
            <w:tcBorders>
              <w:bottom w:val="single" w:sz="12" w:space="0" w:color="000000"/>
            </w:tcBorders>
            <w:shd w:fill="FFFFFF" w:val="clear"/>
            <w:tcMar>
              <w:bottom w:w="30" w:type="dxa"/>
            </w:tcMar>
            <w:vAlign w:val="center"/>
          </w:tcPr>
          <w:p>
            <w:pPr>
              <w:pStyle w:val="TableContents"/>
              <w:bidi w:val="0"/>
              <w:spacing w:before="0" w:after="283"/>
              <w:jc w:val="left"/>
              <w:rPr>
                <w:b/>
              </w:rPr>
            </w:pPr>
            <w:r>
              <w:rPr>
                <w:b/>
              </w:rPr>
              <w:t>Direct Cost per BTC (in U.S. dollars)</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30" w:type="dxa"/>
            </w:tcMar>
            <w:vAlign w:val="center"/>
          </w:tcPr>
          <w:p>
            <w:pPr>
              <w:pStyle w:val="TableContents"/>
              <w:bidi w:val="0"/>
              <w:spacing w:before="0" w:after="283"/>
              <w:jc w:val="right"/>
              <w:rPr>
                <w:b/>
              </w:rPr>
            </w:pPr>
            <w:r>
              <w:rPr>
                <w:b/>
              </w:rPr>
              <w:t>40,800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30" w:type="dxa"/>
            </w:tcMar>
            <w:vAlign w:val="center"/>
          </w:tcPr>
          <w:p>
            <w:pPr>
              <w:pStyle w:val="TableContents"/>
              <w:bidi w:val="0"/>
              <w:spacing w:before="0" w:after="283"/>
              <w:jc w:val="right"/>
              <w:rPr/>
            </w:pPr>
            <w:r>
              <w:rPr/>
              <w:t>14,400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30" w:type="dxa"/>
            </w:tcMar>
            <w:vAlign w:val="center"/>
          </w:tcPr>
          <w:p>
            <w:pPr>
              <w:pStyle w:val="TableContents"/>
              <w:bidi w:val="0"/>
              <w:spacing w:before="0" w:after="283"/>
              <w:jc w:val="right"/>
              <w:rPr/>
            </w:pPr>
            <w:r>
              <w:rPr/>
              <w:t>26,400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30" w:type="dxa"/>
            </w:tcMar>
            <w:vAlign w:val="center"/>
          </w:tcPr>
          <w:p>
            <w:pPr>
              <w:pStyle w:val="TableContents"/>
              <w:bidi w:val="0"/>
              <w:spacing w:before="0" w:after="283"/>
              <w:jc w:val="right"/>
              <w:rPr/>
            </w:pPr>
            <w:r>
              <w:rPr/>
              <w:t>183</w:t>
            </w:r>
          </w:p>
        </w:tc>
        <w:tc>
          <w:tcPr>
            <w:tcW w:w="216" w:type="dxa"/>
            <w:tcBorders>
              <w:bottom w:val="single" w:sz="12" w:space="0" w:color="000000"/>
            </w:tcBorders>
            <w:shd w:fill="FFFF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30" w:type="dxa"/>
            </w:tcMar>
            <w:vAlign w:val="center"/>
          </w:tcPr>
          <w:p>
            <w:pPr>
              <w:pStyle w:val="TableContents"/>
              <w:bidi w:val="0"/>
              <w:spacing w:before="0" w:after="283"/>
              <w:jc w:val="right"/>
              <w:rPr>
                <w:b/>
              </w:rPr>
            </w:pPr>
            <w:r>
              <w:rPr>
                <w:b/>
              </w:rPr>
              <w:t>30,500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30" w:type="dxa"/>
            </w:tcMar>
            <w:vAlign w:val="center"/>
          </w:tcPr>
          <w:p>
            <w:pPr>
              <w:pStyle w:val="TableContents"/>
              <w:bidi w:val="0"/>
              <w:spacing w:before="0" w:after="283"/>
              <w:jc w:val="right"/>
              <w:rPr/>
            </w:pPr>
            <w:r>
              <w:rPr/>
              <w:t>13,500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30" w:type="dxa"/>
            </w:tcMar>
            <w:vAlign w:val="center"/>
          </w:tcPr>
          <w:p>
            <w:pPr>
              <w:pStyle w:val="TableContents"/>
              <w:bidi w:val="0"/>
              <w:spacing w:before="0" w:after="283"/>
              <w:jc w:val="right"/>
              <w:rPr/>
            </w:pPr>
            <w:r>
              <w:rPr/>
              <w:t>17,000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30" w:type="dxa"/>
            </w:tcMar>
            <w:vAlign w:val="center"/>
          </w:tcPr>
          <w:p>
            <w:pPr>
              <w:pStyle w:val="TableContents"/>
              <w:bidi w:val="0"/>
              <w:spacing w:before="0" w:after="283"/>
              <w:jc w:val="right"/>
              <w:rPr/>
            </w:pPr>
            <w:r>
              <w:rPr/>
              <w:t>126</w:t>
            </w:r>
          </w:p>
        </w:tc>
        <w:tc>
          <w:tcPr>
            <w:tcW w:w="235" w:type="dxa"/>
            <w:tcBorders>
              <w:bottom w:val="single" w:sz="12" w:space="0" w:color="000000"/>
            </w:tcBorders>
            <w:shd w:fill="FFFFFF" w:val="clear"/>
            <w:tcMar>
              <w:bottom w:w="3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0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5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Total Cash Cost and Total Cash Cost per BTC</w:t>
            </w:r>
          </w:p>
        </w:tc>
      </w:tr>
    </w:tbl>
    <w:p>
      <w:pPr>
        <w:pStyle w:val="TextBody"/>
        <w:bidi w:val="0"/>
        <w:spacing w:before="0" w:after="0"/>
        <w:ind w:left="0" w:right="0" w:hanging="0"/>
        <w:jc w:val="left"/>
        <w:rPr>
          <w:caps w:val="false"/>
          <w:smallCaps w:val="false"/>
        </w:rPr>
      </w:pPr>
      <w:r>
        <w:rPr>
          <w:caps w:val="false"/>
          <w:smallCaps w:val="false"/>
        </w:rPr>
        <w:t> </w:t>
      </w:r>
    </w:p>
    <w:tbl>
      <w:tblPr>
        <w:tblW w:w="10300" w:type="dxa"/>
        <w:jc w:val="left"/>
        <w:tblInd w:w="0" w:type="dxa"/>
        <w:tblLayout w:type="fixed"/>
        <w:tblCellMar>
          <w:top w:w="0" w:type="dxa"/>
          <w:left w:w="0" w:type="dxa"/>
          <w:bottom w:w="28" w:type="dxa"/>
          <w:right w:w="0" w:type="dxa"/>
        </w:tblCellMar>
      </w:tblPr>
      <w:tblGrid>
        <w:gridCol w:w="1490"/>
        <w:gridCol w:w="60"/>
        <w:gridCol w:w="60"/>
        <w:gridCol w:w="755"/>
        <w:gridCol w:w="95"/>
        <w:gridCol w:w="60"/>
        <w:gridCol w:w="60"/>
        <w:gridCol w:w="755"/>
        <w:gridCol w:w="95"/>
        <w:gridCol w:w="60"/>
        <w:gridCol w:w="75"/>
        <w:gridCol w:w="860"/>
        <w:gridCol w:w="95"/>
        <w:gridCol w:w="60"/>
        <w:gridCol w:w="117"/>
        <w:gridCol w:w="893"/>
        <w:gridCol w:w="215"/>
        <w:gridCol w:w="60"/>
        <w:gridCol w:w="60"/>
        <w:gridCol w:w="875"/>
        <w:gridCol w:w="95"/>
        <w:gridCol w:w="60"/>
        <w:gridCol w:w="60"/>
        <w:gridCol w:w="800"/>
        <w:gridCol w:w="95"/>
        <w:gridCol w:w="60"/>
        <w:gridCol w:w="68"/>
        <w:gridCol w:w="867"/>
        <w:gridCol w:w="95"/>
        <w:gridCol w:w="60"/>
        <w:gridCol w:w="117"/>
        <w:gridCol w:w="893"/>
        <w:gridCol w:w="230"/>
      </w:tblGrid>
      <w:tr>
        <w:trPr/>
        <w:tc>
          <w:tcPr>
            <w:tcW w:w="1490" w:type="dxa"/>
            <w:tcBorders>
              <w:bottom w:val="single" w:sz="8" w:space="0" w:color="000000"/>
            </w:tcBorders>
            <w:vAlign w:val="center"/>
          </w:tcPr>
          <w:p>
            <w:pPr>
              <w:pStyle w:val="TableContents"/>
              <w:bidi w:val="0"/>
              <w:spacing w:before="0" w:after="283"/>
              <w:ind w:left="0" w:right="0" w:hanging="180"/>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4040" w:type="dxa"/>
            <w:gridSpan w:val="14"/>
            <w:tcBorders>
              <w:bottom w:val="single" w:sz="8" w:space="0" w:color="000000"/>
            </w:tcBorders>
            <w:tcMar>
              <w:bottom w:w="30" w:type="dxa"/>
            </w:tcMar>
            <w:vAlign w:val="center"/>
          </w:tcPr>
          <w:p>
            <w:pPr>
              <w:pStyle w:val="TableContents"/>
              <w:bidi w:val="0"/>
              <w:spacing w:before="0" w:after="283"/>
              <w:jc w:val="center"/>
              <w:rPr>
                <w:b/>
              </w:rPr>
            </w:pPr>
            <w:r>
              <w:rPr>
                <w:b/>
              </w:rPr>
              <w:t>Three months ended December 31,</w:t>
            </w:r>
          </w:p>
        </w:tc>
        <w:tc>
          <w:tcPr>
            <w:tcW w:w="21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4205" w:type="dxa"/>
            <w:gridSpan w:val="14"/>
            <w:tcBorders>
              <w:bottom w:val="single" w:sz="8" w:space="0" w:color="000000"/>
            </w:tcBorders>
            <w:tcMar>
              <w:bottom w:w="30" w:type="dxa"/>
            </w:tcMar>
            <w:vAlign w:val="center"/>
          </w:tcPr>
          <w:p>
            <w:pPr>
              <w:pStyle w:val="TableContents"/>
              <w:bidi w:val="0"/>
              <w:spacing w:before="0" w:after="283"/>
              <w:jc w:val="center"/>
              <w:rPr>
                <w:b/>
              </w:rPr>
            </w:pPr>
            <w:r>
              <w:rPr>
                <w:b/>
              </w:rPr>
              <w:t>Year ended December 31,</w:t>
            </w:r>
          </w:p>
        </w:tc>
        <w:tc>
          <w:tcPr>
            <w:tcW w:w="230"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490" w:type="dxa"/>
            <w:tcBorders>
              <w:bottom w:val="single" w:sz="8" w:space="0" w:color="000000"/>
            </w:tcBorders>
            <w:tcMar>
              <w:bottom w:w="30" w:type="dxa"/>
            </w:tcMar>
            <w:vAlign w:val="center"/>
          </w:tcPr>
          <w:p>
            <w:pPr>
              <w:pStyle w:val="TableContents"/>
              <w:bidi w:val="0"/>
              <w:spacing w:before="0" w:after="283"/>
              <w:jc w:val="left"/>
              <w:rPr/>
            </w:pPr>
            <w:r>
              <w:rPr/>
              <w:t>(U.S.$ in thousands except where indicated)</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30" w:type="dxa"/>
            </w:tcMar>
            <w:vAlign w:val="center"/>
          </w:tcPr>
          <w:p>
            <w:pPr>
              <w:pStyle w:val="TableContents"/>
              <w:bidi w:val="0"/>
              <w:spacing w:before="0" w:after="283"/>
              <w:jc w:val="right"/>
              <w:rPr>
                <w:b/>
              </w:rPr>
            </w:pPr>
            <w:r>
              <w:rPr>
                <w:b/>
              </w:rPr>
              <w:t>2024</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30" w:type="dxa"/>
            </w:tcMar>
            <w:vAlign w:val="center"/>
          </w:tcPr>
          <w:p>
            <w:pPr>
              <w:pStyle w:val="TableContents"/>
              <w:bidi w:val="0"/>
              <w:spacing w:before="0" w:after="283"/>
              <w:jc w:val="right"/>
              <w:rPr/>
            </w:pPr>
            <w:r>
              <w:rPr/>
              <w:t>2023</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21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30" w:type="dxa"/>
            </w:tcMar>
            <w:vAlign w:val="center"/>
          </w:tcPr>
          <w:p>
            <w:pPr>
              <w:pStyle w:val="TableContents"/>
              <w:bidi w:val="0"/>
              <w:spacing w:before="0" w:after="283"/>
              <w:jc w:val="right"/>
              <w:rPr>
                <w:b/>
              </w:rPr>
            </w:pPr>
            <w:r>
              <w:rPr>
                <w:b/>
              </w:rPr>
              <w:t>2024</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30" w:type="dxa"/>
            </w:tcMar>
            <w:vAlign w:val="center"/>
          </w:tcPr>
          <w:p>
            <w:pPr>
              <w:pStyle w:val="TableContents"/>
              <w:bidi w:val="0"/>
              <w:spacing w:before="0" w:after="283"/>
              <w:jc w:val="right"/>
              <w:rPr/>
            </w:pPr>
            <w:r>
              <w:rPr/>
              <w:t>2023</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95" w:type="dxa"/>
            <w:tcBorders>
              <w:bottom w:val="single" w:sz="8" w:space="0" w:color="000000"/>
            </w:tcBorders>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tcMar>
              <w:bottom w:w="30"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bottom w:w="30" w:type="dxa"/>
            </w:tcMar>
            <w:vAlign w:val="center"/>
          </w:tcPr>
          <w:p>
            <w:pPr>
              <w:pStyle w:val="TableContents"/>
              <w:bidi w:val="0"/>
              <w:spacing w:before="0" w:after="283"/>
              <w:jc w:val="right"/>
              <w:rPr/>
            </w:pPr>
            <w:r>
              <w:rPr/>
              <w:t>% Change</w:t>
            </w:r>
          </w:p>
        </w:tc>
        <w:tc>
          <w:tcPr>
            <w:tcW w:w="230" w:type="dxa"/>
            <w:tcBorders>
              <w:bottom w:val="single" w:sz="8" w:space="0" w:color="000000"/>
            </w:tcBorders>
            <w:tcMar>
              <w:bottom w:w="30" w:type="dxa"/>
            </w:tcMar>
            <w:vAlign w:val="center"/>
          </w:tcPr>
          <w:p>
            <w:pPr>
              <w:pStyle w:val="TableContents"/>
              <w:bidi w:val="0"/>
              <w:spacing w:before="0" w:after="283"/>
              <w:ind w:left="0" w:right="0" w:hanging="180"/>
              <w:jc w:val="left"/>
              <w:rPr/>
            </w:pPr>
            <w:r>
              <w:rPr/>
              <w:t> </w:t>
            </w:r>
          </w:p>
        </w:tc>
      </w:tr>
      <w:tr>
        <w:trPr/>
        <w:tc>
          <w:tcPr>
            <w:tcW w:w="1490" w:type="dxa"/>
            <w:tcBorders/>
            <w:shd w:fill="CCEEFF" w:val="clear"/>
            <w:tcMar>
              <w:bottom w:w="0" w:type="dxa"/>
            </w:tcMar>
            <w:vAlign w:val="center"/>
          </w:tcPr>
          <w:p>
            <w:pPr>
              <w:pStyle w:val="TableContents"/>
              <w:bidi w:val="0"/>
              <w:spacing w:before="0" w:after="283"/>
              <w:jc w:val="left"/>
              <w:rPr>
                <w:b/>
              </w:rPr>
            </w:pPr>
            <w:r>
              <w:rPr>
                <w:b/>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54,776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44,484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10,292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23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b/>
              </w:rPr>
            </w:pPr>
            <w:r>
              <w:rPr>
                <w:b/>
              </w:rPr>
              <w:t>225,240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167,868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57,372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34</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90" w:type="dxa"/>
            <w:tcBorders>
              <w:bottom w:val="single" w:sz="8" w:space="0" w:color="000000"/>
            </w:tcBorders>
            <w:shd w:fill="FFFFFF" w:val="clear"/>
            <w:tcMar>
              <w:bottom w:w="30" w:type="dxa"/>
            </w:tcMar>
            <w:vAlign w:val="center"/>
          </w:tcPr>
          <w:p>
            <w:pPr>
              <w:pStyle w:val="TableContents"/>
              <w:bidi w:val="0"/>
              <w:spacing w:before="0" w:after="283"/>
              <w:jc w:val="left"/>
              <w:rPr>
                <w:b/>
              </w:rPr>
            </w:pPr>
            <w:r>
              <w:rPr>
                <w:b/>
              </w:rPr>
              <w:t>General and administrative expenses</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30" w:type="dxa"/>
            </w:tcMar>
            <w:vAlign w:val="center"/>
          </w:tcPr>
          <w:p>
            <w:pPr>
              <w:pStyle w:val="TableContents"/>
              <w:bidi w:val="0"/>
              <w:spacing w:before="0" w:after="283"/>
              <w:jc w:val="right"/>
              <w:rPr>
                <w:b/>
              </w:rPr>
            </w:pPr>
            <w:r>
              <w:rPr>
                <w:b/>
              </w:rPr>
              <w:t>18,042</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30" w:type="dxa"/>
            </w:tcMar>
            <w:vAlign w:val="center"/>
          </w:tcPr>
          <w:p>
            <w:pPr>
              <w:pStyle w:val="TableContents"/>
              <w:bidi w:val="0"/>
              <w:spacing w:before="0" w:after="283"/>
              <w:jc w:val="right"/>
              <w:rPr/>
            </w:pPr>
            <w:r>
              <w:rPr/>
              <w:t>13,405</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30" w:type="dxa"/>
            </w:tcMar>
            <w:vAlign w:val="center"/>
          </w:tcPr>
          <w:p>
            <w:pPr>
              <w:pStyle w:val="TableContents"/>
              <w:bidi w:val="0"/>
              <w:spacing w:before="0" w:after="283"/>
              <w:jc w:val="right"/>
              <w:rPr/>
            </w:pPr>
            <w:r>
              <w:rPr/>
              <w:t>4,637</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30" w:type="dxa"/>
            </w:tcMar>
            <w:vAlign w:val="center"/>
          </w:tcPr>
          <w:p>
            <w:pPr>
              <w:pStyle w:val="TableContents"/>
              <w:bidi w:val="0"/>
              <w:spacing w:before="0" w:after="283"/>
              <w:jc w:val="right"/>
              <w:rPr/>
            </w:pPr>
            <w:r>
              <w:rPr/>
              <w:t>35</w:t>
            </w:r>
          </w:p>
        </w:tc>
        <w:tc>
          <w:tcPr>
            <w:tcW w:w="215" w:type="dxa"/>
            <w:tcBorders>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30" w:type="dxa"/>
            </w:tcMar>
            <w:vAlign w:val="center"/>
          </w:tcPr>
          <w:p>
            <w:pPr>
              <w:pStyle w:val="TableContents"/>
              <w:bidi w:val="0"/>
              <w:spacing w:before="0" w:after="283"/>
              <w:jc w:val="right"/>
              <w:rPr>
                <w:b/>
              </w:rPr>
            </w:pPr>
            <w:r>
              <w:rPr>
                <w:b/>
              </w:rPr>
              <w:t>71,240</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30" w:type="dxa"/>
            </w:tcMar>
            <w:vAlign w:val="center"/>
          </w:tcPr>
          <w:p>
            <w:pPr>
              <w:pStyle w:val="TableContents"/>
              <w:bidi w:val="0"/>
              <w:spacing w:before="0" w:after="283"/>
              <w:jc w:val="right"/>
              <w:rPr/>
            </w:pPr>
            <w:r>
              <w:rPr/>
              <w:t>39,292</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FFFFFF" w:val="clear"/>
            <w:tcMar>
              <w:bottom w:w="30" w:type="dxa"/>
            </w:tcMar>
            <w:vAlign w:val="center"/>
          </w:tcPr>
          <w:p>
            <w:pPr>
              <w:pStyle w:val="TableContents"/>
              <w:bidi w:val="0"/>
              <w:spacing w:before="0" w:after="283"/>
              <w:jc w:val="right"/>
              <w:rPr/>
            </w:pPr>
            <w:r>
              <w:rPr/>
              <w:t>31,948</w:t>
            </w:r>
          </w:p>
        </w:tc>
        <w:tc>
          <w:tcPr>
            <w:tcW w:w="95"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30" w:type="dxa"/>
            </w:tcMar>
            <w:vAlign w:val="center"/>
          </w:tcPr>
          <w:p>
            <w:pPr>
              <w:pStyle w:val="TableContents"/>
              <w:bidi w:val="0"/>
              <w:spacing w:before="0" w:after="283"/>
              <w:jc w:val="right"/>
              <w:rPr/>
            </w:pPr>
            <w:r>
              <w:rPr/>
              <w:t>81</w:t>
            </w:r>
          </w:p>
        </w:tc>
        <w:tc>
          <w:tcPr>
            <w:tcW w:w="230" w:type="dxa"/>
            <w:tcBorders>
              <w:bottom w:val="single" w:sz="8" w:space="0" w:color="000000"/>
            </w:tcBorders>
            <w:shd w:fill="FFFFFF" w:val="clear"/>
            <w:tcMar>
              <w:bottom w:w="30" w:type="dxa"/>
            </w:tcMar>
            <w:vAlign w:val="center"/>
          </w:tcPr>
          <w:p>
            <w:pPr>
              <w:pStyle w:val="TableContents"/>
              <w:bidi w:val="0"/>
              <w:spacing w:before="0" w:after="283"/>
              <w:ind w:left="0" w:right="0" w:hanging="180"/>
              <w:jc w:val="left"/>
              <w:rPr/>
            </w:pPr>
            <w:r>
              <w:rPr/>
              <w:t>%</w:t>
            </w:r>
          </w:p>
        </w:tc>
      </w:tr>
      <w:tr>
        <w:trPr/>
        <w:tc>
          <w:tcPr>
            <w:tcW w:w="14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72,818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57,889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14,929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26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b/>
              </w:rPr>
            </w:pPr>
            <w:r>
              <w:rPr>
                <w:b/>
              </w:rPr>
              <w:t>296,480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207,160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89,320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43</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90" w:type="dxa"/>
            <w:tcBorders/>
            <w:shd w:fill="FFFFFF" w:val="clear"/>
            <w:tcMar>
              <w:bottom w:w="0" w:type="dxa"/>
            </w:tcMar>
            <w:vAlign w:val="center"/>
          </w:tcPr>
          <w:p>
            <w:pPr>
              <w:pStyle w:val="TableContents"/>
              <w:bidi w:val="0"/>
              <w:spacing w:before="0" w:after="283"/>
              <w:jc w:val="left"/>
              <w:rPr/>
            </w:pPr>
            <w:r>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(24,584</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(21,790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(2,794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(149,727</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(84,785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(64,942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77</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Non-cash service expense </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(688</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(688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b/>
              </w:rPr>
            </w:pPr>
            <w:r>
              <w:rPr>
                <w:b/>
              </w:rPr>
              <w:t>(1,252</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(1,252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(100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90" w:type="dxa"/>
            <w:tcBorders/>
            <w:shd w:fill="FFFFFF" w:val="clear"/>
            <w:tcMar>
              <w:bottom w:w="0" w:type="dxa"/>
            </w:tcMar>
            <w:vAlign w:val="center"/>
          </w:tcPr>
          <w:p>
            <w:pPr>
              <w:pStyle w:val="TableContents"/>
              <w:bidi w:val="0"/>
              <w:spacing w:before="0" w:after="283"/>
              <w:jc w:val="left"/>
              <w:rPr/>
            </w:pPr>
            <w:r>
              <w:rPr/>
              <w:t>Sales tax recovery - 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8,760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8,760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100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90" w:type="dxa"/>
            <w:tcBorders/>
            <w:shd w:fill="CCEEFF" w:val="clear"/>
            <w:tcMar>
              <w:bottom w:w="0" w:type="dxa"/>
            </w:tcMar>
            <w:vAlign w:val="center"/>
          </w:tcPr>
          <w:p>
            <w:pPr>
              <w:pStyle w:val="TableContents"/>
              <w:bidi w:val="0"/>
              <w:spacing w:before="0" w:after="283"/>
              <w:jc w:val="left"/>
              <w:rPr/>
            </w:pPr>
            <w:r>
              <w:rPr/>
              <w:t>Electrical components and salaries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(1,403</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(1,091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(312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29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b/>
              </w:rPr>
            </w:pPr>
            <w:r>
              <w:rPr>
                <w:b/>
              </w:rPr>
              <w:t>(4,081</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(4,141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90" w:type="dxa"/>
            <w:tcBorders/>
            <w:shd w:fill="FFFFFF" w:val="clear"/>
            <w:tcMar>
              <w:bottom w:w="0" w:type="dxa"/>
            </w:tcMar>
            <w:vAlign w:val="center"/>
          </w:tcPr>
          <w:p>
            <w:pPr>
              <w:pStyle w:val="TableContents"/>
              <w:bidi w:val="0"/>
              <w:spacing w:before="0" w:after="283"/>
              <w:jc w:val="left"/>
              <w:rPr/>
            </w:pPr>
            <w:r>
              <w:rPr/>
              <w:t>Share-based payment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(4,021</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(3,906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(115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(13,949</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(10,915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(3,034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28</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90" w:type="dxa"/>
            <w:tcBorders/>
            <w:shd w:fill="CCEEFF" w:val="clear"/>
            <w:tcMar>
              <w:bottom w:w="0" w:type="dxa"/>
            </w:tcMar>
            <w:vAlign w:val="center"/>
          </w:tcPr>
          <w:p>
            <w:pPr>
              <w:pStyle w:val="TableContents"/>
              <w:bidi w:val="0"/>
              <w:spacing w:before="0" w:after="283"/>
              <w:jc w:val="left"/>
              <w:rPr/>
            </w:pPr>
            <w:r>
              <w:rPr/>
              <w:t>Service fees not associated with ongoing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b/>
              </w:rPr>
            </w:pPr>
            <w:r>
              <w:rPr>
                <w:b/>
              </w:rPr>
              <w:t>(1,287</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pPr>
            <w:r>
              <w:rPr/>
              <w:t>(1,287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b/>
              </w:rPr>
            </w:pPr>
            <w:r>
              <w:rPr>
                <w:b/>
              </w:rPr>
              <w:t>(13,766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(13,766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(100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90" w:type="dxa"/>
            <w:tcBorders/>
            <w:shd w:fill="FFFFFF" w:val="clear"/>
            <w:tcMar>
              <w:bottom w:w="0" w:type="dxa"/>
            </w:tcMar>
            <w:vAlign w:val="center"/>
          </w:tcPr>
          <w:p>
            <w:pPr>
              <w:pStyle w:val="TableContents"/>
              <w:bidi w:val="0"/>
              <w:spacing w:before="0" w:after="283"/>
              <w:jc w:val="left"/>
              <w:rPr/>
            </w:pPr>
            <w:r>
              <w:rPr/>
              <w:t xml:space="preserve">Sales tax recovery - prior years - energy and infrastructure and G&amp;A expenses </w:t>
            </w:r>
            <w:r>
              <w:rPr>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(2,485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2,485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16,081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(9,281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25,362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273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90" w:type="dxa"/>
            <w:tcBorders>
              <w:bottom w:val="single" w:sz="8" w:space="0" w:color="000000"/>
            </w:tcBorders>
            <w:shd w:fill="CCEEFF" w:val="clear"/>
            <w:tcMar>
              <w:bottom w:w="30" w:type="dxa"/>
            </w:tcMar>
            <w:vAlign w:val="center"/>
          </w:tcPr>
          <w:p>
            <w:pPr>
              <w:pStyle w:val="TableContents"/>
              <w:bidi w:val="0"/>
              <w:spacing w:before="0" w:after="283"/>
              <w:jc w:val="left"/>
              <w:rPr/>
            </w:pPr>
            <w:r>
              <w:rPr/>
              <w:t>Other</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(1,078</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pPr>
            <w:r>
              <w:rPr/>
              <w:t>201</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30" w:type="dxa"/>
            </w:tcMar>
            <w:vAlign w:val="center"/>
          </w:tcPr>
          <w:p>
            <w:pPr>
              <w:pStyle w:val="TableContents"/>
              <w:bidi w:val="0"/>
              <w:spacing w:before="0" w:after="283"/>
              <w:jc w:val="right"/>
              <w:rPr/>
            </w:pPr>
            <w:r>
              <w:rPr/>
              <w:t>(1,279</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(636</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(5,659</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30" w:type="dxa"/>
            </w:tcMar>
            <w:vAlign w:val="center"/>
          </w:tcPr>
          <w:p>
            <w:pPr>
              <w:pStyle w:val="TableContents"/>
              <w:bidi w:val="0"/>
              <w:spacing w:before="0" w:after="283"/>
              <w:jc w:val="right"/>
              <w:rPr/>
            </w:pPr>
            <w:r>
              <w:rPr/>
              <w:t>890</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30" w:type="dxa"/>
            </w:tcMar>
            <w:vAlign w:val="center"/>
          </w:tcPr>
          <w:p>
            <w:pPr>
              <w:pStyle w:val="TableContents"/>
              <w:bidi w:val="0"/>
              <w:spacing w:before="0" w:after="283"/>
              <w:jc w:val="right"/>
              <w:rPr/>
            </w:pPr>
            <w:r>
              <w:rPr/>
              <w:t>(6,549</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(736</w:t>
            </w:r>
          </w:p>
        </w:tc>
        <w:tc>
          <w:tcPr>
            <w:tcW w:w="230"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1490" w:type="dxa"/>
            <w:tcBorders/>
            <w:shd w:fill="FFFFFF" w:val="clear"/>
            <w:tcMar>
              <w:bottom w:w="0" w:type="dxa"/>
            </w:tcMar>
            <w:vAlign w:val="center"/>
          </w:tcPr>
          <w:p>
            <w:pPr>
              <w:pStyle w:val="TableContents"/>
              <w:bidi w:val="0"/>
              <w:spacing w:before="0" w:after="283"/>
              <w:jc w:val="left"/>
              <w:rPr>
                <w:b/>
              </w:rPr>
            </w:pPr>
            <w:r>
              <w:rPr>
                <w:b/>
              </w:rPr>
              <w:t>Total Cash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39,757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28,818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10,939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38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b/>
              </w:rPr>
            </w:pPr>
            <w:r>
              <w:rPr>
                <w:b/>
              </w:rPr>
              <w:t>132,887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98,928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33,959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34</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49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Quantity of BTC earned</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654</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30" w:type="dxa"/>
            </w:tcMar>
            <w:vAlign w:val="center"/>
          </w:tcPr>
          <w:p>
            <w:pPr>
              <w:pStyle w:val="TableContents"/>
              <w:bidi w:val="0"/>
              <w:spacing w:before="0" w:after="283"/>
              <w:jc w:val="right"/>
              <w:rPr/>
            </w:pPr>
            <w:r>
              <w:rPr/>
              <w:t>1,236</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30" w:type="dxa"/>
            </w:tcMar>
            <w:vAlign w:val="center"/>
          </w:tcPr>
          <w:p>
            <w:pPr>
              <w:pStyle w:val="TableContents"/>
              <w:bidi w:val="0"/>
              <w:spacing w:before="0" w:after="283"/>
              <w:jc w:val="right"/>
              <w:rPr/>
            </w:pPr>
            <w:r>
              <w:rPr/>
              <w:t>(582</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(47</w:t>
            </w:r>
          </w:p>
        </w:tc>
        <w:tc>
          <w:tcPr>
            <w:tcW w:w="21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30" w:type="dxa"/>
            </w:tcMar>
            <w:vAlign w:val="center"/>
          </w:tcPr>
          <w:p>
            <w:pPr>
              <w:pStyle w:val="TableContents"/>
              <w:bidi w:val="0"/>
              <w:spacing w:before="0" w:after="283"/>
              <w:jc w:val="right"/>
              <w:rPr>
                <w:b/>
              </w:rPr>
            </w:pPr>
            <w:r>
              <w:rPr>
                <w:b/>
              </w:rPr>
              <w:t>2,914</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30" w:type="dxa"/>
            </w:tcMar>
            <w:vAlign w:val="center"/>
          </w:tcPr>
          <w:p>
            <w:pPr>
              <w:pStyle w:val="TableContents"/>
              <w:bidi w:val="0"/>
              <w:spacing w:before="0" w:after="283"/>
              <w:jc w:val="right"/>
              <w:rPr/>
            </w:pPr>
            <w:r>
              <w:rPr/>
              <w:t>4,928</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67" w:type="dxa"/>
            <w:tcBorders>
              <w:bottom w:val="single" w:sz="8" w:space="0" w:color="000000"/>
            </w:tcBorders>
            <w:shd w:fill="CCEEFF" w:val="clear"/>
            <w:tcMar>
              <w:bottom w:w="30" w:type="dxa"/>
            </w:tcMar>
            <w:vAlign w:val="center"/>
          </w:tcPr>
          <w:p>
            <w:pPr>
              <w:pStyle w:val="TableContents"/>
              <w:bidi w:val="0"/>
              <w:spacing w:before="0" w:after="283"/>
              <w:jc w:val="right"/>
              <w:rPr/>
            </w:pPr>
            <w:r>
              <w:rPr/>
              <w:t>(2,014</w:t>
            </w:r>
          </w:p>
        </w:tc>
        <w:tc>
          <w:tcPr>
            <w:tcW w:w="95" w:type="dxa"/>
            <w:tcBorders>
              <w:bottom w:val="single" w:sz="8"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117" w:type="dxa"/>
            <w:tcBorders>
              <w:bottom w:val="single" w:sz="8" w:space="0" w:color="000000"/>
            </w:tcBorders>
            <w:shd w:fill="CCEEFF" w:val="clear"/>
            <w:tcMar>
              <w:bottom w:w="30"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30" w:type="dxa"/>
            </w:tcMar>
            <w:vAlign w:val="center"/>
          </w:tcPr>
          <w:p>
            <w:pPr>
              <w:pStyle w:val="TableContents"/>
              <w:bidi w:val="0"/>
              <w:spacing w:before="0" w:after="283"/>
              <w:jc w:val="right"/>
              <w:rPr/>
            </w:pPr>
            <w:r>
              <w:rPr/>
              <w:t>(41</w:t>
            </w:r>
          </w:p>
        </w:tc>
        <w:tc>
          <w:tcPr>
            <w:tcW w:w="230" w:type="dxa"/>
            <w:tcBorders>
              <w:bottom w:val="single" w:sz="8"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1490" w:type="dxa"/>
            <w:tcBorders>
              <w:bottom w:val="single" w:sz="12" w:space="0" w:color="000000"/>
            </w:tcBorders>
            <w:shd w:fill="FFFFFF" w:val="clear"/>
            <w:tcMar>
              <w:bottom w:w="30" w:type="dxa"/>
            </w:tcMar>
            <w:vAlign w:val="center"/>
          </w:tcPr>
          <w:p>
            <w:pPr>
              <w:pStyle w:val="TableContents"/>
              <w:bidi w:val="0"/>
              <w:spacing w:before="0" w:after="283"/>
              <w:jc w:val="left"/>
              <w:rPr>
                <w:b/>
              </w:rPr>
            </w:pPr>
            <w:r>
              <w:rPr>
                <w:b/>
              </w:rPr>
              <w:t>Total Cash Cost per BTC (in U.S. dollars)</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30" w:type="dxa"/>
            </w:tcMar>
            <w:vAlign w:val="center"/>
          </w:tcPr>
          <w:p>
            <w:pPr>
              <w:pStyle w:val="TableContents"/>
              <w:bidi w:val="0"/>
              <w:spacing w:before="0" w:after="283"/>
              <w:jc w:val="right"/>
              <w:rPr>
                <w:b/>
              </w:rPr>
            </w:pPr>
            <w:r>
              <w:rPr>
                <w:b/>
              </w:rPr>
              <w:t>60,800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30" w:type="dxa"/>
            </w:tcMar>
            <w:vAlign w:val="center"/>
          </w:tcPr>
          <w:p>
            <w:pPr>
              <w:pStyle w:val="TableContents"/>
              <w:bidi w:val="0"/>
              <w:spacing w:before="0" w:after="283"/>
              <w:jc w:val="right"/>
              <w:rPr/>
            </w:pPr>
            <w:r>
              <w:rPr/>
              <w:t>23,300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60" w:type="dxa"/>
            <w:tcBorders>
              <w:bottom w:val="single" w:sz="12" w:space="0" w:color="000000"/>
            </w:tcBorders>
            <w:shd w:fill="FFFFFF" w:val="clear"/>
            <w:tcMar>
              <w:bottom w:w="30" w:type="dxa"/>
            </w:tcMar>
            <w:vAlign w:val="center"/>
          </w:tcPr>
          <w:p>
            <w:pPr>
              <w:pStyle w:val="TableContents"/>
              <w:bidi w:val="0"/>
              <w:spacing w:before="0" w:after="283"/>
              <w:jc w:val="right"/>
              <w:rPr/>
            </w:pPr>
            <w:r>
              <w:rPr/>
              <w:t>37,500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30" w:type="dxa"/>
            </w:tcMar>
            <w:vAlign w:val="center"/>
          </w:tcPr>
          <w:p>
            <w:pPr>
              <w:pStyle w:val="TableContents"/>
              <w:bidi w:val="0"/>
              <w:spacing w:before="0" w:after="283"/>
              <w:jc w:val="right"/>
              <w:rPr/>
            </w:pPr>
            <w:r>
              <w:rPr/>
              <w:t>161</w:t>
            </w:r>
          </w:p>
        </w:tc>
        <w:tc>
          <w:tcPr>
            <w:tcW w:w="215" w:type="dxa"/>
            <w:tcBorders>
              <w:bottom w:val="single" w:sz="12" w:space="0" w:color="000000"/>
            </w:tcBorders>
            <w:shd w:fill="FFFF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30" w:type="dxa"/>
            </w:tcMar>
            <w:vAlign w:val="center"/>
          </w:tcPr>
          <w:p>
            <w:pPr>
              <w:pStyle w:val="TableContents"/>
              <w:bidi w:val="0"/>
              <w:spacing w:before="0" w:after="283"/>
              <w:jc w:val="right"/>
              <w:rPr>
                <w:b/>
              </w:rPr>
            </w:pPr>
            <w:r>
              <w:rPr>
                <w:b/>
              </w:rPr>
              <w:t>45,600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30" w:type="dxa"/>
            </w:tcMar>
            <w:vAlign w:val="center"/>
          </w:tcPr>
          <w:p>
            <w:pPr>
              <w:pStyle w:val="TableContents"/>
              <w:bidi w:val="0"/>
              <w:spacing w:before="0" w:after="283"/>
              <w:jc w:val="right"/>
              <w:rPr/>
            </w:pPr>
            <w:r>
              <w:rPr/>
              <w:t>20,100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30" w:type="dxa"/>
            </w:tcMar>
            <w:vAlign w:val="center"/>
          </w:tcPr>
          <w:p>
            <w:pPr>
              <w:pStyle w:val="TableContents"/>
              <w:bidi w:val="0"/>
              <w:spacing w:before="0" w:after="283"/>
              <w:jc w:val="right"/>
              <w:rPr/>
            </w:pPr>
            <w:r>
              <w:rPr/>
              <w:t>25,500</w:t>
            </w:r>
          </w:p>
        </w:tc>
        <w:tc>
          <w:tcPr>
            <w:tcW w:w="95"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30" w:type="dxa"/>
            </w:tcMar>
            <w:vAlign w:val="center"/>
          </w:tcPr>
          <w:p>
            <w:pPr>
              <w:pStyle w:val="TableContents"/>
              <w:bidi w:val="0"/>
              <w:spacing w:before="0" w:after="283"/>
              <w:jc w:val="right"/>
              <w:rPr/>
            </w:pPr>
            <w:r>
              <w:rPr/>
              <w:t>127</w:t>
            </w:r>
          </w:p>
        </w:tc>
        <w:tc>
          <w:tcPr>
            <w:tcW w:w="230" w:type="dxa"/>
            <w:tcBorders>
              <w:bottom w:val="single" w:sz="12" w:space="0" w:color="000000"/>
            </w:tcBorders>
            <w:shd w:fill="FFFFFF" w:val="clear"/>
            <w:tcMar>
              <w:bottom w:w="3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56"/>
        <w:gridCol w:w="10049"/>
      </w:tblGrid>
      <w:tr>
        <w:trPr/>
        <w:tc>
          <w:tcPr>
            <w:tcW w:w="156"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10049" w:type="dxa"/>
            <w:tcBorders>
              <w:top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tax recovery relating to energy and infrastructure and general and administrative expenses have been allocated to their respective periods; refer to Note 29b - </w:t>
            </w:r>
            <w:r>
              <w:rPr>
                <w:rFonts w:ascii="Times New Roman;Times;Serif" w:hAnsi="Times New Roman;Times;Serif"/>
                <w:b w:val="false"/>
                <w:i/>
                <w:caps w:val="false"/>
                <w:smallCaps w:val="false"/>
                <w:sz w:val="20"/>
              </w:rPr>
              <w:t>Additional Details to the Statement of Profit or Loss and Comprehensive Profit or Loss (Canadian sales tax refund)</w:t>
            </w:r>
            <w:r>
              <w:rPr>
                <w:rFonts w:ascii="Times New Roman;Times;Serif" w:hAnsi="Times New Roman;Times;Serif"/>
                <w:b w:val="false"/>
                <w:i w:val="false"/>
                <w:caps w:val="false"/>
                <w:smallCaps w:val="false"/>
                <w:sz w:val="20"/>
              </w:rPr>
              <w:t xml:space="preserve"> to the Financial Statements.</w:t>
            </w:r>
          </w:p>
        </w:tc>
      </w:tr>
      <w:tr>
        <w:trPr/>
        <w:tc>
          <w:tcPr>
            <w:tcW w:w="156"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049" w:type="dxa"/>
            <w:tcBorders/>
            <w:tcMar>
              <w:top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56"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10049" w:type="dxa"/>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Non-cash service expense, included in infrastructure, which was exchanged for computational power sold. </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37 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9" w:name="m_011"/>
      <w:bookmarkEnd w:id="99"/>
      <w:r>
        <w:rPr>
          <w:rFonts w:ascii="Times New Roman;Times;Serif" w:hAnsi="Times New Roman;Times;Serif"/>
          <w:b/>
          <w:i w:val="false"/>
          <w:caps w:val="false"/>
          <w:smallCaps w:val="false"/>
          <w:sz w:val="20"/>
        </w:rPr>
        <w:t>11.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below, the Company’s current financing strategy involves (a) strategically selling the BTC it earns and the BTC it holds in treasury and (b) utilizing short-term debt, long-term debt and equity instruments (including the 2024 ATM Program) to fund its expansion activities, operating expenses and debt service requirements. The Company anticipates requiring additional funds to complete its 2025 and 2026 growth plans discussed in Section 7 - </w:t>
      </w:r>
      <w:r>
        <w:rPr>
          <w:rFonts w:ascii="Times New Roman;Times;Serif" w:hAnsi="Times New Roman;Times;Serif"/>
          <w:b w:val="false"/>
          <w:i/>
          <w:caps w:val="false"/>
          <w:smallCaps w:val="false"/>
          <w:sz w:val="20"/>
        </w:rPr>
        <w:t>Expansion Projects</w:t>
      </w:r>
      <w:r>
        <w:rPr>
          <w:rFonts w:ascii="Times New Roman;Times;Serif" w:hAnsi="Times New Roman;Times;Serif"/>
          <w:b w:val="false"/>
          <w:i w:val="false"/>
          <w:caps w:val="false"/>
          <w:smallCaps w:val="false"/>
          <w:sz w:val="20"/>
        </w:rPr>
        <w:t xml:space="preserve"> of this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Javier Milei. Many of the foreign exchange restrictions implemented in 2019 are still in place, particularly for imports and dividend payments related to transactions before December 13, 2023. The Milei administration plans to lift currency controls by January 1, 2026 or earlier if the Argentine government reaches a new deal with the International Monetary Fund and receives disbursements in 2025. The ongoing implications for economic and monetary policy, and its impact on Bitfarms, cannot be ascertained as of the date of this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sends funds periodically to its Argentinian subsidiary to fund its expansion based on supplier invoices that are paid by the Argentinian subsidiary. The Argentinian subsidiary provides Hashrate services for a market-based fee to its Canadian parent which, in turn, purchases that Hashrate to consolidate and sell to a third-party Mining Pool for which the Canadian parent is compensated in BTC. Accordingly, the Argentinian subsidiary is not structured or contemplated to generate substantial cash flows above its internal requirements.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38 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38"/>
        <w:gridCol w:w="20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tc>
      </w:tr>
    </w:tbl>
    <w:p>
      <w:pPr>
        <w:pStyle w:val="TextBody"/>
        <w:bidi w:val="0"/>
        <w:spacing w:before="0" w:after="283"/>
        <w:jc w:val="left"/>
        <w:rPr/>
      </w:pPr>
      <w:r>
        <w:rPr/>
        <w:t> </w:t>
      </w:r>
    </w:p>
    <w:tbl>
      <w:tblPr>
        <w:tblW w:w="8085" w:type="dxa"/>
        <w:jc w:val="left"/>
        <w:tblInd w:w="0" w:type="dxa"/>
        <w:tblLayout w:type="fixed"/>
        <w:tblCellMar>
          <w:top w:w="0" w:type="dxa"/>
          <w:left w:w="0" w:type="dxa"/>
          <w:bottom w:w="28" w:type="dxa"/>
          <w:right w:w="0" w:type="dxa"/>
        </w:tblCellMar>
      </w:tblPr>
      <w:tblGrid>
        <w:gridCol w:w="4040"/>
        <w:gridCol w:w="60"/>
        <w:gridCol w:w="60"/>
        <w:gridCol w:w="755"/>
        <w:gridCol w:w="80"/>
        <w:gridCol w:w="60"/>
        <w:gridCol w:w="60"/>
        <w:gridCol w:w="755"/>
        <w:gridCol w:w="80"/>
        <w:gridCol w:w="60"/>
        <w:gridCol w:w="60"/>
        <w:gridCol w:w="755"/>
        <w:gridCol w:w="80"/>
        <w:gridCol w:w="60"/>
        <w:gridCol w:w="113"/>
        <w:gridCol w:w="747"/>
        <w:gridCol w:w="260"/>
      </w:tblGrid>
      <w:tr>
        <w:trPr/>
        <w:tc>
          <w:tcPr>
            <w:tcW w:w="404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3725" w:type="dxa"/>
            <w:gridSpan w:val="14"/>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2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in thousands except where indicated)</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w:t>
            </w:r>
          </w:p>
        </w:tc>
        <w:tc>
          <w:tcPr>
            <w:tcW w:w="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w:t>
            </w:r>
          </w:p>
        </w:tc>
        <w:tc>
          <w:tcPr>
            <w:tcW w:w="2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beginning of the period</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84,038</w:t>
            </w:r>
          </w:p>
        </w:tc>
        <w:tc>
          <w:tcPr>
            <w:tcW w:w="8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30,887</w:t>
            </w:r>
          </w:p>
        </w:tc>
        <w:tc>
          <w:tcPr>
            <w:tcW w:w="8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53,151</w:t>
            </w:r>
          </w:p>
        </w:tc>
        <w:tc>
          <w:tcPr>
            <w:tcW w:w="8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26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(used 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(140,562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(105,711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(178,387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70,966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(249,353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294,462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87,878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206,584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differences on currency translation</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2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0"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end of the period</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59,542</w:t>
            </w:r>
          </w:p>
        </w:tc>
        <w:tc>
          <w:tcPr>
            <w:tcW w:w="8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84,038</w:t>
            </w:r>
          </w:p>
        </w:tc>
        <w:tc>
          <w:tcPr>
            <w:tcW w:w="8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(24,496</w:t>
            </w:r>
          </w:p>
        </w:tc>
        <w:tc>
          <w:tcPr>
            <w:tcW w:w="80"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60"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used in Operating Activities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used in operating activities increased by $34.9 million during FY 2024 compared to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cash flow used in operating activities is driven primarily by:</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cash G&amp;A expenses, net of sales tax refund, of $28.9 million as explained in Section 8C - </w:t>
            </w:r>
            <w:r>
              <w:rPr>
                <w:rFonts w:ascii="Times New Roman;Times;Serif" w:hAnsi="Times New Roman;Times;Serif"/>
                <w:b w:val="false"/>
                <w:i/>
                <w:caps w:val="false"/>
                <w:smallCaps w:val="false"/>
                <w:sz w:val="20"/>
              </w:rPr>
              <w:t>Financial Performance - General &amp; Administrative expenses</w:t>
            </w:r>
            <w:r>
              <w:rPr>
                <w:rFonts w:ascii="Times New Roman;Times;Serif" w:hAnsi="Times New Roman;Times;Serif"/>
                <w:b w:val="false"/>
                <w:i w:val="false"/>
                <w:caps w:val="false"/>
                <w:smallCaps w:val="false"/>
                <w:sz w:val="20"/>
              </w:rPr>
              <w:t xml:space="preserve"> of this MD&amp;A;</w:t>
            </w:r>
          </w:p>
        </w:tc>
      </w:tr>
    </w:tbl>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 in working capital of $10.5 million as explained in Section 12 </w:t>
            </w:r>
            <w:r>
              <w:rPr>
                <w:rFonts w:ascii="Times New Roman;Times;Serif" w:hAnsi="Times New Roman;Times;Serif"/>
                <w:b w:val="false"/>
                <w:i/>
                <w:caps w:val="false"/>
                <w:smallCaps w:val="false"/>
                <w:sz w:val="20"/>
              </w:rPr>
              <w:t xml:space="preserve">- Financial Position </w:t>
            </w:r>
            <w:r>
              <w:rPr>
                <w:rFonts w:ascii="Times New Roman;Times;Serif" w:hAnsi="Times New Roman;Times;Serif"/>
                <w:b w:val="false"/>
                <w:i w:val="false"/>
                <w:caps w:val="false"/>
                <w:smallCaps w:val="false"/>
                <w:sz w:val="20"/>
              </w:rPr>
              <w:t>of this MD&amp;A;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income taxes paid, with $1.5 million paid during FY 2024, compared to $11.6 million refunded during FY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partially offset by: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Receiving interest and financial income of $5.6 million in FY 2024 compared to $1.8 million in FY 2023 mainly due to interest collected from the sales tax refund and from higher average cash balance during 2024;</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Lower cash energy cost of $7.5 million, net of sales tax refund, as explained in Section 8B - </w:t>
            </w:r>
            <w:r>
              <w:rPr>
                <w:i/>
              </w:rPr>
              <w:t xml:space="preserve">Financial Performance - Cost of Revenues </w:t>
            </w:r>
            <w:r>
              <w:rPr/>
              <w:t>of this MD&amp;A;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Interest expenses paid of $1.7 million during FY 2024, compared to $13.9 million during FY 2023 mainly due to eliminating the remaining NYDIG debt balance in February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used in Investing Activities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used in investing activities increased by $249.4 million during FY 2024 compared to FY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cash flow used in investing activities is driven primarily by:</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 million of net additions of PPE during FY 2024, compared to $45.3 million for the same period in 2023, primarily due to the acquisition of Miners and infrastructure build-out;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$52.9 million in advance payments mainly for the transformative fleet upgrade during FY 2024, compared to $22.9 million in advanced payments during FY 2023;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$15.6 million in Refundable Hosting Deposits in FY 2024, compared to nil during FY 2023;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million of net proceeds received in FY 2024 from the purchase and disposition of marketable securities to fund the Argentina expansion activities, compared to $12.2 million of net proceeds for the same period in 2023, as described in Note 29c - </w:t>
            </w:r>
            <w:r>
              <w:rPr>
                <w:rFonts w:ascii="Times New Roman;Times;Serif" w:hAnsi="Times New Roman;Times;Serif"/>
                <w:b w:val="false"/>
                <w:i/>
                <w:caps w:val="false"/>
                <w:smallCaps w:val="false"/>
                <w:sz w:val="20"/>
              </w:rPr>
              <w:t>Additional Details to the Statement of Profit or Loss and Comprehensive Profit or Loss</w:t>
            </w:r>
            <w:r>
              <w:rPr>
                <w:rFonts w:ascii="Times New Roman;Times;Serif" w:hAnsi="Times New Roman;Times;Serif"/>
                <w:b w:val="false"/>
                <w:i w:val="false"/>
                <w:caps w:val="false"/>
                <w:smallCaps w:val="false"/>
                <w:sz w:val="20"/>
              </w:rPr>
              <w:t xml:space="preserve"> to the Financial Statements.</w:t>
            </w:r>
          </w:p>
        </w:tc>
      </w:tr>
    </w:tbl>
    <w:p>
      <w:pPr>
        <w:pStyle w:val="TextBody"/>
        <w:bidi w:val="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39 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20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Flows </w:t>
            </w:r>
            <w:r>
              <w:rPr>
                <w:rFonts w:ascii="Times New Roman;Times;Serif" w:hAnsi="Times New Roman;Times;Serif"/>
                <w:b w:val="false"/>
                <w:i w:val="false"/>
                <w:caps w:val="false"/>
                <w:smallCaps w:val="false"/>
                <w:sz w:val="20"/>
              </w:rPr>
              <w:t>(Continued)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Cash Flows used in Investing Activities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partially offset by:</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proceeds from sale of digital assets earned of $22.8 million as a result of selling BTC in FY 2024 with significantly higher prices compared to FY 2023;</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 million of net proceeds from disposition of derivative assets and liabilities in FY 2024 as the Company capitalized on BTC price near all-time highs to close out all Synthetic HODL positions compared to nil in FY 2023;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of assets in Baie-Comeau, Quebec, Canada, and in Paraguay for $2.4 million in FY 2023, as described in Note 5 - </w:t>
            </w:r>
            <w:r>
              <w:rPr>
                <w:rFonts w:ascii="Times New Roman;Times;Serif" w:hAnsi="Times New Roman;Times;Serif"/>
                <w:b w:val="false"/>
                <w:i/>
                <w:caps w:val="false"/>
                <w:smallCaps w:val="false"/>
                <w:sz w:val="20"/>
              </w:rPr>
              <w:t>Acquisitions of Assets</w:t>
            </w:r>
            <w:r>
              <w:rPr>
                <w:rFonts w:ascii="Times New Roman;Times;Serif" w:hAnsi="Times New Roman;Times;Serif"/>
                <w:b w:val="false"/>
                <w:i w:val="false"/>
                <w:caps w:val="false"/>
                <w:smallCaps w:val="false"/>
                <w:sz w:val="20"/>
              </w:rPr>
              <w:t xml:space="preserve"> to the Financial Statements, compared to nil in FY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 increased by $206.6 million from $87.9 million for FY 2023 to $294.5 million for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FY </w:t>
      </w:r>
      <w:r>
        <w:rPr>
          <w:rFonts w:ascii="Times New Roman;Times;Serif" w:hAnsi="Times New Roman;Times;Serif"/>
          <w:b w:val="false"/>
          <w:i/>
          <w:caps w:val="false"/>
          <w:smallCaps w:val="false"/>
          <w:sz w:val="20"/>
        </w:rPr>
        <w:t>2024</w:t>
      </w:r>
    </w:p>
    <w:tbl>
      <w:tblPr>
        <w:tblW w:w="1983" w:type="dxa"/>
        <w:jc w:val="left"/>
        <w:tblInd w:w="0" w:type="dxa"/>
        <w:tblLayout w:type="fixed"/>
        <w:tblCellMar>
          <w:top w:w="0" w:type="dxa"/>
          <w:left w:w="0" w:type="dxa"/>
          <w:bottom w:w="0" w:type="dxa"/>
          <w:right w:w="0" w:type="dxa"/>
        </w:tblCellMar>
      </w:tblPr>
      <w:tblGrid>
        <w:gridCol w:w="38"/>
        <w:gridCol w:w="17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raised: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 million of net proceeds from its 2024 ATM Program as discussed below, partially offset by $0.9 million of capitalized professional fees and registration expenses to initiate the 2024 ATM Program;</w:t>
            </w:r>
          </w:p>
        </w:tc>
      </w:tr>
    </w:tbl>
    <w:tbl>
      <w:tblPr>
        <w:tblW w:w="6708" w:type="dxa"/>
        <w:jc w:val="left"/>
        <w:tblInd w:w="0" w:type="dxa"/>
        <w:tblLayout w:type="fixed"/>
        <w:tblCellMar>
          <w:top w:w="0" w:type="dxa"/>
          <w:left w:w="0" w:type="dxa"/>
          <w:bottom w:w="0" w:type="dxa"/>
          <w:right w:w="0" w:type="dxa"/>
        </w:tblCellMar>
      </w:tblPr>
      <w:tblGrid>
        <w:gridCol w:w="38"/>
        <w:gridCol w:w="11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million of net proceeds from the exercise of stock options and warrants; and</w:t>
            </w:r>
          </w:p>
        </w:tc>
      </w:tr>
    </w:tbl>
    <w:tbl>
      <w:tblPr>
        <w:tblW w:w="7053" w:type="dxa"/>
        <w:jc w:val="left"/>
        <w:tblInd w:w="0" w:type="dxa"/>
        <w:tblLayout w:type="fixed"/>
        <w:tblCellMar>
          <w:top w:w="0" w:type="dxa"/>
          <w:left w:w="0" w:type="dxa"/>
          <w:bottom w:w="0" w:type="dxa"/>
          <w:right w:w="0" w:type="dxa"/>
        </w:tblCellMar>
      </w:tblPr>
      <w:tblGrid>
        <w:gridCol w:w="38"/>
        <w:gridCol w:w="11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million from the sale and leaseback of its Garlock (Quebec, Canada) data center.</w:t>
            </w:r>
          </w:p>
        </w:tc>
      </w:tr>
    </w:tbl>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raised were partially offset by scheduled payments primarily relating to:</w:t>
            </w:r>
          </w:p>
        </w:tc>
      </w:tr>
    </w:tbl>
    <w:tbl>
      <w:tblPr>
        <w:tblW w:w="9783" w:type="dxa"/>
        <w:jc w:val="left"/>
        <w:tblInd w:w="0" w:type="dxa"/>
        <w:tblLayout w:type="fixed"/>
        <w:tblCellMar>
          <w:top w:w="0" w:type="dxa"/>
          <w:left w:w="0" w:type="dxa"/>
          <w:bottom w:w="0" w:type="dxa"/>
          <w:right w:w="0" w:type="dxa"/>
        </w:tblCellMar>
      </w:tblPr>
      <w:tblGrid>
        <w:gridCol w:w="38"/>
        <w:gridCol w:w="11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repayments of $4.0 million to fully repay the NYDIG loan, which matured and expired in February 2024; and</w:t>
            </w:r>
          </w:p>
        </w:tc>
      </w:tr>
    </w:tbl>
    <w:tbl>
      <w:tblPr>
        <w:tblW w:w="4008" w:type="dxa"/>
        <w:jc w:val="left"/>
        <w:tblInd w:w="0" w:type="dxa"/>
        <w:tblLayout w:type="fixed"/>
        <w:tblCellMar>
          <w:top w:w="0" w:type="dxa"/>
          <w:left w:w="0" w:type="dxa"/>
          <w:bottom w:w="0" w:type="dxa"/>
          <w:right w:w="0" w:type="dxa"/>
        </w:tblCellMar>
      </w:tblPr>
      <w:tblGrid>
        <w:gridCol w:w="38"/>
        <w:gridCol w:w="11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of approximately $2.2 million.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FY </w:t>
      </w:r>
      <w:r>
        <w:rPr>
          <w:rFonts w:ascii="Times New Roman;Times;Serif" w:hAnsi="Times New Roman;Times;Serif"/>
          <w:b w:val="false"/>
          <w:i/>
          <w:caps w:val="false"/>
          <w:smallCaps w:val="false"/>
          <w:sz w:val="20"/>
        </w:rPr>
        <w:t>2023</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raised $68.5 million of net proceeds from an at-the-market equity offering program, initiated on August 16, 2021 and expired on September 12, 2023 (“2021 ATM program”), $40.6 million of net proceeds from the private placement completed in November 2023, and $13.0 million of net proceeds from the exercise of stock options and warrants. The amounts raised were partially offset by repayments towards the long-term debt and lease liabilities of $30.5 million and $3.6 million, respectively.</w:t>
            </w:r>
          </w:p>
        </w:tc>
      </w:tr>
    </w:tbl>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long-term debt repayments included: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the remaining $20.4 million principal balance of the BlockFi Loan on February 8, 2023 for cash consideration of $7.8 million, as discussed below;</w:t>
            </w:r>
          </w:p>
        </w:tc>
      </w:tr>
    </w:tbl>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repayments of $22.2 million towards the NYDIG loan;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repayment of the principal amount of the remaining equipment financing (the “Foundry Loans”) before maturity and without prepayment penalty for $0.8 million.</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40 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20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Flows </w:t>
            </w:r>
            <w:r>
              <w:rPr>
                <w:rFonts w:ascii="Times New Roman;Times;Serif" w:hAnsi="Times New Roman;Times;Serif"/>
                <w:b w:val="false"/>
                <w:i w:val="false"/>
                <w:caps w:val="false"/>
                <w:smallCaps w:val="false"/>
                <w:sz w:val="20"/>
              </w:rPr>
              <w:t>(Continued)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Cash Flows from Financing Activities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BlockFi Loan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2022, Bitfarms’ subsidiary, Backbone Mining Solutions Inc. (“Backbone Mining”), entered into a $32.0 million equipment financing facility with BlockFi. 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At-The-Market Equity Offering Program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commenced the 2024 ATM Program on March 11, 2024, by means of a prospectus supplement dated March 8, 2024 (“March Supplement”), to the Company’s short form base shelf prospectus dated November 10, 2023 (“Base Shelf”), and U.S. registration statement on Form F-10, which included a prospectus supplement related to the 2024 ATM Program. The Company may, at its discretion and from time-to-time, sell common shares of the Company in the 2024 ATM Program as for aggregate gross proceeds of up to $375.0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amended and restated prospectus supplements dated October 4, 2024, and December 17, 2024, providing disclosure regarding the Stronghold Transaction and the restatement of the Company’s 2023 annual consolidated financial statements and MD&amp;A for the year ended December 31, 2023 and interim consolidated financial statements and MD&amp;A for the nine months ended September 30, 2024, respectively, and amending and restating the March Supplement, to the Company’s existing $375.0 million Base Shelf, with both the Base Shelf and amended and restated prospectus supplement forming a part of the Company’s registration statement on Form F-10.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Q4 2024 v. Q4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2024, the Company issued 26,150,839 common shares through the 2024 ATM Program in exchange for gross proceeds of $51.8 million at an average share price of approximately $1.98. The Company received net proceeds of $50.1 million after paying commissions of $1.6 million to the sales agent, in addition to $0.1 million of other transaction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2023, the 2024 and 2021 ATM Programs were not active, and no common shares related to either ATM program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2024, the Company issued 135,474,160 common shares in the 2024 ATM Program in exchange for gross proceeds of $299.9 million at an average share price of approximately $2.21. The Company received net proceeds of $290.5 million after paying commissions of $9.0 million to the sales agent in addition to $0.4 million of other transaction fees. The Company capitalized $0.9 million of professional fees and registration expenses to initiate the 2024 ATM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2023, the Company issued 52,120,899 common shares in the 2021 ATM program in exchange for gross proceeds of $70.8 million at an average share price of approximately $1.36. The Company received net proceeds of $68.5 million after paying commissions of $2.2 million to the sales agent, in addition to $0.1 million of other transaction fees.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41 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20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Flows </w:t>
            </w:r>
            <w:r>
              <w:rPr>
                <w:rFonts w:ascii="Times New Roman;Times;Serif" w:hAnsi="Times New Roman;Times;Serif"/>
                <w:b w:val="false"/>
                <w:i w:val="false"/>
                <w:caps w:val="false"/>
                <w:smallCaps w:val="false"/>
                <w:sz w:val="20"/>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Cash Flows from Financing Activities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Proceeds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used and intends to continue to use the proceeds from the </w:t>
      </w:r>
      <w:r>
        <w:rPr>
          <w:rFonts w:ascii="Times New Roman;Times;Serif" w:hAnsi="Times New Roman;Times;Serif"/>
          <w:b w:val="false"/>
          <w:i w:val="false"/>
          <w:caps w:val="false"/>
          <w:smallCaps w:val="false"/>
          <w:sz w:val="20"/>
          <w:shd w:fill="FFFFFF" w:val="clear"/>
        </w:rPr>
        <w:t>2024 ATM Program</w:t>
      </w:r>
      <w:r>
        <w:rPr>
          <w:rFonts w:ascii="Times New Roman;Times;Serif" w:hAnsi="Times New Roman;Times;Serif"/>
          <w:b w:val="false"/>
          <w:i w:val="false"/>
          <w:caps w:val="false"/>
          <w:smallCaps w:val="false"/>
          <w:sz w:val="20"/>
        </w:rPr>
        <w:t xml:space="preserve"> prudently to support the growth and development of the Company’s Mining operations, as described in Section 7 -</w:t>
      </w:r>
      <w:r>
        <w:rPr>
          <w:rFonts w:ascii="Times New Roman;Times;Serif" w:hAnsi="Times New Roman;Times;Serif"/>
          <w:b w:val="false"/>
          <w:i/>
          <w:caps w:val="false"/>
          <w:smallCaps w:val="false"/>
          <w:sz w:val="20"/>
        </w:rPr>
        <w:t xml:space="preserve">Expansion Projects </w:t>
      </w:r>
      <w:r>
        <w:rPr>
          <w:rFonts w:ascii="Times New Roman;Times;Serif" w:hAnsi="Times New Roman;Times;Serif"/>
          <w:b w:val="false"/>
          <w:i w:val="false"/>
          <w:caps w:val="false"/>
          <w:smallCaps w:val="false"/>
          <w:sz w:val="20"/>
        </w:rPr>
        <w:t xml:space="preserve">of this MD&amp;A, as well as for working capital and general corporate purposes. Described below are the actual use of proceeds from the commencement of the </w:t>
      </w:r>
      <w:r>
        <w:rPr>
          <w:rFonts w:ascii="Times New Roman;Times;Serif" w:hAnsi="Times New Roman;Times;Serif"/>
          <w:b w:val="false"/>
          <w:i w:val="false"/>
          <w:caps w:val="false"/>
          <w:smallCaps w:val="false"/>
          <w:sz w:val="20"/>
          <w:shd w:fill="FFFFFF" w:val="clear"/>
        </w:rPr>
        <w:t xml:space="preserve">2024 ATM Program </w:t>
      </w:r>
      <w:r>
        <w:rPr>
          <w:rFonts w:ascii="Times New Roman;Times;Serif" w:hAnsi="Times New Roman;Times;Serif"/>
          <w:b w:val="false"/>
          <w:i w:val="false"/>
          <w:caps w:val="false"/>
          <w:smallCaps w:val="false"/>
          <w:sz w:val="20"/>
        </w:rPr>
        <w:t>through December 31, 2024:</w:t>
      </w:r>
    </w:p>
    <w:p>
      <w:pPr>
        <w:pStyle w:val="TextBody"/>
        <w:bidi w:val="0"/>
        <w:spacing w:before="0" w:after="0"/>
        <w:ind w:left="0" w:right="0" w:hanging="0"/>
        <w:jc w:val="both"/>
        <w:rPr>
          <w:caps w:val="false"/>
          <w:smallCaps w:val="false"/>
        </w:rPr>
      </w:pPr>
      <w:r>
        <w:rPr>
          <w:caps w:val="false"/>
          <w:smallCaps w:val="false"/>
        </w:rPr>
        <w:t> </w:t>
      </w:r>
    </w:p>
    <w:tbl>
      <w:tblPr>
        <w:tblW w:w="5649" w:type="dxa"/>
        <w:jc w:val="left"/>
        <w:tblInd w:w="0" w:type="dxa"/>
        <w:tblLayout w:type="fixed"/>
        <w:tblCellMar>
          <w:top w:w="28" w:type="dxa"/>
          <w:left w:w="0" w:type="dxa"/>
          <w:bottom w:w="28" w:type="dxa"/>
          <w:right w:w="0" w:type="dxa"/>
        </w:tblCellMar>
      </w:tblPr>
      <w:tblGrid>
        <w:gridCol w:w="3680"/>
        <w:gridCol w:w="60"/>
        <w:gridCol w:w="144"/>
        <w:gridCol w:w="1690"/>
        <w:gridCol w:w="75"/>
      </w:tblGrid>
      <w:tr>
        <w:trPr/>
        <w:tc>
          <w:tcPr>
            <w:tcW w:w="368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 in thousands except where indicated) </w:t>
              <w:br/>
              <w:br/>
            </w:r>
            <w:r>
              <w:rPr>
                <w:rFonts w:ascii="Times New Roman;Times;Serif" w:hAnsi="Times New Roman;Times;Serif"/>
                <w:b/>
                <w:i w:val="false"/>
                <w:caps w:val="false"/>
                <w:smallCaps w:val="false"/>
                <w:sz w:val="20"/>
              </w:rPr>
              <w:t>Categories</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834"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proceeds from </w:t>
              <w:br/>
              <w:t>March 11, 2024 to</w:t>
              <w:br/>
              <w:t>December 31, 2024</w:t>
            </w:r>
          </w:p>
        </w:tc>
        <w:tc>
          <w:tcPr>
            <w:tcW w:w="75"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 fleet upgrade</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6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222,261</w:t>
            </w:r>
          </w:p>
        </w:tc>
        <w:tc>
          <w:tcPr>
            <w:tcW w:w="7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Paso Pe expansion</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6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27,506</w:t>
            </w:r>
          </w:p>
        </w:tc>
        <w:tc>
          <w:tcPr>
            <w:tcW w:w="7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Baie-Comeau expansion</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6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9,200</w:t>
            </w:r>
          </w:p>
        </w:tc>
        <w:tc>
          <w:tcPr>
            <w:tcW w:w="7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Yguazu expansion</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90"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31,506</w:t>
            </w:r>
          </w:p>
        </w:tc>
        <w:tc>
          <w:tcPr>
            <w:tcW w:w="75"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bottom w:val="single" w:sz="12" w:space="0" w:color="000000"/>
            </w:tcBorders>
            <w:shd w:fill="CCEEFF" w:val="clear"/>
            <w:tcMar>
              <w:top w:w="0" w:type="dxa"/>
            </w:tcMar>
            <w:vAlign w:val="center"/>
          </w:tcPr>
          <w:p>
            <w:pPr>
              <w:pStyle w:val="TableContents"/>
              <w:bidi w:val="0"/>
              <w:spacing w:before="0" w:after="283"/>
              <w:jc w:val="left"/>
              <w:rPr>
                <w:sz w:val="4"/>
                <w:szCs w:val="4"/>
              </w:rPr>
            </w:pPr>
            <w:r>
              <w:rPr>
                <w:sz w:val="4"/>
                <w:szCs w:val="4"/>
              </w:rPr>
            </w:r>
          </w:p>
        </w:tc>
        <w:tc>
          <w:tcPr>
            <w:tcW w:w="60" w:type="dxa"/>
            <w:tcBorders>
              <w:bottom w:val="single" w:sz="12"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12"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90" w:type="dxa"/>
            <w:tcBorders>
              <w:bottom w:val="single" w:sz="12"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290,473</w:t>
            </w:r>
          </w:p>
        </w:tc>
        <w:tc>
          <w:tcPr>
            <w:tcW w:w="75" w:type="dxa"/>
            <w:tcBorders/>
            <w:shd w:fill="CCEEFF" w:val="clear"/>
            <w:tcMar>
              <w:top w:w="0" w:type="dxa"/>
              <w:bottom w:w="0"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Q4 2024 v. Q4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2023, the Company received from the private placement completed in November 2023 net proceeds of $40.6 million after paying commissions and other fees of $3.2 million to the broker. In addition, 6,962,693 warrants and 2,306,667 broker warrants related to the private placement that closed on November 28, 2023, were exercised, resulting in the issuance of 9,269,360 common shares for proceeds of approximately $11.0 million. During the three months ended December 31, 2024, there were no private placements or exercises of warrants from previous private placements completed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FY 2024 v. FY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2024, 5,000,000 warrants and 111,111 broker warrants related to the 2023 private placement were exercised, resulting in the issuance of 5,111,111 common shares for proceeds of approximately $6.0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FY 2023, the Company received total net proceeds of $51.6 million compared to nil in FY 2024 for the same reasons explained in the Q4 2024 v. Q4 2023 section above.</w:t>
      </w:r>
    </w:p>
    <w:p>
      <w:pPr>
        <w:pStyle w:val="TextBody"/>
        <w:bidi w:val="0"/>
        <w:spacing w:before="0" w:after="0"/>
        <w:ind w:left="0" w:right="0" w:hanging="0"/>
        <w:jc w:val="both"/>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0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Capital Resources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capital management objective is to provide financial resources that will enable the Company to maximize the return to its shareholders while optimizing its cost of capital and ensuring the Company has sufficient liquidity to fund its operating activities. In order to achieve this objective, the Company monitors its capital structure and makes adjustments as required in light of the Company’s funding requirements, changes in economic conditions, the cost of providing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42 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Resources </w:t>
            </w:r>
            <w:r>
              <w:rPr>
                <w:rFonts w:ascii="Times New Roman;Times;Serif" w:hAnsi="Times New Roman;Times;Serif"/>
                <w:b w:val="false"/>
                <w:i w:val="false"/>
                <w:caps w:val="false"/>
                <w:smallCaps w:val="false"/>
                <w:sz w:val="20"/>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current capital budget and BTC prices, the Company currently anticipates that additional financing will be required to fund its 2025 and 2026 expansion plans and to complete construction of additional data centers, if the Company elects to do so. In order to achieve its business objectives, the Company may sell or borrow against the BTC that are held in treasury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BTC Halving event is scheduled to occur once every 210,000 blocks, or roughly every four years, until the total amount of BTC rewards issued reaches 21 million, which is expected to occur around 2140. The most recent BTC Halving event occurred on April 19, 2024, at which time BTC block rewards decreased from 6.25 BTC per block to 3.125 BTC per block. Once 21 million BTC are generated,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 operators. Similar to past BTC Halvings events, the BTC price did not have an immediate favorable impact after the BTC Halving that occurred on April 19, 2024. It took approximately six months for revenue per terahash to return to the level experienced prior to the May 2020 BTC Halving event. Since the BTC halving on April 19, 2024, revenue per terahash has not yet returned to pre-halving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 Management Program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On August 1, 2022, Management received approval from the Board to sell daily production, in addition to any sale of up to 1,000 BTC from treasury, should market conditions and the Company’s projected financing requirements justify such sales in Management’s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Presented below are the total BTC sold and proceeds in FY 2024, a portion of which was used to fully repay equipment-related indebtedness, with the remaining portion used to fund operations and expansion plans:</w:t>
      </w:r>
    </w:p>
    <w:p>
      <w:pPr>
        <w:pStyle w:val="TextBody"/>
        <w:bidi w:val="0"/>
        <w:spacing w:before="0" w:after="0"/>
        <w:ind w:left="0" w:right="0" w:hanging="0"/>
        <w:jc w:val="both"/>
        <w:rPr>
          <w:caps w:val="false"/>
          <w:smallCaps w:val="false"/>
        </w:rPr>
      </w:pPr>
      <w:r>
        <w:rPr>
          <w:caps w:val="false"/>
          <w:smallCaps w:val="false"/>
        </w:rPr>
        <w:t> </w:t>
      </w:r>
    </w:p>
    <w:tbl>
      <w:tblPr>
        <w:tblW w:w="8226" w:type="dxa"/>
        <w:jc w:val="left"/>
        <w:tblInd w:w="0" w:type="dxa"/>
        <w:tblLayout w:type="fixed"/>
        <w:tblCellMar>
          <w:top w:w="0" w:type="dxa"/>
          <w:left w:w="0" w:type="dxa"/>
          <w:bottom w:w="28" w:type="dxa"/>
          <w:right w:w="0" w:type="dxa"/>
        </w:tblCellMar>
      </w:tblPr>
      <w:tblGrid>
        <w:gridCol w:w="3635"/>
        <w:gridCol w:w="60"/>
        <w:gridCol w:w="111"/>
        <w:gridCol w:w="1108"/>
        <w:gridCol w:w="60"/>
        <w:gridCol w:w="60"/>
        <w:gridCol w:w="115"/>
        <w:gridCol w:w="1149"/>
        <w:gridCol w:w="60"/>
        <w:gridCol w:w="60"/>
        <w:gridCol w:w="66"/>
        <w:gridCol w:w="658"/>
        <w:gridCol w:w="60"/>
        <w:gridCol w:w="60"/>
        <w:gridCol w:w="82"/>
        <w:gridCol w:w="807"/>
        <w:gridCol w:w="75"/>
      </w:tblGrid>
      <w:tr>
        <w:trPr/>
        <w:tc>
          <w:tcPr>
            <w:tcW w:w="363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4456" w:type="dxa"/>
            <w:gridSpan w:val="14"/>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in thousands except where indicated)</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2024</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w:t>
              <w:br/>
              <w:t>2024</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2024</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2024</w:t>
            </w:r>
          </w:p>
        </w:tc>
        <w:tc>
          <w:tcPr>
            <w:tcW w:w="7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Quantity of BTC sold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proceeds</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40,871</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27,938</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33,756</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49,570</w:t>
            </w:r>
          </w:p>
        </w:tc>
        <w:tc>
          <w:tcPr>
            <w:tcW w:w="75"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BTC as described above, while the Company continued to earn BTC, resulted in total holdings of 1,285 BTC as of December 31, 2024, valued at approximately $120.1 million based on a BTC price of approximately $93,400, as of December 31, 2024.</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43 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Resources </w:t>
            </w:r>
            <w:r>
              <w:rPr>
                <w:rFonts w:ascii="Times New Roman;Times;Serif" w:hAnsi="Times New Roman;Times;Serif"/>
                <w:b w:val="false"/>
                <w:i w:val="false"/>
                <w:caps w:val="false"/>
                <w:smallCaps w:val="false"/>
                <w:sz w:val="20"/>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Custody of digital assets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BTC received from the Mining pool operators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 subsidiary of Coinbase Global, Inc. (“Coinbase”)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internal controls in place to evaluate its custodians on a quarterly basis. If the Company was to face challenges with one of its custodians, the Company could transfer digital assets between custodians and has its own multi-signature wallets as a contingency plan that would have a minimal impact on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2025, the Company has 1,446 BTC, valued at $125.1 million on its balance sheet, based on a price of $86,500 per BTC. As of the date of this MD&amp;A, 76% of the Company’s BTC are held in custody with Coinbase Custody and Anchorage Digital with the remaining 24% held by third parties and classified as restricted digital assets in the statement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Coinbase Custody maintains an insurance policy of $100.0 million for its cold storage and Anchorage Digital maintains an insurance policy of $100.0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annual report, on Form 10-K, filed with the U.S. Securities Exchange Commission on February 13, 2025,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44 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Resources </w:t>
            </w:r>
            <w:r>
              <w:rPr>
                <w:rFonts w:ascii="Times New Roman;Times;Serif" w:hAnsi="Times New Roman;Times;Serif"/>
                <w:b w:val="false"/>
                <w:i w:val="false"/>
                <w:caps w:val="false"/>
                <w:smallCaps w:val="false"/>
                <w:sz w:val="20"/>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Hedging program of digital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hedging strategy aims to reduce the risk associated with the variability of cash flows resulting from future disposals of digital assets and in consideration of the volatility and adverse price movements of the digital assets in the prior months. In March 2023, the Board approved a hedging program and authorized Management, through a Risk Committee specifically created for this purpose, to implement hedges using various financial derivatives including over-the-counter BTC options and BTC futures contracts, among others, hedging up to 20% of the Company’s BTC compensation per month and up to three months of expected future BTC compensation. In April 2023, the Board authorized the Risk Committee to increase the maximum hedge ratio to up to 50% of the Company’s BTC compensation per month and up to six months of expected future BTC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had BTC option contracts to sell digital assets which resulted in a loss of $1.3 million, mainly related to premiums for the option contracts hedging the risk of the BTC price decreasing and protecting the Company’s margins. Refer to Note 23 to the Financial Statements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Synthetic HODL program for digital assets management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Alongside the hedging program, and with the intent to source risk-managed and capital-efficient leverage on BTC, in June 2023, the Board approved a HODL strategy, referred to as the Synthetic HODL strategy, which allows up to 20% of the Company’s BTC exposure to be replicated using BTC derivatives and volatility-targeting instruments. In October 2023, the Company initiated its Synthetic HODL strategy with the purchase of long-dated BTC call options. The primary objective of the Synthetic HODL is to replicate BTC HODL appreciation potential upside while utilizing excess cash flow from operations to fund capital growth programs. It remains within the Risk Committee’s discretion to dynamically adjust Bitfarms’ hedge and Synthetic HODL ratios within the risk limits approved by the Board to more adequately respond to market conditions that are beyond the Company’s operational control. During the year ended December 31, 2024, the Company purchased long-dated BTC call options which resulted in a gain of $17.0 million, including realized gains of $17.6 million, attributable to the change in the BTC price over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One program for digital assets management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Board approved the launch of the Bitcoin One initiative as the successor to the Company’s Hedging program and Synthetic HODL program for digital assets management, which was deployed during this month. Bitcoin One is a quantitative investment multi-strategy program that employs a disciplined approach to BTC accumulation through diversification, strategic leverage, and market timing. The Board authorized the risk management committee to deploy up to (i) 100% of the Company’s BTC in treasury, plus (ii) three months of expected forward production calculated on a rolling basis, plus (iii) $10.0 million under Bitcoin One to be actively managed and participate in volatility-targeting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One focuses on active BTC treasury management through discretionary and rules-based trading algorithms and an active managed volatility targeting program that trades crypto volatility as an asset class and harvests the risk premium that arises from that volatility.</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45 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LIQUIDITY AND CAPITAL RESOURCES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0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contractual maturities of financial liabilities and gross lease liabilities (non-financial liabilities) with estimated future interest payments, as applicable, as of December 31, 2024:</w:t>
      </w:r>
    </w:p>
    <w:p>
      <w:pPr>
        <w:pStyle w:val="TextBody"/>
        <w:bidi w:val="0"/>
        <w:spacing w:before="0" w:after="0"/>
        <w:ind w:left="0" w:right="0" w:hanging="0"/>
        <w:jc w:val="left"/>
        <w:rPr>
          <w:caps w:val="false"/>
          <w:smallCaps w:val="false"/>
        </w:rPr>
      </w:pPr>
      <w:r>
        <w:rPr>
          <w:caps w:val="false"/>
          <w:smallCaps w:val="false"/>
        </w:rPr>
        <w:t> </w:t>
      </w:r>
    </w:p>
    <w:tbl>
      <w:tblPr>
        <w:tblW w:w="8330" w:type="dxa"/>
        <w:jc w:val="left"/>
        <w:tblInd w:w="0" w:type="dxa"/>
        <w:tblLayout w:type="fixed"/>
        <w:tblCellMar>
          <w:top w:w="28" w:type="dxa"/>
          <w:left w:w="0" w:type="dxa"/>
          <w:bottom w:w="28" w:type="dxa"/>
          <w:right w:w="0" w:type="dxa"/>
        </w:tblCellMar>
      </w:tblPr>
      <w:tblGrid>
        <w:gridCol w:w="3800"/>
        <w:gridCol w:w="60"/>
        <w:gridCol w:w="60"/>
        <w:gridCol w:w="590"/>
        <w:gridCol w:w="60"/>
        <w:gridCol w:w="60"/>
        <w:gridCol w:w="60"/>
        <w:gridCol w:w="485"/>
        <w:gridCol w:w="60"/>
        <w:gridCol w:w="60"/>
        <w:gridCol w:w="60"/>
        <w:gridCol w:w="485"/>
        <w:gridCol w:w="60"/>
        <w:gridCol w:w="60"/>
        <w:gridCol w:w="60"/>
        <w:gridCol w:w="485"/>
        <w:gridCol w:w="60"/>
        <w:gridCol w:w="60"/>
        <w:gridCol w:w="79"/>
        <w:gridCol w:w="781"/>
        <w:gridCol w:w="60"/>
        <w:gridCol w:w="60"/>
        <w:gridCol w:w="60"/>
        <w:gridCol w:w="590"/>
        <w:gridCol w:w="75"/>
      </w:tblGrid>
      <w:tr>
        <w:trPr/>
        <w:tc>
          <w:tcPr>
            <w:tcW w:w="3800"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in thousands)</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2028</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 and</w:t>
              <w:br/>
              <w:t>thereafter</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payable and accrued liabilities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22,158</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22,158</w:t>
            </w:r>
          </w:p>
        </w:tc>
        <w:tc>
          <w:tcPr>
            <w:tcW w:w="7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2,982</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3,634</w:t>
            </w:r>
          </w:p>
        </w:tc>
        <w:tc>
          <w:tcPr>
            <w:tcW w:w="7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3,451</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4,182</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4,309</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3,936</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81"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16,114</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31,992</w:t>
            </w:r>
          </w:p>
        </w:tc>
        <w:tc>
          <w:tcPr>
            <w:tcW w:w="75"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25,765</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4,343</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4,474</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4,106</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81"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19,096</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57,784</w:t>
            </w:r>
          </w:p>
        </w:tc>
        <w:tc>
          <w:tcPr>
            <w:tcW w:w="75" w:type="dxa"/>
            <w:tcBorders>
              <w:bottom w:val="single" w:sz="12"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20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imported Miners into Washington State, United States,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 Since the request for information by U.S. Customs and Border Protection, the Company has been working with the vendor to validate their origination outside of China by visiting contract manufacturer sites and by examining and documenting the manufacture and assembly of the Miners by the vendor and its third-party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of 2023 and the first quarter of 2025, the Company submitted supporting documentation to U.S. Customs and Border Protection in defense of its position that the Miners were manufactured outside China and the associated custom duties in the amount of $9.4 million do not apply. While the final outcome of this matter is uncertain at this time, Management has determined it is not probable that it will result in a future cash outflow for the Company and, as such, no provision was recorded as of December 31, 2024.</w:t>
      </w:r>
    </w:p>
    <w:p>
      <w:pPr>
        <w:pStyle w:val="TextBody"/>
        <w:bidi w:val="0"/>
        <w:spacing w:before="0" w:after="0"/>
        <w:ind w:left="0" w:right="0" w:hanging="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20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Company’s total remaining payment obligations in connection with the amended Purchase Option and the March 2024 Purchase Order was $33.2 million. As described in Note 8 and 9 to the Financial Statements, in November 2024, the Company transferred 351 BTC which can be redeemed in four installments. The Company is not obligated to redeem all of the BTC installments. If the Company elects not to redeem one of the BTC Installments, the Company forfeits the right to redeem the remaining BTC Installments. In January 2025, the Company exercised the first BTC Installment. Refer to Note 32 to the Financial Statements for more details.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46 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 w:name="m_012"/>
      <w:bookmarkEnd w:id="100"/>
      <w:r>
        <w:rPr>
          <w:rFonts w:ascii="Times New Roman;Times;Serif" w:hAnsi="Times New Roman;Times;Serif"/>
          <w:b/>
          <w:i w:val="false"/>
          <w:caps w:val="false"/>
          <w:smallCaps w:val="false"/>
          <w:sz w:val="20"/>
        </w:rPr>
        <w:t xml:space="preserve">12. FINANCIAL POSITION </w:t>
      </w:r>
    </w:p>
    <w:p>
      <w:pPr>
        <w:pStyle w:val="TextBody"/>
        <w:bidi w:val="0"/>
        <w:spacing w:before="0" w:after="0"/>
        <w:ind w:left="0" w:right="0" w:hanging="360"/>
        <w:jc w:val="both"/>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20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Working Capital </w:t>
            </w:r>
          </w:p>
        </w:tc>
      </w:tr>
    </w:tbl>
    <w:p>
      <w:pPr>
        <w:pStyle w:val="TextBody"/>
        <w:bidi w:val="0"/>
        <w:jc w:val="left"/>
        <w:rPr>
          <w:caps w:val="false"/>
          <w:smallCaps w:val="false"/>
        </w:rPr>
      </w:pPr>
      <w:r>
        <w:rPr>
          <w:caps w:val="false"/>
          <w:smallCaps w:val="false"/>
        </w:rPr>
        <w:t> </w:t>
      </w:r>
    </w:p>
    <w:tbl>
      <w:tblPr>
        <w:tblW w:w="7608" w:type="dxa"/>
        <w:jc w:val="left"/>
        <w:tblInd w:w="0" w:type="dxa"/>
        <w:tblLayout w:type="fixed"/>
        <w:tblCellMar>
          <w:top w:w="0" w:type="dxa"/>
          <w:left w:w="0" w:type="dxa"/>
          <w:bottom w:w="28" w:type="dxa"/>
          <w:right w:w="0" w:type="dxa"/>
        </w:tblCellMar>
      </w:tblPr>
      <w:tblGrid>
        <w:gridCol w:w="2015"/>
        <w:gridCol w:w="60"/>
        <w:gridCol w:w="129"/>
        <w:gridCol w:w="1510"/>
        <w:gridCol w:w="60"/>
        <w:gridCol w:w="60"/>
        <w:gridCol w:w="125"/>
        <w:gridCol w:w="1469"/>
        <w:gridCol w:w="60"/>
        <w:gridCol w:w="60"/>
        <w:gridCol w:w="63"/>
        <w:gridCol w:w="737"/>
        <w:gridCol w:w="80"/>
        <w:gridCol w:w="60"/>
        <w:gridCol w:w="130"/>
        <w:gridCol w:w="730"/>
        <w:gridCol w:w="260"/>
      </w:tblGrid>
      <w:tr>
        <w:trPr/>
        <w:tc>
          <w:tcPr>
            <w:tcW w:w="20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in thousands)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w:t>
            </w:r>
          </w:p>
        </w:tc>
        <w:tc>
          <w:tcPr>
            <w:tcW w:w="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w:t>
            </w:r>
          </w:p>
        </w:tc>
        <w:tc>
          <w:tcPr>
            <w:tcW w:w="2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213,709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83,725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36,270</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69,154</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(32,884</w:t>
            </w:r>
          </w:p>
        </w:tc>
        <w:tc>
          <w:tcPr>
            <w:tcW w:w="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15"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177,439</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9"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60,830</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116,609</w:t>
            </w:r>
          </w:p>
        </w:tc>
        <w:tc>
          <w:tcPr>
            <w:tcW w:w="8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w:t>
            </w:r>
          </w:p>
        </w:tc>
        <w:tc>
          <w:tcPr>
            <w:tcW w:w="260"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the BTC Halving event that occurred on April 19, 2024, the Company continues to place importance on maintaining sufficient liquidity to manage uncertainty and capitalize upon suitable opportunities the BTC Halving may present. The Company also anticipates requiring additional funds to complete its 2025 growth plans discussed in Section 7 - </w:t>
      </w:r>
      <w:r>
        <w:rPr>
          <w:rFonts w:ascii="Times New Roman;Times;Serif" w:hAnsi="Times New Roman;Times;Serif"/>
          <w:b w:val="false"/>
          <w:i/>
          <w:caps w:val="false"/>
          <w:smallCaps w:val="false"/>
          <w:sz w:val="20"/>
        </w:rPr>
        <w:t>Expansion Projects</w:t>
      </w:r>
      <w:r>
        <w:rPr>
          <w:rFonts w:ascii="Times New Roman;Times;Serif" w:hAnsi="Times New Roman;Times;Serif"/>
          <w:b w:val="false"/>
          <w:i w:val="false"/>
          <w:caps w:val="false"/>
          <w:smallCaps w:val="false"/>
          <w:sz w:val="20"/>
        </w:rPr>
        <w:t xml:space="preserve"> of this MD&amp;A. As of December 31, 2024, Bitfarms had working capital of $177.4 million, compared to $60.8 million as of December 31, 2023. The increase in working capital was mostly due to:</w:t>
      </w:r>
    </w:p>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A $86.2 million increase in digital assets resulting from the increase of the Company’s balance by 481 BTC and the appreciation of the BTC price during FY 2024. This increase included a $32.8 million increase in restricted digital asset during FY 2024 relating to digital assets transferred to a third-party as consideration for goods or services, but for which the Company has the option to repurchase the digital assets. Refer to Note 8 to the Financial Statements.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$32.4 million decrease in warrant liabilities due to the subsequent decrease in fair value revaluation of the warrants from the 2023 private placements, the exercise of 2023 private placements warrants and the expiration of all 2021 private placement warrants.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$8.2 million increase in short-term prepaid deposits mainly related to the prepayment of electricity to an energy supplier in Argentina during FY 2024.</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$5.8 million increase in other assets resulting from the increase in sales taxes receivable as the Canadian sales taxes became refundable again during FY 2024.</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$4.5 million increase in assets held for sale due to older Miners being replaced as a result of the the transformative fleet upgrade during FY 2024.</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Scheduled capital repayments of $4.0 million to fully pay off the NYDIG loan in the first quarter of 2024. The effect on working capital is nil as the repayments decreased the cash balance and the loan balance by corresponding amounts.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$2.1 million increase in derivative assets due to the recognition and revaluation of embedded derivatives during FY 2024 as the Company holds a BTC redemption option for Mining hardware deposits in BTC. Refer to Note 9 to the Financial Statements for more details.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is partially offset by:</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$24.5 million decrease in cash as explained by the cash flows. Refer to Section 11A - </w:t>
            </w:r>
            <w:r>
              <w:rPr>
                <w:rFonts w:ascii="Times New Roman;Times;Serif" w:hAnsi="Times New Roman;Times;Serif"/>
                <w:b w:val="false"/>
                <w:i/>
                <w:caps w:val="false"/>
                <w:smallCaps w:val="false"/>
                <w:sz w:val="20"/>
              </w:rPr>
              <w:t>Liquidity and Capital Resources - Cash flows</w:t>
            </w:r>
            <w:r>
              <w:rPr>
                <w:rFonts w:ascii="Times New Roman;Times;Serif" w:hAnsi="Times New Roman;Times;Serif"/>
                <w:b w:val="false"/>
                <w:i w:val="false"/>
                <w:caps w:val="false"/>
                <w:smallCaps w:val="false"/>
                <w:sz w:val="20"/>
              </w:rPr>
              <w:t xml:space="preserve"> of this MD&amp;A.</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$5.2 million increase in trade payables and accrued liabilities, reflecting the ongoing expansion projects of the Company and professional services.</w:t>
            </w:r>
          </w:p>
        </w:tc>
      </w:tr>
    </w:tbl>
    <w:p>
      <w:pPr>
        <w:pStyle w:val="TextBody"/>
        <w:bidi w:val="0"/>
        <w:spacing w:before="0" w:after="0"/>
        <w:ind w:left="0" w:right="0" w:firstLine="9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47 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firstLine="9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FINANCIAL POSITION </w:t>
      </w:r>
      <w:r>
        <w:rPr>
          <w:rFonts w:ascii="Times New Roman;Times;Serif" w:hAnsi="Times New Roman;Times;Serif"/>
          <w:b w:val="false"/>
          <w:i w:val="false"/>
          <w:caps w:val="false"/>
          <w:smallCaps w:val="false"/>
          <w:sz w:val="20"/>
        </w:rPr>
        <w:t>(Continued)</w:t>
      </w:r>
    </w:p>
    <w:p>
      <w:pPr>
        <w:pStyle w:val="TextBody"/>
        <w:bidi w:val="0"/>
        <w:spacing w:before="0" w:after="0"/>
        <w:ind w:left="0" w:right="0" w:firstLine="9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0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6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Property, plant and equipment </w:t>
            </w:r>
          </w:p>
        </w:tc>
      </w:tr>
    </w:tbl>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book value of PPE by country is as follows:</w:t>
      </w:r>
    </w:p>
    <w:tbl>
      <w:tblPr>
        <w:tblW w:w="7228" w:type="dxa"/>
        <w:jc w:val="left"/>
        <w:tblInd w:w="0" w:type="dxa"/>
        <w:tblLayout w:type="fixed"/>
        <w:tblCellMar>
          <w:top w:w="0" w:type="dxa"/>
          <w:left w:w="0" w:type="dxa"/>
          <w:bottom w:w="28" w:type="dxa"/>
          <w:right w:w="0" w:type="dxa"/>
        </w:tblCellMar>
      </w:tblPr>
      <w:tblGrid>
        <w:gridCol w:w="1715"/>
        <w:gridCol w:w="60"/>
        <w:gridCol w:w="129"/>
        <w:gridCol w:w="1510"/>
        <w:gridCol w:w="60"/>
        <w:gridCol w:w="60"/>
        <w:gridCol w:w="125"/>
        <w:gridCol w:w="1469"/>
        <w:gridCol w:w="60"/>
        <w:gridCol w:w="60"/>
        <w:gridCol w:w="63"/>
        <w:gridCol w:w="737"/>
        <w:gridCol w:w="60"/>
        <w:gridCol w:w="60"/>
        <w:gridCol w:w="130"/>
        <w:gridCol w:w="730"/>
        <w:gridCol w:w="200"/>
      </w:tblGrid>
      <w:tr>
        <w:trPr/>
        <w:tc>
          <w:tcPr>
            <w:tcW w:w="17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in thousands)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w:t>
            </w:r>
          </w:p>
        </w:tc>
        <w:tc>
          <w:tcPr>
            <w:tcW w:w="20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America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117,615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62,854</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18,154</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44,700</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20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180,469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119,608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60,861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America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9"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Paraguay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112,452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Argentina</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55,604</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54,657</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168,056</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66,404</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101,652</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20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348,525</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186,012</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162,513</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200"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Bitfarms had PPE of $348.5 million, compared to $186.0 million as of December 31, 2023. The increase of $162.5 million, or 87%, was primarily due to:</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$100.7 million increase in Paraguay PPE primarily due to the construction of the Paso Pe data centers and substation, receipt of approximately 8 hydro containers, the installation of approximately 9,500 Bitmain T21 air-cooled Miners and 1,800 MicroBT M53S WhatsMiner Miners as well as the ongoing construction of the Yguazu data center and substation during FY 2024.</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$44.7 million increase in United States PPE mainly due to the delivery of Miners for the two Hosting agreements with Stronghold, originally scheduled to be deployed at the Yguazu, Paraguay data center.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$16.2 million and $0.9 million increases in Canada and Argentina PPE, respectively, are mainly due to the Miner fleet upgrade, which exceeded the regular depreciation and accelerated depreciation of older Miners. Refer to Note 12 -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xml:space="preserve"> to the Financial Statements.</w:t>
            </w:r>
          </w:p>
        </w:tc>
      </w:tr>
    </w:tbl>
    <w:p>
      <w:pPr>
        <w:pStyle w:val="TextBody"/>
        <w:bidi w:val="0"/>
        <w:jc w:val="left"/>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20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3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Right-of-use (“ROU”) assets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Bitfarms had ROU assets of $23.0 million, compared to $14.3 million as of December 31, 2023. The increase of $8.7 million, or 61%, was mainly due to the Sharon Lease Agreement finalized during the third quarter of 2024 to lease an industrialized site in Sharon, Pennsylvania, United States, providing the Company immediate capacity of 12 MW of electricity and a potential additional 98 MW for a total 110 MW of development capacity by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signing the agreement, the Company issued 1,532,745 common shares with a total value of $3.0 million as a non-refundable deposit which was capitalized as part of the ROU asset. On initial recognition, the Company recognized $11.4 million of ROU asset and $8.2 million of lease liability with the difference of $3.0 million recorded in share capital. Refer to Note 19 -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and Note 22 - </w:t>
      </w:r>
      <w:r>
        <w:rPr>
          <w:rFonts w:ascii="Times New Roman;Times;Serif" w:hAnsi="Times New Roman;Times;Serif"/>
          <w:b w:val="false"/>
          <w:i/>
          <w:caps w:val="false"/>
          <w:smallCaps w:val="false"/>
          <w:sz w:val="20"/>
        </w:rPr>
        <w:t>Share Capital</w:t>
      </w:r>
      <w:r>
        <w:rPr>
          <w:rFonts w:ascii="Times New Roman;Times;Serif" w:hAnsi="Times New Roman;Times;Serif"/>
          <w:b w:val="false"/>
          <w:i w:val="false"/>
          <w:caps w:val="false"/>
          <w:smallCaps w:val="false"/>
          <w:sz w:val="20"/>
        </w:rPr>
        <w:t xml:space="preserve"> to the Financial Statements for more details.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48 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FINANCIAL POSITION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0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Bitfarms had intangible assets of $4.0 million, compared to $3.7 million as of December 31, 2023. The $0.3 million increase is mainly due to the Washington State, Unites States, access right to electricity being available for use and reclassified from long-term deposits, equipment, prepayments and other to intangible assets. The increase was partially offset by the amortization of the Company’s access rights to electricity in Washington State, United States, and access rights to electricity already held in Quebec, Canada and Paraguay since 2023. The following table summarizes those access rights to electricity, at cost: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5"/>
        <w:gridCol w:w="60"/>
        <w:gridCol w:w="2121"/>
        <w:gridCol w:w="60"/>
        <w:gridCol w:w="134"/>
        <w:gridCol w:w="1086"/>
        <w:gridCol w:w="60"/>
        <w:gridCol w:w="60"/>
        <w:gridCol w:w="755"/>
        <w:gridCol w:w="60"/>
        <w:gridCol w:w="60"/>
        <w:gridCol w:w="125"/>
        <w:gridCol w:w="60"/>
        <w:gridCol w:w="60"/>
        <w:gridCol w:w="1941"/>
        <w:gridCol w:w="60"/>
        <w:gridCol w:w="3048"/>
      </w:tblGrid>
      <w:tr>
        <w:trPr/>
        <w:tc>
          <w:tcPr>
            <w:tcW w:w="4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12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Additions to</w:t>
              <w:br/>
              <w:t>intangibles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w:t>
              <w:br/>
              <w:t>capacity</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85"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94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of contractual access</w:t>
              <w:br/>
              <w:t>rights</w:t>
            </w:r>
          </w:p>
        </w:tc>
        <w:tc>
          <w:tcPr>
            <w:tcW w:w="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304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 method and period</w:t>
            </w:r>
          </w:p>
        </w:tc>
      </w:tr>
      <w:tr>
        <w:trPr/>
        <w:tc>
          <w:tcPr>
            <w:tcW w:w="45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State, United States</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MW</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termination date</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48"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Declining balance 4%</w:t>
            </w:r>
          </w:p>
        </w:tc>
      </w:tr>
      <w:tr>
        <w:trPr/>
        <w:tc>
          <w:tcPr>
            <w:tcW w:w="45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MW</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Baie-Comeau, Quebec, Canada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MW</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termination date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Straight-line over the lease term of the data center</w:t>
            </w:r>
          </w:p>
        </w:tc>
      </w:tr>
      <w:tr>
        <w:trPr/>
        <w:tc>
          <w:tcPr>
            <w:tcW w:w="4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Paso Pe, Paraguay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MW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in December 31, 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Straight-line over the access rights period</w:t>
            </w:r>
          </w:p>
        </w:tc>
      </w:tr>
      <w:tr>
        <w:trPr/>
        <w:tc>
          <w:tcPr>
            <w:tcW w:w="45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Yguazu, Paraguay</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MW</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in December 31, 2027</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48"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Straight-line over the access rights period</w:t>
            </w:r>
          </w:p>
        </w:tc>
      </w:tr>
      <w:tr>
        <w:trPr/>
        <w:tc>
          <w:tcPr>
            <w:tcW w:w="45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3,801</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 MW</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bottom w:val="single" w:sz="8" w:space="0" w:color="000000"/>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6"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4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bottom w:val="single" w:sz="12"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4,713</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 MW</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1"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8" w:type="dxa"/>
            <w:tcBorders>
              <w:bottom w:val="single" w:sz="12"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59"/>
        <w:gridCol w:w="10046"/>
      </w:tblGrid>
      <w:tr>
        <w:trPr/>
        <w:tc>
          <w:tcPr>
            <w:tcW w:w="159"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 xml:space="preserve">1 </w:t>
            </w:r>
          </w:p>
        </w:tc>
        <w:tc>
          <w:tcPr>
            <w:tcW w:w="10046" w:type="dxa"/>
            <w:tcBorders>
              <w:top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Company finalized an amendment to the existing contract for an additional 20 MW of energy capacity for a total capacity of 70 MW.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 xml:space="preserve">2 </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2024, the Company finalized an amendment to the existing contract for an additional 100 MW of energy capacity for a total capacity of 200 MW.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5 and 13 to the Financial Statements for more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 w:name="m_013"/>
      <w:bookmarkEnd w:id="101"/>
      <w:r>
        <w:rPr>
          <w:rFonts w:ascii="Times New Roman;Times;Serif" w:hAnsi="Times New Roman;Times;Serif"/>
          <w:b/>
          <w:i w:val="false"/>
          <w:caps w:val="false"/>
          <w:smallCaps w:val="false"/>
          <w:sz w:val="20"/>
        </w:rPr>
        <w:t>13.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discloses information on the classification and fair value of its financial instruments, as well as on the nature and extent of risks arising from financial instruments, and related risk management in Note 23 to the Financial Statements. Risks are related to foreign currency, credit, counterparty, liquidity, and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2" w:name="m_014"/>
      <w:bookmarkEnd w:id="102"/>
      <w:r>
        <w:rPr>
          <w:rFonts w:ascii="Times New Roman;Times;Serif" w:hAnsi="Times New Roman;Times;Serif"/>
          <w:b/>
          <w:i w:val="false"/>
          <w:caps w:val="false"/>
          <w:smallCaps w:val="false"/>
          <w:sz w:val="20"/>
        </w:rPr>
        <w:t>14.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discloses information on its related party transactions, as defined in IAS 24, </w:t>
      </w:r>
      <w:r>
        <w:rPr>
          <w:rFonts w:ascii="Times New Roman;Times;Serif" w:hAnsi="Times New Roman;Times;Serif"/>
          <w:b w:val="false"/>
          <w:i/>
          <w:caps w:val="false"/>
          <w:smallCaps w:val="false"/>
          <w:sz w:val="20"/>
        </w:rPr>
        <w:t>Related Party Disclosures</w:t>
      </w:r>
      <w:r>
        <w:rPr>
          <w:rFonts w:ascii="Times New Roman;Times;Serif" w:hAnsi="Times New Roman;Times;Serif"/>
          <w:b w:val="false"/>
          <w:i w:val="false"/>
          <w:caps w:val="false"/>
          <w:smallCaps w:val="false"/>
          <w:sz w:val="20"/>
        </w:rPr>
        <w:t>, in Note 24 to the Financial Statements.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49 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3" w:name="m_015"/>
      <w:bookmarkEnd w:id="103"/>
      <w:r>
        <w:rPr>
          <w:rFonts w:ascii="Times New Roman;Times;Serif" w:hAnsi="Times New Roman;Times;Serif"/>
          <w:b/>
          <w:i w:val="false"/>
          <w:caps w:val="false"/>
          <w:smallCaps w:val="false"/>
          <w:sz w:val="20"/>
        </w:rPr>
        <w:t>15. INTERNAL CONTROLS OVER FINANCIAL REPORTING</w:t>
      </w:r>
    </w:p>
    <w:p>
      <w:pPr>
        <w:pStyle w:val="TextBody"/>
        <w:bidi w:val="0"/>
        <w:spacing w:before="0" w:after="0"/>
        <w:ind w:left="0" w:right="0" w:hanging="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0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under the supervision of the CEO and Chief Financial Officer (“CFO”) of the Company, has designed or caused to be designed under their supervision disclosure controls and procedures (“DC&amp;P”) to provide reasonable assurance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material information relating to the Company is made known to them by others, particularly during the period in which the annual filings are being prepared;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under the supervision of the Company’s CEO and CFO, has evaluated, or caused to be evaluated, the effectiveness of the Company’s DC&amp;P as defined in National Instrument 52-109 - </w:t>
      </w:r>
      <w:r>
        <w:rPr>
          <w:rFonts w:ascii="Times New Roman;Times;Serif" w:hAnsi="Times New Roman;Times;Serif"/>
          <w:b w:val="false"/>
          <w:i/>
          <w:caps w:val="false"/>
          <w:smallCaps w:val="false"/>
          <w:sz w:val="20"/>
        </w:rPr>
        <w:t>Certification of Disclosure in Issuer’s Annual and Interim Filings</w:t>
      </w:r>
      <w:r>
        <w:rPr>
          <w:rFonts w:ascii="Times New Roman;Times;Serif" w:hAnsi="Times New Roman;Times;Serif"/>
          <w:b w:val="false"/>
          <w:i w:val="false"/>
          <w:caps w:val="false"/>
          <w:smallCaps w:val="false"/>
          <w:sz w:val="20"/>
        </w:rPr>
        <w:t xml:space="preserve"> as of December 31, 2024. As a result of this evaluation, the Company’s CEO and CFO have concluded that the Company’s DC&amp;P were not effective as of December 31, 2024, and that the design and operating of the Company’s DC&amp;P were not effective to provide reasonable assurance that all material information relating to the Company was reported as required because material weaknesses in the current operation of the Company’s internal control over financial reporting (“ICFR”) were identified, as described below.</w:t>
      </w:r>
    </w:p>
    <w:p>
      <w:pPr>
        <w:pStyle w:val="TextBody"/>
        <w:bidi w:val="0"/>
        <w:spacing w:before="0" w:after="0"/>
        <w:ind w:left="0" w:right="0" w:hanging="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20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under the supervision of the CEO and CFO, is also responsible for establishing and maintaining adequate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under the supervision of the CEO and CFO of the Company, has evaluated the effectiveness of its ICFR as of December 31, 2024, as defined in National Instruments 52-109 - </w:t>
      </w:r>
      <w:r>
        <w:rPr>
          <w:rFonts w:ascii="Times New Roman;Times;Serif" w:hAnsi="Times New Roman;Times;Serif"/>
          <w:b w:val="false"/>
          <w:i/>
          <w:caps w:val="false"/>
          <w:smallCaps w:val="false"/>
          <w:sz w:val="20"/>
        </w:rPr>
        <w:t>Certification of Disclosure in Issuer’s Annual and Interim Filings</w:t>
      </w:r>
      <w:r>
        <w:rPr>
          <w:rFonts w:ascii="Times New Roman;Times;Serif" w:hAnsi="Times New Roman;Times;Serif"/>
          <w:b w:val="false"/>
          <w:i w:val="false"/>
          <w:caps w:val="false"/>
          <w:smallCaps w:val="false"/>
          <w:sz w:val="20"/>
        </w:rPr>
        <w:t xml:space="preserve">. The evaluation was based on the </w:t>
      </w:r>
      <w:r>
        <w:rPr>
          <w:rFonts w:ascii="Times New Roman;Times;Serif" w:hAnsi="Times New Roman;Times;Serif"/>
          <w:b w:val="false"/>
          <w:i/>
          <w:caps w:val="false"/>
          <w:smallCaps w:val="false"/>
          <w:sz w:val="20"/>
        </w:rPr>
        <w:t>Internal Control - Integrated Framework (2013)</w:t>
      </w:r>
      <w:r>
        <w:rPr>
          <w:rFonts w:ascii="Times New Roman;Times;Serif" w:hAnsi="Times New Roman;Times;Serif"/>
          <w:b w:val="false"/>
          <w:i w:val="false"/>
          <w:caps w:val="false"/>
          <w:smallCaps w:val="false"/>
          <w:sz w:val="20"/>
        </w:rPr>
        <w:t xml:space="preserve"> issued by the Committee of Sponsoring Organizations of the Treadway Commission (“COSO”). Based on this assessment, Management concluded that, as of December 31, 2024, the Company’s ICFR was not effective because a material weakness existed.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Identified material weakness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such that there is a reasonable possibility that a material misstatement of the Company’s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50 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INTERNAL CONTROLS OVER FINANCIAL REPORTING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0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Management’s annual report on internal control over financial reporting </w:t>
            </w:r>
            <w:r>
              <w:rPr>
                <w:rFonts w:ascii="Times New Roman;Times;Serif" w:hAnsi="Times New Roman;Times;Serif"/>
                <w:b w:val="false"/>
                <w:i w:val="false"/>
                <w:caps w:val="false"/>
                <w:smallCaps w:val="false"/>
                <w:sz w:val="20"/>
              </w:rPr>
              <w:t>(Continued)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Identified material weakness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Management identified that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which was reflected in the comparative period for the consolidated financial statements of the Company for the year ended December 31, 2023 filed on December 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2024, Management also identified a material error in the statements of cash flows, resulting in a reclassification of sales of digital assets from cash flows from operations to cash flows from investing activities. These errors, which impacted the consolidated financial statements for the year ended December 31, 2023 and 2022, were corrected with the filing of Amendment No.1 to the Annual Report on Form 40-F for fiscal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concluded that the control over accounting for complex transactions did not operate effectively in these instances, which constitutes a material weakness in ICFR as of December 31, 2024. Management concluded that the Company’s ICFR as of December 31, 2024 was not effective because of the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Status of remediation plan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efforts to date comprise expanding the finance team to include more Chartered Professional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transactions and review of financial statements. Management’s efforts of hiring more CPAs and involving the Company’s legal counsel and third-party consultants to assist with complex transactions were in place at the end of 2024, and its remediation plan is expected to be completed after review and testing of controls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Section 19 -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of this MD&amp;A.</w:t>
      </w:r>
    </w:p>
    <w:p>
      <w:pPr>
        <w:pStyle w:val="TextBody"/>
        <w:bidi w:val="0"/>
        <w:spacing w:before="0" w:after="0"/>
        <w:ind w:left="0" w:right="0" w:hanging="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0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ICFR that have materially affected, or are reasonably likely to materially affect, the Company’s ICFR during the period beginning on October 1, 2024 and ended December 31, 2024.</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51 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INTERNAL CONTROLS OVER FINANCIAL REPORTING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0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6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DC&amp;P and ICFR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control systems contain inherent limitations, regardless of how well they are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4" w:name="m_016"/>
      <w:bookmarkEnd w:id="104"/>
      <w:r>
        <w:rPr>
          <w:rFonts w:ascii="Times New Roman;Times;Serif" w:hAnsi="Times New Roman;Times;Serif"/>
          <w:b/>
          <w:i w:val="false"/>
          <w:caps w:val="false"/>
          <w:smallCaps w:val="false"/>
          <w:sz w:val="20"/>
        </w:rPr>
        <w:t>16. RECENT AND SUBSEQUENT EVENTS</w:t>
      </w:r>
    </w:p>
    <w:p>
      <w:pPr>
        <w:pStyle w:val="TextBody"/>
        <w:bidi w:val="0"/>
        <w:spacing w:before="0" w:after="0"/>
        <w:ind w:left="0" w:right="0" w:hanging="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0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Stronghold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2024, the Company and Stronghold entered into a definitive merger agreement (the “Merger Agreement”) under which Bitfarms will acquire Stronghold in a stock-for-stock merger transaction (the “Transaction”). The Transaction was valued at approximately $125.0 million equity value plus the repayment of debt valued at approximately $50.0 million at the time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unanimously approved by the Boards of both companies, approved by the majority of Stronghold shareholders, and received the applicable regulatory approvals, certain third party consents and other customary closing conditions. On March 14, 2025, the transaction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Stronghold shareholders received 2.52 shares of Bitfarms for each share of Stronghold they own. The Company issued 59,866,852 common shares and 12,893,650 warrants in connection with the consummation of the Merger. In addition, approximately $44.5 million was paid at closing to retire outstanding Stronghold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the process of determining the fair value of identifiable assets acquired and liabilities assumed.</w:t>
      </w:r>
    </w:p>
    <w:p>
      <w:pPr>
        <w:pStyle w:val="TextBody"/>
        <w:bidi w:val="0"/>
        <w:spacing w:before="0" w:after="0"/>
        <w:ind w:left="0" w:right="0" w:hanging="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20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Sale of Yguazu Mining Site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 announced that it had entered into a binding Letter of Intent to sell its 200 MW site in Yguazu, Paraguay to HIVE Digital Technologies, Ltd (“HIVE”).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the transaction closed with HIVE purchasing from Bitfarms its 100% ownership stake of its Yguazu, Paraguay Bitcoin data center and the Company’s loan receivable from Backbone Yguazu for $63.0 million, with Bitfarms receiving:</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$20.0 million of advance payment made in January 2025 upon signing the letter of intent;</w:t>
            </w:r>
          </w:p>
        </w:tc>
      </w:tr>
    </w:tbl>
    <w:tbl>
      <w:tblPr>
        <w:tblW w:w="5000" w:type="pct"/>
        <w:jc w:val="left"/>
        <w:tblInd w:w="0" w:type="dxa"/>
        <w:tblLayout w:type="fixed"/>
        <w:tblCellMar>
          <w:top w:w="0" w:type="dxa"/>
          <w:left w:w="0" w:type="dxa"/>
          <w:bottom w:w="0" w:type="dxa"/>
          <w:right w:w="0" w:type="dxa"/>
        </w:tblCellMar>
      </w:tblPr>
      <w:tblGrid>
        <w:gridCol w:w="78"/>
        <w:gridCol w:w="349"/>
        <w:gridCol w:w="9778"/>
      </w:tblGrid>
      <w:tr>
        <w:trPr/>
        <w:tc>
          <w:tcPr>
            <w:tcW w:w="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w:t>
            </w:r>
          </w:p>
        </w:tc>
        <w:tc>
          <w:tcPr>
            <w:tcW w:w="9778" w:type="dxa"/>
            <w:tcBorders/>
            <w:vAlign w:val="center"/>
          </w:tcPr>
          <w:p>
            <w:pPr>
              <w:pStyle w:val="TableContents"/>
              <w:bidi w:val="0"/>
              <w:spacing w:before="0" w:after="283"/>
              <w:jc w:val="both"/>
              <w:rPr/>
            </w:pPr>
            <w:r>
              <w:rPr/>
              <w:t>$12.0 million upon closing of this transaction; and</w:t>
            </w:r>
          </w:p>
        </w:tc>
      </w:tr>
    </w:tbl>
    <w:tbl>
      <w:tblPr>
        <w:tblW w:w="5000" w:type="pct"/>
        <w:jc w:val="left"/>
        <w:tblInd w:w="0" w:type="dxa"/>
        <w:tblLayout w:type="fixed"/>
        <w:tblCellMar>
          <w:top w:w="0" w:type="dxa"/>
          <w:left w:w="0" w:type="dxa"/>
          <w:bottom w:w="0" w:type="dxa"/>
          <w:right w:w="0" w:type="dxa"/>
        </w:tblCellMar>
      </w:tblPr>
      <w:tblGrid>
        <w:gridCol w:w="82"/>
        <w:gridCol w:w="371"/>
        <w:gridCol w:w="9752"/>
      </w:tblGrid>
      <w:tr>
        <w:trPr/>
        <w:tc>
          <w:tcPr>
            <w:tcW w:w="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w:t>
            </w:r>
          </w:p>
        </w:tc>
        <w:tc>
          <w:tcPr>
            <w:tcW w:w="9752" w:type="dxa"/>
            <w:tcBorders/>
            <w:vAlign w:val="center"/>
          </w:tcPr>
          <w:p>
            <w:pPr>
              <w:pStyle w:val="TableContents"/>
              <w:bidi w:val="0"/>
              <w:spacing w:before="0" w:after="283"/>
              <w:jc w:val="both"/>
              <w:rPr/>
            </w:pPr>
            <w:r>
              <w:rPr/>
              <w:t>$31.0 million over 6 months following closing.</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52 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RECENT AND SUBSEQUENT EVENTS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20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ATM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January 1, 2025 to March 26, 2025, the Company issued 14,444,643 common shares through the 2024 ATM Program in exchange for gross proceeds of $24.4 million at an average share price of approximately $1.69. The Company received net proceeds of $23.6 million after paying commissions of $0.8 million to the sales agent.</w:t>
      </w:r>
    </w:p>
    <w:p>
      <w:pPr>
        <w:pStyle w:val="TextBody"/>
        <w:bidi w:val="0"/>
        <w:spacing w:before="0" w:after="0"/>
        <w:ind w:left="0" w:right="0" w:hanging="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20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options of BTC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the Company exercised its option to redeem the first installment of the BTC Pledged in relation to the purchase of Miners under the Supplementary Agreements. The Company redeemed 87 BTC for $8.3 million. See Note 8 to the Financial Statements for more details.</w:t>
      </w:r>
    </w:p>
    <w:p>
      <w:pPr>
        <w:pStyle w:val="TextBody"/>
        <w:bidi w:val="0"/>
        <w:spacing w:before="0" w:after="0"/>
        <w:ind w:left="0" w:right="0" w:hanging="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0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30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Bitmain T21 and S21+ Miners Swap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in connection with the Purchase Order, an exchange agreement was made signed to return 4,160 Bitmain T21 Miners. In consideration for the returned products Bitmain will refund the Company with a $9.5 million credit. Simultaneously, the Company placed another purchase order for 3,660 Bitmain S21+ Miners at a purchase price of $11.9 million. The Company has the option to pay the net amount of $2,374 in cash or in BTC. The payment terms, the BTC installments and the BTC Redemption Option are similar to the ones included in the Supplementary Agreements as described in Note 9 to the Financial Statements. On March 13, 2025, the Company paid the net $2.4 million in BTC which can be redeemed on a quarterly basis.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53 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5" w:name="m_017"/>
      <w:bookmarkEnd w:id="105"/>
      <w:r>
        <w:rPr>
          <w:rFonts w:ascii="Times New Roman;Times;Serif" w:hAnsi="Times New Roman;Times;Serif"/>
          <w:b/>
          <w:i w:val="false"/>
          <w:caps w:val="false"/>
          <w:smallCaps w:val="false"/>
          <w:sz w:val="20"/>
        </w:rPr>
        <w:t>17.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MD&amp;A, the Company has 553,644,380 common shares outstanding, 20,096,066 vested and 7,263,750 unvested stock options, 23,735,132 warrants outstanding and 2,787,666 restricted stock units. There are no preferred shares or any other classes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was subject to the acceptance of the Toronto Stock Exchange (the “TSX”) and shareholder ratification within six months of its adoption. The TSX notified the Company that the TSX would defer its consideration of the acceptance of the July 2024 Rights Plan until (a) such time as it was satisfied that the appropriate securities commission will not intervene pursuant to National Policy 62-202 and (b) the July 2024 Rights Plan was ratified by the shareholders of the Company by no later than January 24, 2025. A deferral of acceptance of the July 2024 Rights Plan by the TSX did not affect the adoption or operation of the July 2024 Rights Plan. The Board recommended that shareholders of the Company ratify the July 2024 Rights Plan, which was approved at the Company’s special meeting of shareholders on November 20, 2024.</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54 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 w:name="m_018"/>
      <w:bookmarkEnd w:id="106"/>
      <w:r>
        <w:rPr>
          <w:rFonts w:ascii="Times New Roman;Times;Serif" w:hAnsi="Times New Roman;Times;Serif"/>
          <w:b/>
          <w:i w:val="false"/>
          <w:caps w:val="false"/>
          <w:smallCaps w:val="false"/>
          <w:sz w:val="20"/>
        </w:rPr>
        <w:t>18. REGULATORY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CEO. The following is a discussion of regulatory compliance considerations specific to each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 total of eight data centers with an aggregate power capacity of 170 located in the Province of Quebec, Canada. Refer to Section 7 - </w:t>
      </w:r>
      <w:r>
        <w:rPr>
          <w:rFonts w:ascii="Times New Roman;Times;Serif" w:hAnsi="Times New Roman;Times;Serif"/>
          <w:b w:val="false"/>
          <w:i/>
          <w:caps w:val="false"/>
          <w:smallCaps w:val="false"/>
          <w:sz w:val="20"/>
        </w:rPr>
        <w:t>Expansion Projects - C. Canada Expansion</w:t>
      </w:r>
      <w:r>
        <w:rPr>
          <w:rFonts w:ascii="Times New Roman;Times;Serif" w:hAnsi="Times New Roman;Times;Serif"/>
          <w:b w:val="false"/>
          <w:i w:val="false"/>
          <w:caps w:val="false"/>
          <w:smallCaps w:val="false"/>
          <w:sz w:val="20"/>
        </w:rPr>
        <w:t xml:space="preserve"> of this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restrictions in Quebec or Canada on the business of operating a data center or conducting the business of the Company as described herein, and as of the date of this MD&amp;A, the Company has not received any material notices or statements from regulatory authorities in Quebec or Canada that would negatively impact its current operations in Quebec or Canada. The Company is not relying on any registrations, exemptions, or “no action” letters to conduct its business in Quebec or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three data centers with an aggregate power capacity of 150 located in the States of Washington and Pennsylvania, United States. Energy for two of the three data centers is derived from the Company’s power facilities and/or the grid. Refer to Section 7 - </w:t>
      </w:r>
      <w:r>
        <w:rPr>
          <w:rFonts w:ascii="Times New Roman;Times;Serif" w:hAnsi="Times New Roman;Times;Serif"/>
          <w:b w:val="false"/>
          <w:i/>
          <w:caps w:val="false"/>
          <w:smallCaps w:val="false"/>
          <w:sz w:val="20"/>
        </w:rPr>
        <w:t>Expansion Projects - A. United States Expansion</w:t>
      </w:r>
      <w:r>
        <w:rPr>
          <w:rFonts w:ascii="Times New Roman;Times;Serif" w:hAnsi="Times New Roman;Times;Serif"/>
          <w:b w:val="false"/>
          <w:i w:val="false"/>
          <w:caps w:val="false"/>
          <w:smallCaps w:val="false"/>
          <w:sz w:val="20"/>
        </w:rPr>
        <w:t xml:space="preserve"> of this MD&amp;A.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restrictions in the States of Washington and Pennsylvania on the business of operating a data center or conducting the business of the Company as described herein, and as of the date of this MD&amp;A, the Company has not received any material notices or statements from regulatory authorities in Washington or Pennsylvania that would negatively impact its operations in these jurisdictions. The Company is not relying on any registrations, exemptions, or “no action” letters to conduct its business in Washington and Pennsylvania.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Paraguay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 total of two data centers with an aggregate power capacity of 80 MW located in the city of Villarrica, Paraguay. Refer to Section 7 - </w:t>
      </w:r>
      <w:r>
        <w:rPr>
          <w:rFonts w:ascii="Times New Roman;Times;Serif" w:hAnsi="Times New Roman;Times;Serif"/>
          <w:b w:val="false"/>
          <w:i/>
          <w:caps w:val="false"/>
          <w:smallCaps w:val="false"/>
          <w:sz w:val="20"/>
        </w:rPr>
        <w:t>Expansion Projects - B. Paraguay Expansion</w:t>
      </w:r>
      <w:r>
        <w:rPr>
          <w:rFonts w:ascii="Times New Roman;Times;Serif" w:hAnsi="Times New Roman;Times;Serif"/>
          <w:b w:val="false"/>
          <w:i w:val="false"/>
          <w:caps w:val="false"/>
          <w:smallCaps w:val="false"/>
          <w:sz w:val="20"/>
        </w:rPr>
        <w:t xml:space="preserve"> of this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restrictions in Paraguay on the business of operating a data center or conducting the business of the Company as described herein,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55 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REGULATORY COMPLIANCE </w:t>
      </w:r>
      <w:r>
        <w:rPr>
          <w:rFonts w:ascii="Times New Roman;Times;Serif" w:hAnsi="Times New Roman;Times;Serif"/>
          <w:b w:val="false"/>
          <w:i w:val="false"/>
          <w:caps w:val="false"/>
          <w:smallCaps w:val="false"/>
          <w:sz w:val="20"/>
        </w:rPr>
        <w:t>(Continued)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Paraguay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a group of Paraguay’s Senators initially proposed a 180-day blanket ban on cryptocurrency Mining due to concerns over power theft of and disruptions to the electricity supply. However, the Senate issued a statement in support of the legal cryptocurrency Mining industry arguing that selling excess energy to Bitcoin miners unlocks substantial revenue streams and bolsters Paraguay’s economy, acknowledging that the proposed ban would not effectively address illegal Mining activities. The Senate held a public hearing on April 23, 2024 (the “Public Hearing”) to debate the merits and drawbacks of Bitcoin Mining in the country. Lawmakers acknowledged the potential issues caused by illegal Mining operations disrupting the power supply, but also recognized the potential economic benefits of embracing licensed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discussions, several significant developments occurred. On June 26, 2024, Congress in Paraguay sanctioned a bill, which was later promulgated as Law No. 7300. This law increases penalties for illegal use of electricity, particularly targeting unauthorized cryptocurrency Mining. Penalties range from fines to imprisonment up to 10 years, with provisions for equipment confiscation.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Secondly, also on June 26, 2024, ANDE issued a decree implementing an abrupt increase in tariffs for the cryptocurrency Mining industry. The decree increased the electricity tariffs from 6% to 16%, a 10%-point increase, across various voltage categories, effective July 1, 2024. The effective rate increase on the voltage level the Company uses was approximately 13.6%.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Argentina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one 58 MW data center located in Cordoba, Argentina.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restrictions in Argentina on the business of operating a server farm or conducting the business of the Company as described herein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56 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7" w:name="m_019"/>
      <w:bookmarkEnd w:id="107"/>
      <w:r>
        <w:rPr>
          <w:rFonts w:ascii="Times New Roman;Times;Serif" w:hAnsi="Times New Roman;Times;Serif"/>
          <w:b/>
          <w:i w:val="false"/>
          <w:caps w:val="false"/>
          <w:smallCaps w:val="false"/>
          <w:sz w:val="20"/>
        </w:rPr>
        <w:t>19.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summarizes the principal risk factors that apply to the Company’s business and that may have a material adverse effect on the Company’s business, financial condition and results of operations, and/or the trading price of the Company’s shares. Due to the nature of the Company’s business, the legal and economic climate in which it operates and its present stage of development and proposed operations, the Company is subject to significant risks. These risk factors are not a definitive list of all risk factors associated with an investment in the Company or in connection with its operations. Additional risks and uncertainties not presently known to the Company, or that are currently deemed immaterial, may also impair its operations. If any such risks actually occur, the financial condition, liquidity and results of operations of the Company could be materially adversely affected. Investors should carefully consider the risks, factors, and uncertainties described below, together with the other information contained in this MD&amp;A, as well as the risk factors, uncertainties, and other information disclosed in the Company’s other public filings before making an investment decision regarding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may not realize all of the anticipated benefits of the Stronghold Transaction.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following Stronghold Transaction (thereafter, the “Combined Company”), may not realize all of the anticipated benefits of the Stronghold Transaction even if Bitfarms believes that the Stronghold Transaction will provide benefits to the Combined Company. There is a risk that some or all of the expected benefits of the Stronghold Transaction may fail to materialize or may not occur within the time periods anticipated by Bitfarms. The realization of such benefits may be affected by a number of factors, including regulatory considerations and decisions, many of which are beyond the control of Bitfarms and Stronghold. The challenge of coordinating previously independent businesses makes evaluating the business and future financial prospects of the Combined Company following Stronghold Transaction difficult. Prior to the completion of the Stronghold Transaction, Stronghold and Bitfarms operated independently. The success of Stronghold Transaction, including anticipated benefits and cost savings, will depend, in part, on the ability to successfully integrate the operations of both companies. The past financial performance of each of Stronghold and Bitfarms may not be indicative of their future financial performance. Realization of the anticipated benefits in the Stronghold Transaction will depend, in part, on the Combined Company’s ability to successfully integrate Stronghold and Bitfarms’ businesses. The Combined Company will be required to devote significant management attention and resources to integrating its business practices and support functions. The diversion of management’s attention and any delays or difficulties encountered in connection with the coordination of the two companies’ operations could have an adverse effect on the business, financial results, financial condition or the share price of Bitfarms. The coordination process may also result in additional and unforeseen expenses. Failure to realize all of the anticipated benefits of Stronghold Transaction may impact on the financial performance of the Combined Company and the price of the Combined Company’s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 has incurred, and will continue to incur, significant costs in connection with Stronghold Transaction.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Stronghold Transaction, the Company has incurred, and will continue to incur, significant integration-related fees and costs related to formulating and implementing integration plans, including facilities and systems consolidation costs and employment-related costs. There may be additional unanticipated significant costs in connection with Stronghold Transaction that the Company may not recoup. These costs and expenses could reduce the realization of efficiencies, strategic benefits, and additional income the Company expects to achieve from the Stronghold Transaction. Although we expect that the elimination of duplicative costs, as well as the realization of other efficiencies related to the integration of Bitfarms and Stronghold, should allow the Company to offset integration-related costs over time, this net benefit may not be achieved in the near term, or at all.</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57 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value of the Company’s common shares may decline because of Stronghold Transaction.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the Company’s common shares may decline because of the Stronghold Transaction if, among other things, the Combined Company is unable to achieve the expected growth in earnings or if the costs of integrating the two businesses are greater than expected. The market value also may decline if the Combined Company does not achieve the perceived benefits of the Stronghold Transaction as rapidly or to the extent anticipated by the market or if the effect of the Stronghold Transaction on Bitfarms’ business, financial position, results of operations or cash flows is not consistent with the expectations of financial or industry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 may be the target of securities class action and derivative lawsuits, which could result in substantial costs.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Operating History.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only a limited operating history upon which an evaluation of the Company and its prospects, as well as an investment in the Company’s common shares, can be based. The Company is subject to many risks common to venture enterprises, including under-capitalization, potential cash shortages and limitations with respect to personnel, financial and other resources. Although the Company has achieved profitable quarters in the past, to date, it has not maintained consistent profitability from period to period, and no assurances can be made that the Company will achieve consistent profitability in the near future, if ever. For the year ended December 31, 2024, the Company had a net loss from continuing operations of $48.6 million, which net losses were generated as the Company executed its business plan and expands its BTC Mining activities as BTC prices have at times been in a bear market. There is no assurance that the Company will be successful in achieving a return on shareholders’ investment or meeting other metrics of success, which is dependent on BTC prices, among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has an evolving business model and strategy.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its business model to continue to evolve in the future. As digital assets become more widely available, the Company expects its services and products to evolve to stay current with its industry. The Company’s growth strategy includes exploring the expansion and diversification of its revenue sources into new markets. Pursuant to that strategy, the Company is increasing its focus on diversification into high performance computing (“HPC”) and artificial intelligence (“AI”) solutions. The Company’s management team has limited or no experience in the HPC/AI industry and is expanding its team to include additional professionals, including external consultants, with such experience, but there is no guarantee that such efforts will be successful. Accordingly, the Company cannot offer any assurance that these or any other modifications to its business model and strategy will be successful or will not result in harm to its business. Such modifications may increase the complexity of its business and place significant strain on its management, personnel, operations, systems, technical performance, financial resources and internal financial control and reporting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58 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Company has an evolving business model and strategy.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Company may not be able to manage growth effectively, which could damage its reputation, limit its growth and adversely affect its operating results. Further, the Company cannot provide any assurance that it will successfully identify all emerging trends and growth opportunities within the digital assets industry, the HPC/AI market or other markets it may seek to expand into, and the Company may lose out on such opportunities. Any of the foregoing could have a material adverse effect on the Company’s business,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Dependence on Regulated Terms of Service and Electricity Rates Risks.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dependent on its ability to maintain reliable and economical sources of power to run its cryptocurrency Mining assets. The Company conducts Mining operations in the Province of Quebec (Canada), Washington State (United States), the state of Pennsylvania (United States), Paraguay and Argentina. The Company’s current and future operations and anticipated growth, and the sustainability of hydro electricity and natural gas at economical prices for the purposes of cryptocurrency Mining in multiple locations, poses certain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sources its energy from Hydro-Québec, Hydro-Sherbrooke, Hydro-Magog, the City of Baie-Comeau, Grant PUD, CLYFSA, PJM Interconnection and Generación Mediterranea S.A. Regulated power suppliers may be subject to public policy initiatives and economic development programs which may or may not support the Mining industry. Additionally, there may be significant competition in the cryptocurrency Mining industry for suitable locations with access to affordable power. There can be no assurance that electricity will continue to be provided in the future or not curtailed to accommodate other users or otherwise made available on terms which are economic for the Company’s current and future operations, anticipated growth, and sustainability. Long- and short-term power prices may also fluctuate substantially due to other factors outside of our control,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generation capacity in our markets, including changes in the supply of power as a result of the development of new plants, expansion or reduction of existing plants, the continued operation of uneconomic power plants due to state subsidies, or additional or reduced transmission capacity;</w:t>
            </w:r>
          </w:p>
        </w:tc>
      </w:tr>
    </w:tbl>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regulations and legislation;</w:t>
            </w:r>
          </w:p>
        </w:tc>
      </w:tr>
    </w:tbl>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supply disruptions, including plant outages and transmission disruptions;</w:t>
            </w:r>
          </w:p>
        </w:tc>
      </w:tr>
    </w:tbl>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power transmission infrastructure;</w:t>
            </w:r>
          </w:p>
        </w:tc>
      </w:tr>
    </w:tbl>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price volatility;</w:t>
            </w:r>
          </w:p>
        </w:tc>
      </w:tr>
    </w:tbl>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transportation capacity constraints or inefficiencies;</w:t>
            </w:r>
          </w:p>
        </w:tc>
      </w:tr>
    </w:tbl>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new fuels, new technologies, and new forms of competition for the production of power;</w:t>
            </w:r>
          </w:p>
        </w:tc>
      </w:tr>
    </w:tbl>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 including judicial decisions;</w:t>
            </w:r>
          </w:p>
        </w:tc>
      </w:tr>
    </w:tbl>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 conditions, including extreme weather conditions and seasonal fluctuations;</w:t>
            </w:r>
          </w:p>
        </w:tc>
      </w:tr>
    </w:tbl>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demand for power or in patterns of power usage;</w:t>
            </w:r>
          </w:p>
        </w:tc>
      </w:tr>
    </w:tbl>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political conditions;</w:t>
            </w:r>
          </w:p>
        </w:tc>
      </w:tr>
    </w:tbl>
    <w:tbl>
      <w:tblPr>
        <w:tblW w:w="3858" w:type="dxa"/>
        <w:jc w:val="left"/>
        <w:tblInd w:w="0" w:type="dxa"/>
        <w:tblLayout w:type="fixed"/>
        <w:tblCellMar>
          <w:top w:w="0" w:type="dxa"/>
          <w:left w:w="0" w:type="dxa"/>
          <w:bottom w:w="0" w:type="dxa"/>
          <w:right w:w="0" w:type="dxa"/>
        </w:tblCellMar>
      </w:tblPr>
      <w:tblGrid>
        <w:gridCol w:w="38"/>
        <w:gridCol w:w="17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and demand for energy commodities;</w:t>
            </w:r>
          </w:p>
        </w:tc>
      </w:tr>
    </w:tbl>
    <w:tbl>
      <w:tblPr>
        <w:tblW w:w="5000" w:type="pct"/>
        <w:jc w:val="left"/>
        <w:tblInd w:w="0" w:type="dxa"/>
        <w:tblLayout w:type="fixed"/>
        <w:tblCellMar>
          <w:top w:w="0" w:type="dxa"/>
          <w:left w:w="0" w:type="dxa"/>
          <w:bottom w:w="0" w:type="dxa"/>
          <w:right w:w="0" w:type="dxa"/>
        </w:tblCellMar>
      </w:tblPr>
      <w:tblGrid>
        <w:gridCol w:w="118"/>
        <w:gridCol w:w="268"/>
        <w:gridCol w:w="9819"/>
      </w:tblGrid>
      <w:tr>
        <w:trPr/>
        <w:tc>
          <w:tcPr>
            <w:tcW w:w="118"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98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supply chain disruption of electrical components needed to transmit energy;</w:t>
            </w:r>
          </w:p>
        </w:tc>
      </w:tr>
    </w:tbl>
    <w:tbl>
      <w:tblPr>
        <w:tblW w:w="5000" w:type="pct"/>
        <w:jc w:val="left"/>
        <w:tblInd w:w="0" w:type="dxa"/>
        <w:tblLayout w:type="fixed"/>
        <w:tblCellMar>
          <w:top w:w="0" w:type="dxa"/>
          <w:left w:w="0" w:type="dxa"/>
          <w:bottom w:w="0" w:type="dxa"/>
          <w:right w:w="0" w:type="dxa"/>
        </w:tblCellMar>
      </w:tblPr>
      <w:tblGrid>
        <w:gridCol w:w="72"/>
        <w:gridCol w:w="324"/>
        <w:gridCol w:w="9809"/>
      </w:tblGrid>
      <w:tr>
        <w:trPr/>
        <w:tc>
          <w:tcPr>
            <w:tcW w:w="7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w:t>
            </w:r>
          </w:p>
        </w:tc>
        <w:tc>
          <w:tcPr>
            <w:tcW w:w="98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of competitively priced alternative energy sources;</w:t>
            </w:r>
          </w:p>
        </w:tc>
      </w:tr>
    </w:tbl>
    <w:tbl>
      <w:tblPr>
        <w:tblW w:w="5000" w:type="pct"/>
        <w:jc w:val="left"/>
        <w:tblInd w:w="0" w:type="dxa"/>
        <w:tblLayout w:type="fixed"/>
        <w:tblCellMar>
          <w:top w:w="0" w:type="dxa"/>
          <w:left w:w="0" w:type="dxa"/>
          <w:bottom w:w="0" w:type="dxa"/>
          <w:right w:w="0" w:type="dxa"/>
        </w:tblCellMar>
      </w:tblPr>
      <w:tblGrid>
        <w:gridCol w:w="90"/>
        <w:gridCol w:w="402"/>
        <w:gridCol w:w="9713"/>
      </w:tblGrid>
      <w:tr>
        <w:trPr/>
        <w:tc>
          <w:tcPr>
            <w:tcW w:w="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w:t>
            </w:r>
          </w:p>
        </w:tc>
        <w:tc>
          <w:tcPr>
            <w:tcW w:w="97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ability to procure satisfactory levels of inventory; </w:t>
            </w:r>
          </w:p>
        </w:tc>
      </w:tr>
    </w:tbl>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w:t>
            </w:r>
          </w:p>
        </w:tc>
        <w:tc>
          <w:tcPr>
            <w:tcW w:w="9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capacity prices and capacity markets.</w:t>
            </w:r>
          </w:p>
        </w:tc>
      </w:tr>
    </w:tbl>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59 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Economic Dependence on Regulated Terms of Service and Electricity Rates Risks.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any suspension or cessation of power supply, failure of electrical networks, or changes in cost structure which are not economic, in the jurisdictions where the Company utilizes power for its operations, could result in a material adverse effect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Quebec, Canada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operations are dependent on its ability to maintain reliable and economical sources of power to run its cryptocurrency Mining assets. Until the adoption of Bill-2, on February 15, 2023, the Province of Quebec mandated electric power distributors to supply their customers under the obligation to serve power delivery regime; however, Bill-2 amended the Act respecting the </w:t>
      </w:r>
      <w:r>
        <w:rPr>
          <w:rFonts w:ascii="Times New Roman;Times;Serif" w:hAnsi="Times New Roman;Times;Serif"/>
          <w:b w:val="false"/>
          <w:i/>
          <w:caps w:val="false"/>
          <w:smallCaps w:val="false"/>
          <w:sz w:val="20"/>
        </w:rPr>
        <w:t>Régie de l’énergie du Québec</w:t>
      </w:r>
      <w:r>
        <w:rPr>
          <w:rFonts w:ascii="Times New Roman;Times;Serif" w:hAnsi="Times New Roman;Times;Serif"/>
          <w:b w:val="false"/>
          <w:i w:val="false"/>
          <w:caps w:val="false"/>
          <w:smallCaps w:val="false"/>
          <w:sz w:val="20"/>
        </w:rPr>
        <w:t xml:space="preserve"> (the “Régie”) by giving the Government of Quebec the power to determine by regulation the cases in which Hydro-Québec, or any other electric power distributor, may be exempt from their obligation to provide electricity to industrial clients in the Province of Quebec.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electricity supplied directly by Hydro-Québec is set by a provincial administrative tribunal, the Quebec Energy Board. Hydro-Québec supplies power to certain of the Company’s data centers, and to the Municipal Electrical Networks for the Magog, Baie-Comeau and Sherbrooke data centers. The rates imposed on Hydro-Québec by the Régie are subject to change. Although power is supplied by Municipal Networks to the Company, the rates in those contracts are adjusted in response to tariff changes imposed by the Régie. Modifications to the rates are set pursuant to the Hydro-Québec Act by operation of law on April 1st each year, by a rate corresponding to the annual change in the overall average Quebec consumer price index, on a tariff class basis such that any adjustment would apply equally to all industrial clients, which includes CB tariff users (for Cryptocurrency Mining), M tariff users or LG tariff users regardless of end use.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Quebec in three Steps: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Step 1: On July 13, 2018, the Régie provisionally ordered that a new tariff be established for cryptocurrency miners, and, on July 19, 2018, the Régie approved a provisional tariff of CAD$0.15/kWh on data centers built after that date. Under Step 1, the new tariff cannot be applied to any cryptocurrency contracts entered into prior to June 7, 2018, or data centers constructed prior to July 19, 2018. Therefore, Step 1 didn’t have an impact on the Company’s pre-existing operations and secured existing rates until the completion of Phase 3.</w:t>
            </w:r>
          </w:p>
        </w:tc>
      </w:tr>
    </w:tbl>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60 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Economic Dependence on Regulated Terms of Service and Electricity Rates Risks.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Quebec, Canada </w:t>
      </w:r>
      <w:r>
        <w:rPr>
          <w:rFonts w:ascii="Times New Roman;Times;Serif" w:hAnsi="Times New Roman;Times;Serif"/>
          <w:b w:val="false"/>
          <w:i w:val="false"/>
          <w:caps w:val="false"/>
          <w:smallCaps w:val="false"/>
          <w:sz w:val="20"/>
        </w:rPr>
        <w:t>(Continued)</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Step 2: 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would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would be required to participate in the call for tenders process. However, the Régie’s decision also meant that the Company’s pre-existing operations in the Province of Quebec would remain subject to the M or LG tariff in force, as the case may be, and they were exempt from the tender process as well as the provisional tariff of CAD$0.15/kWh which had been requested by Hydro-Québec. The provisional tariff would apply to energy consumption not previously authorized under cryptocurrency contracts, to those cryptocurrency contracts entered into after June 7, 2018 and to any substitution of use or any increase of capacity for crypto miners not already under authorized cryptocurrency contracts. The decision of the Régie did impose the potential requirement to curtail electricity use (of up to 95%) during peak hours at Hydro-Québec’s request (up to a maximum of 300 hours a year) under all cryptocurrency contracts including those at the Company’s pre-existing operations at the already operating data center in Quebec. A shut down of 95% of operations for the maximum of 300 hours could result in a revenue decrease of approximately 3.4%.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Step 3: On January 28, 2021, the Régie rendered its decision on Step 3 of the request filed by Hydro-Québec. The Régie decided that the existing subscriptions on the Hydro-Québec network were to be subject to non-firm service, starting in Winter 2021-2022. The non-firm service applies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existing clients, such as the Company, had already executed agreements with municipal electricity networks with non-firm service (without financial compensation) for at least 300 hours per year;</w:t>
            </w:r>
          </w:p>
        </w:tc>
      </w:tr>
    </w:tbl>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new clients entering the market through the call for tenders process would be subject to non-firm service without financial compensation. The treatment of those new clients must be fair and equitable with existing clients; and</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load shedding for 300 hours was estimated to represent only 3.4% of the 8,760 hours in a year. The Régie did not consider this request unreasonable considering the risks that cryptocurrency clients represent for Hydro-Québec.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Step 3 decision, the Company’s operations are on a non-firm service basis for a maximum of 300 hours per year. Consequently, the main difference between the CB tariff and the M or LG tariff is the curtailment obligation applicable to the CB tariff.</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61 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Economic Dependence on Regulated Terms of Service and Electricity Rates Risks.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Quebec, Canada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2022, the Régie rendered a decision confirming the decision rendered in Step 3, resulting in the application of the non-firm service to the Company’s Data Centers in Quebec.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2022, the Company filed with the Régie an administrative complaint against Hydro-Québec requesting information regarding the process for the allocation of the balance of the 300 MW block. The filing of this complaint was justified by the fact that Hydro-Québec, at the time of filing and more than 6 months after the decision rendered by the Régie in Step 3, had still not put in place the allocation process approved by the Régie.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2022, Hydro-Québec responded to the Company’s administrative complaint confirming that the allocation process of the 300 MW block would be opened in September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2022, Hydro-Québec submitted to the Régie its Supply Plan for the period 2023 to 2032 and requested the Régie authorize the suspension of the allocation process for the granting of the balance of the 300 MW reserved block and to reassess the amount of MWs to be allocated to crypto miners for future operations. The Company has actively participated in the regulatory process on the approval, by the Régie, of the Supply Plan and has challenged Hydro-Québec’s request to suspend the allocation of the 300 MW block.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2023, the Régie rendered its decision on Hydro-Québec’s request to suspend the allocation process for the granting of the 300 MW reserved block. The Régie decided to suspend the allocation process while it assessed the Supply Plan submitted by Hydro-Québec. The Company did not challenge this decision but has strongly challenged Hydro-Québec’s request to reduce the amount of power allocated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9, 2023, the Régie approved the reduction to zero MW for the remaining quantity of the reserved block, which totaled approximately 270MW at the time. In addition, the Régie decided to maintain the 32.6 MW of the reserved block that had already been allocated to CB tariff clients. The Régie considered that the potential reallocation of the quantities currently held by these customers in case of their subscriptions being abandoned or cancelled could enable certain companies to continue their development or a few new CB tariff customers to be served. The Régie requested Hydro-Québec to amend the </w:t>
      </w:r>
      <w:r>
        <w:rPr>
          <w:rFonts w:ascii="Times New Roman;Times;Serif" w:hAnsi="Times New Roman;Times;Serif"/>
          <w:b w:val="false"/>
          <w:i/>
          <w:caps w:val="false"/>
          <w:smallCaps w:val="false"/>
          <w:sz w:val="20"/>
        </w:rPr>
        <w:t>Conditions of Service for Cryptographic Use Applied to Blockchains</w:t>
      </w:r>
      <w:r>
        <w:rPr>
          <w:rFonts w:ascii="Times New Roman;Times;Serif" w:hAnsi="Times New Roman;Times;Serif"/>
          <w:b w:val="false"/>
          <w:i w:val="false"/>
          <w:caps w:val="false"/>
          <w:smallCaps w:val="false"/>
          <w:sz w:val="20"/>
        </w:rPr>
        <w:t xml:space="preserve"> and propose a new process for the eventual reallocation of the MW that could become available from the 32.6 MW reserved block already allocated. Hydro-Québec requested, and the Régie accepted, that such new process be presented on or before January 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Company’s complaint was suspended at the request of the parties while the Company and Hydro-Québec entered into direct discussions. On January 17, 2024, after settlement discussions proved to be unsuccessful, the Company requested the reactivation of the complaint and that a date of hearing be fixed. On June 5, 2024, the Company decided to withdraw the complaint, following discussions with Hydro-Quebec.</w:t>
      </w:r>
    </w:p>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62 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Economic Dependence on Regulated Terms of Service and Electricity Rates Risks.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Quebec, Canada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September 20, 2023, Hydro-Québec and the Municipal Electrical Networks were authorized to offer preferential rates in an effort to encourage investment and development in particular regions. Hydro-Québec and Municipal Electrical Networks offered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Cowansville Data Center is subject to a preferential rate of 5% on its first 5 MW of power; and the Farnham Facility is subject to a preferential rate of 20% on its first 10 MW of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Washington State, United States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2021, the Company completed the acquisition of a data center in Washington State, United States. The data center is powered by the Grant County Power Utility District (“Grant PUD”).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USD 2.100¢ per kWh for the first 50,000 kWh of consumption and USD 1.857¢ per additional kWh of consumption. Historically, rates for Schedule 7 have increased by an annual average of 1.27% per year. Effective February 1, 2023, Grant PUD’s commissioners authorized the addition of cryptocurrency Mining into the Evolving Industry Rate Schedule 17 (“Schedule 17”). The applicable rates for Schedule 17 are a demand charge for $28.18 per kW plus a variable component of 0.389¢ per kWh of consumption. Grant PUD may adjust the rate pricing with approval from its Board of Commissioners. An increase in the rates applicable to the Company’s electricity consumption in its operations in Washington State, United States, may adversely impact its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Paraguay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Company completed the construction of a 10 MW data center in Villarrica. The data center is powered by CLYFSA. CLYFSA is the only private energy distribution company in Paraguay which purchases energy from ANDE, the operator of Paraguay’s national electricity grid, and provides power to almost 15,000 residential and commercial customers in Villarrica.</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63 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Economic Dependence on Regulated Terms of Service and Electricity Rates Risks.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Paraguay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entered into two power purchase agreements in Paraguay for up to 150 MW of hydro power until December 31, 2027: up to 50 MW in Villarrica, in close proximity to the Company’s existing operations in Paraguay, and up to 100 MW in Yguazu, a new location close to the Itaipú dam, the third largest hydro-electric dam in the world. Hydro power at both locations will be provided by ANDE at a contracted cost of approximately $0.039 per kWh, before VAT, until December 31, 2027, and is not subject to annual inflationary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Argentina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commenced the construction of a 56 MW data center in Argentina (Rio Cuarto - Cordoba). Construction concluded during Q3 2022, and the site started operations gradually by adding 10MW modules at a time until September 2023, when it became fully operational. The data center receives electricity from Generacion Mediterranea S.A. (“GMSA”), one of the subsidiaries of Grupo Albanesi. Grupo Albanesi is an Argentine private corporate group focused on the energy market which provides natural gas and electrical energy to its clients from its multiple data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and Price Volatility of Cryptocurrencies.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profitability of the Company’s operations has been and will continue to be significantly affected by changes in the spot price of cryptocurrencies, specifically BTC. Cryptocurrency prices (and BTC prices in particular) are highly volatile, fluctuating due to numerous factors beyond the Company’s control, including speculation and incomplete information, rapidly changing investor sentiment, changes in technology, regulatory changes, fraudulent or malicious actors, media coverage of cryptocurrency, inflation and political or economic events, as well as market acceptance and demand for cryptocurrency. The market price of one BTC, in the Company’s principal market, ranged from approximately $39,507 to $106,141 during the year ended December 31, 2024 and ranged from approximately $16,600 to $44,700 during the year ended December 31, 2023. Although the Company partially hedges its investment in BTC, such hedging practices may not adequately protect the Company from BTC’s price volatility and surrounding risks.</w:t>
      </w:r>
    </w:p>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64 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Valuation and Price Volatility of Cryptocurrencies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does not use a formula or specific methodology to determine whether or when it will sell BTC that it holds, or the number of BTC it will sell. Rather, decisions to hold or sell BTC are currently determined by Management by analyzing forecasts and monitoring the market in real time. Such decisions, however well-informed, may result in untimely sales and even losses, adversely affecting an investment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have been a number of reforms to the regulation of the derivatives markets, both in the United States and internationally. These regulations, and any further changes thereto, or adoption of additional regulations, including any regulations relating to position limits on futures and other derivatives or margin for derivatives, could negatively impact the Company’s ability to hedge its portfolio in an efficient, cost-effective manner by, among other things, potentially decreasing liquidity in the forward commodity and derivatives markets or limiting the Company’s ability to utilize non-cash collateral for derivatives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Volatility may have an impact on the value of the Company’s inventory of cryptocurrencies and could result in margin calls on the Company’s long-term debt collateral BTC with NYDIG as described in Note 18 - </w:t>
      </w:r>
      <w:r>
        <w:rPr>
          <w:rFonts w:ascii="Times New Roman;Times;Serif" w:hAnsi="Times New Roman;Times;Serif"/>
          <w:b w:val="false"/>
          <w:i/>
          <w:caps w:val="false"/>
          <w:smallCaps w:val="false"/>
          <w:sz w:val="20"/>
        </w:rPr>
        <w:t>Long-term Debt</w:t>
      </w:r>
      <w:r>
        <w:rPr>
          <w:rFonts w:ascii="Times New Roman;Times;Serif" w:hAnsi="Times New Roman;Times;Serif"/>
          <w:b w:val="false"/>
          <w:i w:val="false"/>
          <w:caps w:val="false"/>
          <w:smallCaps w:val="false"/>
          <w:sz w:val="20"/>
        </w:rPr>
        <w:t xml:space="preserve">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Supplier Risks.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using certain Miners or otherwise alter its operations and may encounter delays. In addition, the Company may in the future be held directly or indirectly responsible, or be otherwise subject to liability, for actions or omissions of third parties undertaken in connection with the Company’s arrangements with such third parties. Any such responsibility or liability in the future may have a material adverse effect on the Company’s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Competing Blockchain Platforms or Technologies and Alternatives to Bitcoin.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acceptance of competing blockchain platforms or technologies may cause industry participants and consumers to abandon BTC. As BTC is the only digital asset the Company mines, it could face difficulty adapting to emergent digital ledgers, blockchains or alternatives thereto. This could prevent the Company from realizing the anticipated profits from its investments. Such circumstances could have a material adverse effect on the Company’s business, financial condition, results of operations and the value of any BTC mined or otherwise acquired or held for the Company’s own account.</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65 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Halving Event.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BTC reward for solving a block is subject to periodic incremental halving. Halving is a process designed to control the overall supply and reduce the risk of inflation in BTC using a proof of work consensus algorithm. At a predetermined block, the Mining reward is cut in half, hence the term “halving”. The BTC blockchain has undergone halvings three times since its inception. Most recently, in April 2024, the BTC Block Reward decreased from 6.25 to 3.125 BTC per block (a “BTC Halving”), and, consequently, the number of new BTC issued to Miners as a subsidy decreased to approximately 450 per day, excluding transaction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BTC Halving is scheduled to occur once every 210,000 blocks, or roughly every four years, until the total amount of BTC rewards issued reaches 21 million. Once 21 million BTC are generated, the network will stop producing more. The next BTC Halving is expected to occur around March 2028, at which time BTC Block Rewards will decrease from 3.125 BTC per block to 1.5625 BTC per block. While BTC prices have had a history of price fluctuations around BTC Halving events, there is no guarantee that the price change will be favorable or would compensate for the reduction in Mining reward and the corresponding decrease in the compensation the Company receives from the Mining Pool(s) in which it participates.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BTC price and difficulty do not adjust to pre-BTC Halving profitability levels over time, or take longer than expected to adjust, there is a risk that a future BTC Halving will render the Company unprofitable for a sustained time period such that it could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Insolvency, Bankruptcy, or Cessation of Operations of Mining Pool Operator.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five years, Bitfarms has both mined independently and been a member of multiple third-party Mining Pool operators; however, as of the date hereof, the only Mining Pool operator that Bitfarms participates in is Foundry Pool. Consequently, the Company’s operations are substantially reliant on Foundry USA Pool and the terms of services and other terms and conditions that govern its relationship with Foundry USA Pool. Foundry USA Pool has the right to unilaterally modify the service agreement between it and the Company at any time without notice. This includes the right to modify the payout methodology or Mining Pool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Foundry USA Pool is owned indirectly by Digital Currency Group, which also owns Genesis Global Capital (“Genesis”). On January 19, 2023, Genesis filed for U.S. bankruptcy protection. In the event that Foundry USA Pool (or any other Mining Pool in which the Company participates) ceases making payments to Bitfarms for any reason, including bankruptcy, insolvency or cessation of its operations, or for no reason, or modifies its payout methodology or Mining Pool fees in a manner that is unattractive or unacceptable to Bitfarms, Bitfarms would expect to immediately cease contributing its Hash power to such Mining Pool operator and either: (i) join a different Mining Pool operator; or (ii) commence Mining without a Mining Pool operator. In the event that the Company is unable to make such a switch of its operations in a timely manner and its Mining operations experience significant down time, it may experience an adverse impact on its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control measure, monthly, the Company calculates the revenues it should earn based on its theoretical Hashrate and compares it to the payments the Company received from Foundry USA Pool. As of the date hereof, the Company has not identified any material discrepancies between its calculations and payments actually received from Foundry USA Pool. In the event that the Company identifies a material difference, the Company may have to engage in litigation and/or cease its relationship with Foundry USA Pool, either of which may have a material adverse effect on the Company.</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66 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 Pool Agreements Governed by Foreign Laws.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between the Company and Foundry USA Pool is governed by the laws of the State of New York. Furthermore, the Mining Pool agreement contains an arbitration provision that requires any dispute arising out of or relating to the Company’s agreement with Foundry Pool, or the breach thereof, to be finally resolved by arbitration before a single arbitrator in the City of New York, New York. The Company may be required to expend significant costs in order to undertake and complete any such arbitration, and there can be no guarantee of any successful outcome of such arbitration. Any such arbitration resulting in a decision unfavorable to Bitfarms may have an adverse impact on its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Mining.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conditions of the Foundry Pool to which the Company is subject, the Company has agreed to release, indemnify and hold Foundry Pool harmless from any and all losses, damages, and expenses, including reasonable attorneys’ fees, rights, claims, actions of any kind and injury (including death), arising out of or relating to the Company’s participation in Foundry Pool. In the event of any such losses, damages, or expenses, the Company may experience an adverse impact on its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Reliance on Manufacturing in Foreign Countries and the Importation of Equipment to the Jurisdictions in Which the Company Operates.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has previously enacted and has proposed to enact new tariffs (or increases of existing tariffs) on certain items imported from other countries. Following their enactment other countries have previously enacted or have proposed to enact new tariffs on imports of U.S. goods. Subsequently, the U.S. and various countries subject to those tariffs have engaged in trade negotiations and, in some instances, agreed to suspend or terminate certain tariffs. It is uncertain whether additional treaties or other trade policies will be enacted or modified by the U.S. or any other government or trade organization in the future. Future changes by the U.S. and foreign governments to trade or investment policies, treaties and tariffs, as well as fluctuations in exchange rates, or the perception that any these changes could occur could adversely affect third party manufacturers on which the Company relies, as well as the future of the Company’s relationships with those third-party manufacturers, which could have an adverse impact on the Company’s business, financial condition and results of operations. In addition, actions by foreign markets to implement further trade policy changes, including limiting foreign investment or trade, increasing regulatory scrutiny or taking other actions that apply to the jurisdictions in which the Company operates or in which third parties with which the Company does business operate, could negatively impact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67 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Threats and Breaches.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Threats to network and data security are increasingly diverse and sophisticated, and security breaches, computer malware and computer hacking attacks have been an increasing concern. Despite the Company’s efforts and processes in place to prevent them, its computer servers and systems may be vulnerable to cybersecurity risks, including denial-of-service attacks, physical or electronic break-ins, employee theft or misuse and similar disruptions from unauthorized tampering. As techniques used to breach security change frequently and are generally not recognized until launched against a target, the Company may not be able to promptly detect that a cyber breach has occurred, implement security measures in a timely manner or, when implemented, it may not be able to determine the extent to which these measures could be circumvented.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developments in the cyber threat landscape include the use of AI and machine learning, as well as an increased number of cyber extortion and ransomware attacks, with the potential for higher ransom demand amounts and increasing sophistication and variety of ransomware techniques and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adoption of AI by the Company or by third parties may pose new security challenges. A party who is able to compromise the security measures on the Company’s networks or the security of its infrastructure could misappropriate the proprietary or sensitive information of the Company or employees, or cause interruptions or malfunctions in the Company’s operations. Such a compromise could be particularly harmful to the Company’s brand and reputation. The Company also may be required to expend significant capital and resources to protect against such threats or to alleviate problems caused by cyber breaches in its physical or virtual security systems. Any breaches that may occur in the future could expose the Company to increased risk of lawsuits, regulatory penalties, loss of potential customers, damage relating to loss of proprietary information, harm to the Company’s reputation, and increases in security costs, which could have a material adverse effect on business, financial condition, and results of operations. The cybersecurity regulatory landscape continues to evolve and compliance with the proposed reporting requirements could further complicate the Company’s ability to resolve cyber-attacks While the Company currently does not maintain dedicated cyber risk insurance coverage, Company regularly evaluate the efficacy and commercial viability of such policies through our enterprise risk management framework, with formal reviews conducted annually. Comprehensive cyber risk coverage may be limited in availability, and even when implemented, may not fully cover all potential losses associated with cyber incidents.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68 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Fraud and Failure of Cryptocurrency Exchanges, Custodians and Other Trading Venues.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market prices depend, directly or indirectly, on the prices set on exchanges and other trading venues. As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and into early 2023 (namely, FTX Trading Ltd., Celsius Network LLC, BlockFi, Voyager Digital Ltd., Three Arrows Capital, and Genesis Global Holdco LLC), has impacted and may continue to impact the broader cryptocurrency ecosystem, including the Company. In response to these events, the digital asset markets, including the market for BTC specifically, have experienced extreme price volatility and several other entities in the digital asset industry have been, and may continue to be, negatively affected, further undermining confidence in the digital asset markets and in BTC. These events have also negatively impacted the liquidity of the digital asset markets and, in turn, the market price of shares of companies in the cryptocurrency industry, including the Company, as certain entities affiliated with bankrupt cryptocurrency exchanges engaged in significant trading activity. If the liquidity of the digital asset markets continues to be negatively impacted by these events, digital asset prices (including the price of BTC) may continue to experience significant volatility and confidence in the digital asset markets may be further undermined. These and similar events are ongoing and may occur with respect to other participants in the digital asset ecosystem in the future to develop, and it is not possible to predict at this time all of the risks that such events may pose to the Company, its service providers, the other third parties with which it does business or the digital asset industry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had no direct exposure to any of the above-mentioned cryptocurrency companies (other than BlockFi prior to the repayment by the Company of indebtedness under its equipment financing arrangement with BlockFi, as discussed in this MD&amp;A) nor any material assets that may not be recovered or may otherwise be lost or misappropriated due to the bankruptcies, the failure or insolvency of large exchanges may cause the price of BTC to fall and decrease confidence in the larger ecosystem, which could adversely affect an investment in the Company. Such market volatility has had a material and adverse effect on the Company’s results of operations and financial condition, and the Company expects its results of operations to continue to be affected by the price of BTC as the results of its operations are significantly tied to the price of BTC.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similar events have had, and, in the future, may have, an adverse impact on the profitability of the Company’s BTC Mining operations and the Company’s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cryptocurrency exchanges or other trading venues are involved in fraud or experience security failures or other operational issues in the future, cryptocurrency prices could be suddenly and adversely impacted. Furthermore, fraud or failure of the current and future custodians of the Company’s BTC or exchanges can result in a direct loss of the Company’s cryptocurrency and fiat currency assets, which loss may not be recoverable by the Company, whether under any insurance policies it has in place or otherwise.</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69 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History of De-centralized Financial System.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to traditional and existing centralized financial systems, the cryptocurrency financial system is relatively new and has a limited history. Online cryptocurrency exchanges and trades therein operate with comparatively little regulation and are particularly susceptible to platform failures and fraudulent activities, which may have an adverse effect on the underlying prices of cryptocurrencies. In fact, many of the largest online cryptocurrency exchanges have been compromised by hackers.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these and other factors, traditional banks and other banking institutions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industry difficult or impossible. The Company has experienced and may in the future experience such banking challenges, which could have a material adverse effect on the Company’s business, prospects or operations and potentially the value of any BTC or other cryptocurrencies the Company earns or otherwise acquires or holds for its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Related to Technological Obsolescence and Difficulty in Obtaining Hardware.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the Company will continue to monitor the state of available technology and invest in hardware and equipment required for maintaining and, as applicable, enhancing its operations and services.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whether at a price that is commercially acceptable to the Company or at all,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Cryptocurrency Network Difficulty and Impact of Increased Global Computing Power.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Difficulty is a measure of how difficult it is to solve the cryptographic hash that is required to validate a block of transactions and earn a cryptocurrency reward from Mining. As Mining companies produce more Hashrate and the BTC Network Hashrate is increased, the BTC Network Difficulty is adjusted upwards by requiring more Hashrate to be deployed to solve a block. Thus, Mining companies are further incentivized to grow their Hashrate to maintain or improve their chance of earning new BTC rewards. In theory, these dual processes should continually replicate themselves until the supply of available BTC is exhausted. In response, Mining companies have attempted to achieve greater Hashrate by deploying increasingly sophisticated, powerful and expensive Miners in ever greater quantities. If the price of BTC is not sufficiently high to allow the Company to fund its desired Hashrate growth, including through new Miner acquisitions, and if it is otherwise unable to access additional capital to acquire Miners, the Company’s Hashrate may stagnate and fall behind its competitors, potentially resulting in a decline in its revenues, which would have a material adverse effect on the Company’s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open-source structure of the BTC network protocol means the developers to the protocol are typically not directly compensated for their contributions in maintaining and developing the protocol. Failure to properly monitor and upgrade the BTC network protocol could damage the BTC network and could have a material adverse effect on the Company’s business, financial position and results of operations, and could cause the market value of the Company’s common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70 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businesses are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price volatility and, with respect to BTC, any future BTC Halvings, may make certain cryptocurrencies relatively unprofitable to mine compared to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cryptocurrency in certain jurisdictions has led some Mining companies to consider Paraguay as an attractive jurisdiction in which to operate, which may increase competition with the Company and its expansion efforts in Paraguay. Despite the Company’s strategic planning and expected advantages over certain of its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award of coins for solving blocks and any related transaction fees are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BTC may adversely affect their value and result in a reduction in the market price of BTC, which could adversely impact the value of the Company’s cryptocurrency holdings and investments. If miners choose to cease operations, there would be a reduction in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may compete with companies in the power generation industry. New parties may offer wholesale electricity bundled with other products or at prices that are below the Company’s rates. Other companies with which Bitfarms competes in power generation may have greater liquidity, greater access to credit and other financial resources, lower cost structures, more effective risk management policies and procedures, greater ability to incur losses or greater flexibility in the timing of their sale of generation capacity and ancillary services than Bitfarms does. Competitors may also have better access to subsidies or other out-of-market payments that put the Company at a competitive disadvantage.</w:t>
      </w:r>
    </w:p>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71 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Competition.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competitors in the power generation industry may be able to respond more quickly to new laws or regulations or emerging technologies, or to devote greater resources to marketing of wholesale power than Bitfarms can. In addition, current and potential competitors may make strategic acquisitions or establish cooperative relationships among themselves or with third parties. Accordingly, it is possible that new competitors or alliances among current and new competitors may emerge and rapidly gain significant market share. There can be no assurance that the Company will be able to compete successfully against current and future competitors in the power generation industry, and any failure to do so would have a material adverse effect on the Company’s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Uncertainty of acceptance and/or Widespread Use of Cryptocurrencies.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cryptocurrencies are not widely used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individuals to widely utilize currently available, and/or 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markets.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a company with operations in emerging markets entails certain inherent risks.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imports, exports, duties, currency, or other claims by government entities, including retroactive claims and/or changes in the administration of laws, policies and practices; (iii) 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72 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Emerging markets.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 which, in turn, may have a material adverse effect on the Company’s overall business, financial condition and results of operations, and/or the trading price of the Company’s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Company’s operations in Argentina are subject to frequent and unpredictable changes in tax rates, capital controls, and foreign exchange restrictions, which may restrict or affect the profitability of the Company’s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following which the government submitted a bill in order to maintain the 30% rate until the end of 2021 and to extend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data centers, prevent or restrict development and production at new or contemplated data centers and constrain the Company’s ability to receive distributions from its subsidiaries in those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Hazards Associated with the Operation of Power Generation Facilities, High-voltage Electricity Transmission and Industrial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the Company are subject to typical hazards associated with power generation, high-voltage electricity transmission and the supply of utilities to the data centers of the Company at an industrial scale. In particular, power generation involves hazardous activities, including acquiring, transporting and unloading fuel and operating large pieces of equipment. In addition to natural risks such as earthquakes, flood, lightning, hurricane and wind, other human-made hazards, such as nuclear accidents, dam failure, gas or other explosions, mine area collapses, fire, structural collapse, machinery failure and other dangerous incidents are inherent risks in the Company’s operations. These and other hazards can cause significant personal injury or loss of life, severe damage to and destruction of property, plant, equipment, and transmission lines, contamination of, or damage to, the environment and suspension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73 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Hazards Associated with the Operation of Power Generation Facilities, High-voltage Electricity Transmission and Industrial Operations.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Company’s employees and contractors work in, and the general public may be exposed to, potentially dangerous environments at or near certain of the Company’s operations. As a result, employees, contractors, and the general public are at risk for serious injury, including loss of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the Company considers adequate, but the Company cannot provide any assurance that its insurance will be sufficient or effective under all circumstances and against all hazards or liabilities to which the Company may be subject and, even if the Company does have insurance coverage for a particular circumstance, the Company may be subject to a large deductible and maximum cap. A successful claim for which the Company is not fully insured could hurt its financial results and materially harm its financial condition.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Increases in Commodity Prices or Reductions in the Availability of Such Commodities.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and intends to continue using certain commodities in its current and future cryptocurrency Mining operations, including hydro-electricity, coal refuse,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recent geopolitical events have had an inflationary effect on the cost of natural gas, the duration and future magnitude of which are difficult to predict given the fluidity of the military conflict, the novelty of sanctions against Russia and the possibility of yet harsher sanctions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Profits/Losses and Production Revenues/Expenses.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development and acquisitions of data centers, and the ongoing operation of the Company’s existing data centers, will require additional capital to fund expenses. The Company’s operating expenses and capital expenditures may also increase in future years as it adds consultants, personnel and equipment associated with the maintenance of its data centers and any other data centers the Company may acquire or develop, potentially leading to a decrease in the Company’s profits if its revenues do not increase correspondingly. The Company may not be successful in obtaining the required financing for these or other purposes, including for general working capital.</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74 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Natural or man-made events may cause power production to fall below expectations.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electricity generation depends upon its ability to maintain the working order of its coal refuse power generation facility. A natural or man-made disaster, severe weather such as snow and ice storms, or accident could impede the Company’s ability to access the coal refuse that is necessary for its plant to operate, damage its transmission line preventing the Company from distributing power to the PJM grid and its Miners or require the Company to shut down its plant or related equipment, services and facilities. To the extent the Company experiences a prolonged interruption at its plant or a transmission outage due to natural or man-made events, the Company’s electricity generation levels could materially decrease. The Company may also incur significant repair and clean-up costs associated with these events. The effect of the failure of the plant to operate as planned as described above could have a material adverse effect on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 may not be able to operate the power generation facility as planned, which may increase its expenses and decrease its revenues and have an adverse effect on its financial performance.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 of the power generation facility, information technology systems and other assets and conduct of other activities subjects the Company to a variety of risks, including the breakdown or failure of equipment, plant downtimes and related maintenance costs, accidents, security breaches, viruses or outages affecting information technology systems, labor disputes, obsolescence, delivery/transportation problems and disruptions of fuel supply and performance below expected levels. These events may impact the Company’s ability to conduct its businesses efficiently and lead to increased or unexpected costs, expenses or losses. Planned and unplanned outages at the Company’s power generation facilities may require the Company to purchase power at then-current market prices to satisfy its commitments or, alternatively, pay penalties and damages for failure to satisfy them. Having to purchase power at then-market rates could also have a negative impact on the cost structure of certain of the Company’s compute power operations dedicated to mining.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maintains customary insurance coverage for certain of these risks, no assurance can be given that such insurance coverage will be sufficient to compensate the Company fully in the event losses occur and no assurance can be given that such insurance coverage will be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 is exploring using its beneficial ash to capture carbon, but there is no assurance that it will be able to monetize such opportunities.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produces beneficial ash, as a byproduct of the combustion process in its two plants. Bitfarms is exploring opportunities in carbon capture to see if its beneficial ash can capture CO2 from ambient air. Bitfarms is in the early stages of installing direct air capture pilot units at its Scrubgrass Plant, following prior lab-controlled testing by a third-party. The Company does not have sufficient data from its pilot unit to determine the amount of CO2 that can be captured. The Company expects to incur additional costs and expenses with establishing and running its pilot program, and if the Company ultimately decides to expand the program, such costs and expenses may be material. The Company is also exploring opportunities to monetize its carbon capture process, including sales of carbon credits in the private market or applying for certain tax credits. However, the pilot program is in its early stages, and the Company cannot make any assurances as to how successful the program may be.</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75 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Company’s contemplated carbon capture program is anticipated to be cash flow negative for the foreseeable future as the Company builds out the necessary infrastructure.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project could comprise a meaningful share of the Company’s cash flow. The Company is not expecting to generate meaningful revenues from its contemplated carbon capture program until, at the earliest, late 2025 or 2026. In the interim, the Company will be incurring costs for the testing and development of the carbon capture infrastructure, including to see, if successful, whether the process is replicable on a larger scale. Although Bitfarms believes that the program could be profitable over time, there are numerous risks and uncertainties that make its timing and quantification difficult to accurately predict. The financial impact of the Company expending capital on these activities before realizing cash flows could negatively impact the Company’s financial condition and operational results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inability to qualify for, obtain, monetize or otherwise benefit from Section 45Q tax credits could materially reduce its ability to develop carbon capture and sequestration projects and, as a result, may adversely impact its business, results of operations and financial condition.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successfully monetize its carbon capture program may depend on its ability to benefit from certain financial and tax incentives. In particular, on August 16, 2022, the Inflation Reduction Act (“IRA”) was enacted in the United States, which, among other things, expanded opportunities to earn tax credits provided under Section 45Q of the Internal Revenue Code of 1986, as amended (the “Code” and such credits, “Section 45Q tax credits”), which generally provides a tax credit for qualified CO2 that is captured using carbon capture equipment and disposed of in secure geological storage or utilized in a manner that satisfies a series of regulatory requirements. The availability or nature of any additional future guidance with respect to the Section 45Q tax credit, and the potential for any other legislative or regulatory changes, is not fully known and the tax law is subject to change and to regulatory guidance which may be unfavorable for the Company. The Company is exploring whether its carbon capture initiatives are eligible to qualify for Section 45Q tax credits. The earliest the Company would be in position to qualify for Section 45Q tax credits is 2025, or more likely, in 2026, if the Company is able to qualify for Section 45Q tax credits at all. Qualification for Section 45Q tax credits requires satisfaction of the applicable statutory and regulatory requirements, including, for example, that the Company use carbon capture equipment to capture qualified CO2 and that the Company physically or contractually ensures the disposal of the qualified CO2 in secure geological storage or, if the Company pursues the CO2 utilization credit under Section 45Q of the Code, that it utilizes the qualified CO2, and that such utilization is characterized and verified by a lifecycle analysis. The amount of Section 45Q tax credits from which the Company may benefit is dependent upon, among other things, its ability to satisfy certain wage and apprenticeship requirements, which the Company cannot assure you that it will satisfy. The Company cannot make any assurances that it will be successful in satisfying such requirements or otherwise qualifying for or obtaining the Section 45Q tax credits currently available or that it will be able to effectively benefit from such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Bitfarms management team has limited experience with carbon capture programs and initiatives.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Bitfarms management team have limited experience with carbon capture programs, initiatives, and the related and required infrastructure to develop such programs or initiatives. The Bitfarms management team may not successfully or efficiently manage the Company’s carbon capture programs or initiatives. These new obligations to potentially develop and manage the Company’s carbon capture programs and initiatives will require significant attention from the Bitfarms management team and other employees and could divert their attention away from the day-to-day management of other aspects of the business, which could adversely affect the Company’s business and financial performance.</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76 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 is dependent on third-parties, including consultants, contractors and suppliers to develop and advance its carbon capture program and initiatives, and failure to properly manage these relationships, or the failure of these consultants, contractors and suppliers to perform as expected, could have a material adverse effect on the Company’s business, prospects or operations.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relies on third-party consultants, contractors and suppliers to assist with the development of its carbon capture program and initiatives. The Company has no assurance that business interruptions will not occur as a result of the failure by these or consultants, contractors or suppliers to perform as expected. The Company cannot ensure that its consultants, contractors or suppliers will continue to perform services to its satisfaction or on commercially reasonable terms. The recent increased demand for carbon capture components and services may limit the supply of components that brokers may source for the Company. The Company’s consultants, contractors or suppliers may also decline the Company’s orders to fulfill those of the Company’s competitors, putting the Company at competitive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resource constraints or regulatory actions could also impact the Company’s ability to obtain and receive components needed to advance its carbon capture program and initiatives. If the Company’s consultants, contractors or suppliers are not able to provide the agreed services at the level of quality and quantity Bitfarms requires, the Company may not be able to replace such consultants, contractors and suppliers in a timely manner. Any delays, interruption or increased costs could have a material adverse effect on the Company’s business, prospects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Center Developments.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continued development of existing and planned data centers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See Note 7 - </w:t>
      </w:r>
      <w:r>
        <w:rPr>
          <w:rFonts w:ascii="Times New Roman;Times;Serif" w:hAnsi="Times New Roman;Times;Serif"/>
          <w:b w:val="false"/>
          <w:i/>
          <w:caps w:val="false"/>
          <w:smallCaps w:val="false"/>
          <w:sz w:val="20"/>
        </w:rPr>
        <w:t>Expansion Projects</w:t>
      </w:r>
      <w:r>
        <w:rPr>
          <w:rFonts w:ascii="Times New Roman;Times;Serif" w:hAnsi="Times New Roman;Times;Serif"/>
          <w:b w:val="false"/>
          <w:i w:val="false"/>
          <w:caps w:val="false"/>
          <w:smallCaps w:val="false"/>
          <w:sz w:val="20"/>
        </w:rPr>
        <w:t>, for a discussion of the status of the Company’s various development efforts, including, in particular, in Argentina and Paraguay.</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77 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success of the Company’s hosting business depends in large part on the Company’s ability to attract customers in a profitable manner.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the Company’s hosting business depends in large part on the Company’s ability to earn BTC and to attract customers in a profitable manner, which the Company may not be able to do if:</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there is a reduction in the demand for BTC causing the price of BTC to fall and the demand for the Company’s hosted Mining solutions to be negatively impacted, reducing the Company’s revenue;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high energy costs, supply chain disruptions or government regulation compliance costs increase Mining costs and reduce revenue and profitability;</w:t>
            </w:r>
          </w:p>
        </w:tc>
      </w:tr>
    </w:tbl>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sz w:val="20"/>
              </w:rPr>
            </w:pPr>
            <w:r>
              <w:rPr>
                <w:sz w:val="20"/>
              </w:rPr>
              <w:t>the Company fails to provide competitive hosting terms or effectively market them to potential customers;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Company provides hosting services that are deemed by existing and potential customers or suppliers to be inferior to those of the Company’s competitors, or that fail to meet customers’ or suppliers’ ongoing and evolving program qualification standards, based on a range of factors, including available power, preferred design features, security considerations and connectivity;</w:t>
            </w:r>
          </w:p>
        </w:tc>
      </w:tr>
    </w:tbl>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the Company fails to successfully communicate the benefits of its services to potential customers;</w:t>
            </w:r>
          </w:p>
        </w:tc>
      </w:tr>
    </w:tbl>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sz w:val="20"/>
              </w:rPr>
            </w:pPr>
            <w:r>
              <w:rPr>
                <w:sz w:val="20"/>
              </w:rPr>
              <w:t>the Company is unable to provide services that its existing and potential customers desire; 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either the Company or its customers are unable to secure an adequate supply of new generation digital asset Mining equipment to host with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generates a meaningful share of its hosting revenue from a small number of customers, and the loss of, or a significant decrease in business from, a number of these customers and/or a failure to attract new customers could have a material adverse effect on the Company’s business, financial condition, and results of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generated a significant share of its hosting revenue from a small number of customers. Any failure to meet customer expectations could result in the cancellation or non-renewal of hosting contracts and loss of associated revenue. Any event leading to the early termination of a hosting contract, including, but not limited to, customer bankruptcy or force majeure events that disrupt facility operations or damage customer Miners, could result in the loss of revenue associated with those contracts. If the Company were unable to offset lost revenue by refilling vacant capacity with other Miners in the case of hosting customer churn or by repossessing Miners in the case of hosting customer default, it could have a material adverse effect on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78 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Price Fluctuations.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Company’s common shares fluctuates significantly in response to several factors, most of which the Company cannot control and many of which have not necessarily been related to the operating performance, underlying asset values or prospects of the Company. The market price of the Company’s common shares ranged from $1.49 to $3.61 on Nasdaq and CAD$2.13 to CAD$4.86 on the Toronto Stock Exchange from January 1, 2024, to December 31, 2024. Refer to “</w:t>
      </w:r>
      <w:r>
        <w:rPr>
          <w:rFonts w:ascii="Times New Roman;Times;Serif" w:hAnsi="Times New Roman;Times;Serif"/>
          <w:b w:val="false"/>
          <w:i/>
          <w:caps w:val="false"/>
          <w:smallCaps w:val="false"/>
          <w:sz w:val="20"/>
        </w:rPr>
        <w:t>Valuation and Price Volatility of Cryptocurrencies and Mining Equipment</w:t>
      </w:r>
      <w:r>
        <w:rPr>
          <w:rFonts w:ascii="Times New Roman;Times;Serif" w:hAnsi="Times New Roman;Times;Serif"/>
          <w:b w:val="false"/>
          <w:i w:val="false"/>
          <w:caps w:val="false"/>
          <w:smallCaps w:val="false"/>
          <w:sz w:val="20"/>
        </w:rPr>
        <w:t>” above for more details. Other factors that may impact the trading price of the Company’s common shares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sz w:val="20"/>
              </w:rPr>
            </w:pPr>
            <w:r>
              <w:rPr>
                <w:sz w:val="20"/>
              </w:rPr>
              <w:t>volatility in the price of Bitcoin;</w:t>
            </w:r>
          </w:p>
        </w:tc>
      </w:tr>
    </w:tbl>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sz w:val="20"/>
              </w:rPr>
            </w:pPr>
            <w:r>
              <w:rPr>
                <w:sz w:val="20"/>
              </w:rPr>
              <w:t>actual or anticipated fluctuations in the Company’s results of operations and/or future prospects;</w:t>
            </w:r>
          </w:p>
        </w:tc>
      </w:tr>
    </w:tbl>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sz w:val="20"/>
              </w:rPr>
            </w:pPr>
            <w:r>
              <w:rPr>
                <w:sz w:val="20"/>
              </w:rPr>
              <w:t>recommendations by securities research analysts;</w:t>
            </w:r>
          </w:p>
        </w:tc>
      </w:tr>
    </w:tbl>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sz w:val="20"/>
              </w:rPr>
            </w:pPr>
            <w:r>
              <w:rPr>
                <w:sz w:val="20"/>
              </w:rPr>
              <w:t>changes in the economic performance or market valuations of companies in the industry in which the Company operates;</w:t>
            </w:r>
          </w:p>
        </w:tc>
      </w:tr>
    </w:tbl>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sz w:val="20"/>
              </w:rPr>
            </w:pPr>
            <w:r>
              <w:rPr>
                <w:sz w:val="20"/>
              </w:rPr>
              <w:t>addition to or departure of the Company’s executive officers, directors, and/or other key personnel;</w:t>
            </w:r>
          </w:p>
        </w:tc>
      </w:tr>
    </w:tbl>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sz w:val="20"/>
              </w:rPr>
            </w:pPr>
            <w:r>
              <w:rPr>
                <w:sz w:val="20"/>
              </w:rPr>
              <w:t>additional sales or perceived sales of the Company’s common shares;</w:t>
            </w:r>
          </w:p>
        </w:tc>
      </w:tr>
    </w:tbl>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both"/>
              <w:rPr>
                <w:sz w:val="20"/>
              </w:rPr>
            </w:pPr>
            <w:r>
              <w:rPr>
                <w:sz w:val="20"/>
              </w:rPr>
              <w:t>operating and financial performance that vary from the expectations of management, securities analysts, and investors;</w:t>
            </w:r>
          </w:p>
        </w:tc>
      </w:tr>
    </w:tbl>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sz w:val="20"/>
              </w:rPr>
            </w:pPr>
            <w:r>
              <w:rPr>
                <w:sz w:val="20"/>
              </w:rPr>
              <w:t>regulatory changes affecting the Company’s industry generally and its business and operations;</w:t>
            </w:r>
          </w:p>
        </w:tc>
      </w:tr>
    </w:tbl>
    <w:tbl>
      <w:tblPr>
        <w:tblW w:w="7908" w:type="dxa"/>
        <w:jc w:val="left"/>
        <w:tblInd w:w="0" w:type="dxa"/>
        <w:tblLayout w:type="fixed"/>
        <w:tblCellMar>
          <w:top w:w="0" w:type="dxa"/>
          <w:left w:w="0" w:type="dxa"/>
          <w:bottom w:w="0" w:type="dxa"/>
          <w:right w:w="0" w:type="dxa"/>
        </w:tblCellMar>
      </w:tblPr>
      <w:tblGrid>
        <w:gridCol w:w="38"/>
        <w:gridCol w:w="17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announcements of developments and other material events by the Company or its competitors;</w:t>
            </w:r>
          </w:p>
        </w:tc>
      </w:tr>
    </w:tbl>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sz w:val="20"/>
              </w:rPr>
            </w:pPr>
            <w:r>
              <w:rPr>
                <w:sz w:val="20"/>
              </w:rPr>
              <w:t>fluctuations to the costs of vital products and services used by the Company in its business;</w:t>
            </w:r>
          </w:p>
        </w:tc>
      </w:tr>
    </w:tbl>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sz w:val="20"/>
              </w:rPr>
            </w:pPr>
            <w:r>
              <w:rPr>
                <w:sz w:val="20"/>
              </w:rPr>
              <w:t>changes in global financial markets, global economies, and/or general market conditions, such as interest rates;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significant acquisitions or business combinations, strategic partnerships, joint ventures, or capital commitments by or involving the Company or its competitors;</w:t>
            </w:r>
          </w:p>
        </w:tc>
      </w:tr>
    </w:tbl>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sz w:val="20"/>
              </w:rPr>
            </w:pPr>
            <w:r>
              <w:rPr>
                <w:sz w:val="20"/>
              </w:rPr>
              <w:t>litigation or regulatory action against the Company;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news reports, investor speculation, social media, chat rooms, and other methods of information dissemination concerning trends, concerns, technological, or competitive developments, regulatory matters, and other related issues in the Company’s industry or target markets;</w:t>
            </w:r>
          </w:p>
        </w:tc>
      </w:tr>
    </w:tbl>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sz w:val="20"/>
              </w:rPr>
            </w:pPr>
            <w:r>
              <w:rPr>
                <w:sz w:val="20"/>
              </w:rPr>
              <w:t>the level of short interest in the Company’s stock; and</w:t>
            </w:r>
          </w:p>
        </w:tc>
      </w:tr>
    </w:tbl>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sz w:val="20"/>
              </w:rPr>
            </w:pPr>
            <w:r>
              <w:rPr>
                <w:sz w:val="20"/>
              </w:rPr>
              <w:t>current and future global economic, political, and social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following periods of volatility in the market price of a company’s securities, securities class-action litigation has often been brought against that company. The Company may become the subject of such litigation in the future, which litigation may be expensive to defend and may divert Management’s attention and resources from the operation of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must comply with the continued listing requirements of the Toronto Stock Exchange, Nasdaq or any other securities exchange on which its securities are listed in the future to avoid its securities being delisted. A delisting from the Toronto Stock Exchange and/or Nasdaq would result in the Company’s common shares being eligible for quotation on the over-the-counter (OTC) market. The OTC’s lower trading volumes, transaction delays and reduced security analyst and news media coverage could contribute to lower prices and larger spreads in the bid and ask prices for the Company’s common shares.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79 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Capital Needs, Uncertainty of Additional Financing and Dilution.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cash of $59.6 million, compared to $84.0 million as of December 31, 2023. The Company expects to continue to depend upon selling BTC earned and in treasury and utilizing short-term debt, long-term debt and equity instruments to fund its ongoing expansion activities, operating expenses and debt service requirements. In connection with the Stronghold Transaction, the Company issued 59,866,852 common shares, and may, in its sole discretion, as part of future offerings, issue additional common shares and/or securities convertible into or exercisable for common shares from time to time subject to the rules of any applicable stock exchange on which the common shares are then listed and applicable securities law.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or private financing, strategic relationships or other arrangements. The ability of the Company to secure any required financing will depend in part upon prevailing capital market conditions and business success. There can be no assurance that the Company will be successful in its efforts to secure any additional financing on terms satisfactory to Management or at all. Even if such funding is available, the Company cannot predict the size of future issues of common shares or securities convertible into common shares or the effect, if any, that future issues and sales of common shares will have on the price of the Company’s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raises additional capital through the issuance of equity securities, the percentage ownership of the Company’s existing shareholders may be reduced, and such existing shareholders may experience additional dilution in net book value per share. Any such newly issued equity securities may also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and capital expenditures, increase the Company’s vulnerability to general adverse economic and industry conditions, place the Company at a competitive disadvantage compared to its competitors that have less debt, limit the Company’s ability to borrow additional funds, and otherwise subject the Company to the risks discussed under “</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below and heighten the possible effects of the other risks discussed in these risk factors. In connection with any such future capital raising transaction, whether involving the issuance of equity securities or the incurrence of indebtedness, the Company may be required to accept terms that restrict its ability to raise additional capital for a period of time, which may limit or prevent the Company from raising capital at times when it would otherwise be opportunistic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80 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various arrangements with short-term lenders as described in more detail in this MD&amp;A,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agreements governing the Company’s debt obligations may contain financial covenants and covenants that restrict the Company’s and its subsidiaries’ ability to:</w:t>
      </w:r>
    </w:p>
    <w:p>
      <w:pPr>
        <w:pStyle w:val="TextBody"/>
        <w:bidi w:val="0"/>
        <w:spacing w:before="0" w:after="0"/>
        <w:ind w:left="0" w:right="0" w:hanging="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sz w:val="20"/>
              </w:rPr>
            </w:pPr>
            <w:r>
              <w:rPr>
                <w:sz w:val="20"/>
              </w:rPr>
              <w:t>incur additional indebtedness or issue equity securities;</w:t>
            </w:r>
          </w:p>
        </w:tc>
      </w:tr>
    </w:tbl>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sz w:val="20"/>
              </w:rPr>
            </w:pPr>
            <w:r>
              <w:rPr>
                <w:sz w:val="20"/>
              </w:rPr>
              <w:t>create liens on the Company’s assets;</w:t>
            </w:r>
          </w:p>
        </w:tc>
      </w:tr>
    </w:tbl>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sz w:val="20"/>
              </w:rPr>
            </w:pPr>
            <w:r>
              <w:rPr>
                <w:sz w:val="20"/>
              </w:rPr>
              <w:t>pay dividends or make other equity distributions;</w:t>
            </w:r>
          </w:p>
        </w:tc>
      </w:tr>
    </w:tbl>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sz w:val="20"/>
              </w:rPr>
            </w:pPr>
            <w:r>
              <w:rPr>
                <w:sz w:val="20"/>
              </w:rPr>
              <w:t>repurchase the Company’s equity securities;</w:t>
            </w:r>
          </w:p>
        </w:tc>
      </w:tr>
    </w:tbl>
    <w:tbl>
      <w:tblPr>
        <w:tblW w:w="2358" w:type="dxa"/>
        <w:jc w:val="left"/>
        <w:tblInd w:w="0" w:type="dxa"/>
        <w:tblLayout w:type="fixed"/>
        <w:tblCellMar>
          <w:top w:w="0" w:type="dxa"/>
          <w:left w:w="0" w:type="dxa"/>
          <w:bottom w:w="0" w:type="dxa"/>
          <w:right w:w="0" w:type="dxa"/>
        </w:tblCellMar>
      </w:tblPr>
      <w:tblGrid>
        <w:gridCol w:w="38"/>
        <w:gridCol w:w="17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both"/>
              <w:rPr>
                <w:sz w:val="20"/>
              </w:rPr>
            </w:pPr>
            <w:r>
              <w:rPr>
                <w:sz w:val="20"/>
              </w:rPr>
              <w:t>make certain investments;</w:t>
            </w:r>
          </w:p>
        </w:tc>
      </w:tr>
    </w:tbl>
    <w:tbl>
      <w:tblPr>
        <w:tblW w:w="1443" w:type="dxa"/>
        <w:jc w:val="left"/>
        <w:tblInd w:w="0" w:type="dxa"/>
        <w:tblLayout w:type="fixed"/>
        <w:tblCellMar>
          <w:top w:w="0" w:type="dxa"/>
          <w:left w:w="0" w:type="dxa"/>
          <w:bottom w:w="0" w:type="dxa"/>
          <w:right w:w="0" w:type="dxa"/>
        </w:tblCellMar>
      </w:tblPr>
      <w:tblGrid>
        <w:gridCol w:w="38"/>
        <w:gridCol w:w="17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both"/>
              <w:rPr>
                <w:sz w:val="20"/>
              </w:rPr>
            </w:pPr>
            <w:r>
              <w:rPr>
                <w:sz w:val="20"/>
              </w:rPr>
              <w:t>sell assets; and</w:t>
            </w:r>
          </w:p>
        </w:tc>
      </w:tr>
    </w:tbl>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sz w:val="20"/>
              </w:rPr>
            </w:pPr>
            <w:r>
              <w:rPr>
                <w:sz w:val="20"/>
              </w:rPr>
              <w:t>consolidate, merge, sell or otherwise dispose of all or substantially all the Company’s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any such restrictive covenants, the Company could be limited in the manner in which it conducts its business, and it may be unable to engage in favorable business activities or finance future operations or capital needs. In addition, debt instruments may contain affirmative covenant obligations (e.g., debt to equity ratios, EBITDA requirements, etc.) that may constrain the Company’s financing opportunities and business activities. Any violation by the Company of any of such restrictive or affirmative covenants or failure by the Company to meet payment obligations (as was the case in early 2023 in respect of the Company’s strategic decision to delay the making of principal and interest payments on its previously outstanding loan from BlockFi) could provide the lender with the ability to accelerate the maturity of the indebtedness and exercise a variety of remedies, including foreclosing on any collateral securing the debt. The occurrence of any such violation by the Company and the exercise by its lenders of remedies with respect to any such violation could have a material adverse effect on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81 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Hedges.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actively engages in hedging practices with respect to its cryptocurrency holdings to lessen the impact of BTC volatility on the Company’s results of operations and financial condition and to optimize cryptocurrency monetization. Although the Company undertakes hedging activities on a risk adjusted basis, there can be no certainty that such activities will be profitable, and these activities could result in significant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hedging practices involve transactions with third parties. Any settlement delay or failure, security breach, incurred cost or loss of digital assets associated with the use of a counterparty could materially and adversely affect the execution of hedging strategies and result in significant losses. Although the Company maintains rigorous controls on the implementation and monitoring of hedging strategies, including its involvement with counterparties, there can be no assurance that such controls will be effective or timely or sufficient in operation to avoid or even reduce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Financial Conditions.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financial conditions over the last few years have been characterized by volatility, which has contributed to the bankruptcy of several financial institutions in the United States or the rescue thereof by governmental authorities. The continuation of such adverse economic conditions and other related factors may affect the ability of the Company to obtain equity or debt financing in the future on terms favorable to it, or at all, and may cause decreases in asset values that are deemed to be other than temporary, which may result in impairment losses. If such levels of volatility and market turmoil continue, the financial condition of the Company may suffer and the price of the Company’s common shares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engages in hedging practices with respect to its cryptocurrency holdings to lessen the impact of BTC volatility, and, in the future, the Company may enter into additional hedging transactions to mitigate its exposure to aspects of the economy or specific economic conditions that are particularly volatile, such as interest rates. Although hedging is expected to reduce the impact of these aforementioned risks, entering into hedging transactions may expose the Company to risks associated with such transactions. Hedging against a decline in the values of the Company’s assets caused by interest rate risk or volatile BTC market prices does not eliminate the possibility of fluctuations in the values of such positions or prevent losses if the values of such positions decline for other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82 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Retention and Growth.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depends on a number of key employees including, in particular, the members of the Company’s Management, the departure, death, disability or other extended loss of services of any of whom, particularly with little or no notice, could cause delays on projects, frustrate the Company’s growth prospects and have an adverse impact on the Company’s industry relationships, project exploration and development programs, other aspects of its business and its financial condition, results of operations, cash flow and prospects. The Company has not historically purchased, and, in the future, does not expect to purchase, key person insurance on such individuals, which insurance would provide the Company with insurance proceeds in the event of their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and development of the business of the Company also depends on its ability to attract and retain highly qualified management and Mining personnel while maintaining its corporate culture and technical standards. The Company faces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Noise Pollution and Community Opposition.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Mining operations involve the use of a large number of high-powered Miners and cooling systems that generate significant noise. This noise can pose several risks to the Company’s business including community complaints, reputational damage, litigation risk, regulatory risk, operational constraints, increased costs and opposition to expansion. These risks could lead to fines or penalties imposed by local governments, requirements to implement costly noise mitigation measures, restrictions on the Company’s operating hours, reduction of scale of the Company’s operations, stricter noise controls regulations on the Company’s operations, potential shutdown of data centers that cannot meet local noise regulations, damages resulting from lawsuits and difficulty obtaining necessary permits and approvals for expanding existing data centers or establishing new site operations. While the Company strives to be a good corporate citizen and mitigate noise impacts where possible, the inherently noisy nature of large-scale cryptocurrency Mining operations presents ongoing risks to the Company’s business that may negatively affect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Land reclamation requirements may be burdensome and expensive.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partnership with the PADEP and local environmental authorities to reclaim coal refuse piles. Reclamation may include requirements to control dispersion of potentially deleterious effluents, treat ground and surface water to drinking water standards and reasonably re-establish pre-disturbance landforms and vegetation. To carry out reclamation obligations, the Company must allocate financial resources that might otherwise be spent on implementing the Company’s business plan. If the costs associated with the Company’s reclamation work are higher than anticipated, the Company’s financial position could be adversely affected.</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83 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tax credits related to coal refuse power generation could have a material adverse effect on the Company’s business, financial condition, results of operations and future development efforts.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profitability of the Company’s operations at Scrubgrass and Panther Creek depends, in part, on the continued availability of state renewable energy tax credits offered by the Commonwealth of Pennsylvania,US through programs such as the one established under The Alternative Energy Portfolio Standards Act of 2004 or the Coal Refuse Energy and Reclamation Tax Credit Program established by Act 84 of July 13, 2016. These tax credit programs could be changed or eliminated as a result of state budget considerations or otherwise. Reduction or elimination of such credits could materially and adversely harm the Company’s business, financial condition, results of operations and future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combustion of coal refuse at the Company’s Scrubgrass and Panther Creek power generating facilities is subject to environmental, safety and energy transition risks that could result in significant liabilities and adversely impact the Company’s business, financial condition and results of operations.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and use of coal refuse as feedstock at its power generating facilities, including the combustion, storage, and transportation of coal refuse, present a series of environmental and human health and safety risks. Such risks, including the accidental release of coal refuse and other materials into the environment, among others, may not be fully avoidable and could cause the Company to incur significant clean-up costs and liabilities. The Company may not be able to recover some or any of these costs from insurance. The Company’s combustion of coal refuse is also subject to stringent federal, state and local laws and regulations governing air and water quality, hazardous and solid waste disposal and other environmental matters. Compliance with these requirements requires significant expenditures for the installation, maintenance and operation of pollution control equipment, monitoring systems and other equipment or facilities. Any policy initiatives or directives, either at the federal or state level, limiting the Company’s ability to use coal refuse as feedstock at its Scrubgrass and Panther Creek power generating facilities could adversely impact the Company’s operations and potentially reduce the extent of the Company’s business, any of which could have a material adverse effect on the Company’s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availability and cost of emission allowances due to the cost of coal refuse could adversely impact the Company’s costs of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maintain, through either allocations or purchases, sufficient emission allowances for sulfur dioxide, CO2 and NOx to support the Company’s operations in the ordinary course of operating its power generation facilities. These allowances are used to meet the obligations imposed on the Company by various applicable environmental laws. If the Company’s operational needs require more than its allocated allowances, the Company may be forced to purchase such allowances on the open market, which could be costly. If the Company is unable to maintain sufficient emission allowances to match its operational needs, the Company may have to curtail its operations so as not to exceed its available emission allowances or install costly new emission controls. As the Company uses the emission allowances that it has purchased on the open market, costs associated with such purchases will be recognized as operating expense. If such allowances are available for purchase, but only at significantly higher prices, the purchase of such allowances could materially increase the Company’s costs of operations in the affected markets.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84 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Regulations and Environmental Liability.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extensive environmental regulation by governmental authorities, including the US and Canadian federal, state, and provincial environmental agencies and attorneys general. The Company’s operations may be subject to foreign, federal, state, provincial, and local laws and regulations, related to air and water quality, hazardous and solid waste disposal, and other environmental matters. The Company may incur significant additional costs beyond those currently contemplated to comply with these regulatory requirements. If the Company fails to comply with these regulatory requirements, the Company could be forced to reduce or discontinue operations or become subject to administrative, civil, or criminal liabilities and fines. Existing environmental regulations could be revised or reinterpreted, new laws and regulations could be adopted or become applicable to the Company or its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threat of climate change continues to attract considerable attention in the United States and foreign countries and, as a result, the Company’s operations are subject to regulatory, political, litigation and financial risks associated with the use of fossil fuels, including coal refuse, and emission of GHGs. New or amended legislation, executive actions, regulations or other regulatory initiatives pertaining to GHG emissions and climate change could result in the imposition of more stringent standards and could result in increased compliance costs or costs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such requirements could result in the shutdown of a non-complying facility, the imposition of liens, fines, and/or civil or criminal liability and/or costly litigation before the agencies and/or in state of federal court. Additionally, political, financial and litigation risks may result in the Company restricting, delaying or canceling the extent of its business activities, incurring liability for infrastructure damages as a result of climatic changes, or impairing the ability to continue to operate in an economic manner. The regulatory environment has undergone significant changes in the last several years due to state and federal policies affecting wholesale competition and the creation of incentives for the addition of large amounts of new renewable generation and, in some cases, transmission. Fuel conservation measures, alternative fuel requirements and increasing consumer demand for alternative energy sources (such as Pennsylvania’s Tier I Alternative Energy Sources, including solar photovoltaic energy, wind power, and low-impact hydropower) that do not generally have the adverse environmental impact or regulatory scrutiny associated with the combustion of coal or other fossil fuels could also reduce demand for coal refuse power generation facility activities. The occurrence of one or more of these developments could have a material adverse effect on the Company’s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crypto asset Mining has become subject to increased scrutiny regarding its energy consumption and impact on global emissions. In the future, the EPA or other regulatory authorities may propose and finalize additional regulatory actions that may adversely affect the Company’s facilities, including its Scrubgrass and Panther Creek power generation facilities, or the Company’s ability to cost-effectively develop any new generation facilities.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85 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&amp; Analysis</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U.S. dollars, except where otherwise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RISK FACTORS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Environmental Regulations and Environmental Liability.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environmental activist groups and non-governmental organizations have also lobbied for emissions and energy use monitoring and reporting requirements for crypto asset Mining companies or even more extensive regulation of the crypto asset Mining sector. These efforts have the potential to lead to increased regulatory burdens on the Company’s Mining operations and cause the Company reputational harm by highlighting crypto asset Mining’s impact, however proportionate or disproportionate compared to other economic sectors, on global emissions. The Company is unable to predict whether currently proposed legislation or regulatory initiatives will be implemented, but any action by the jurisdictions in which the Company operates to restrict, limit, condition, or otherwise regulate its power production or crypto asset Mining operations, as part of a climate change or energy transition policy initiative or otherwise, could adversely affect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ceased to qualify as an “emerging growth company” as of December 31, 2024, and is required to comply with the auditor attestation requirements of Section 404(b) of the Sarbanes-Oxley 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was previously an “emerging growth company” as defined in the Jumpstart our Business Startups Act of 2012 and was able to take advantage of certain exemptions and relief from various reporting requirements that are applicable to other public companies that are not emerging growth companies. As an emerging growth company, Bitfarms was not required to comply with the auditor attestation requirements of Section 404(b) of the Sarbanes-Oxley Act of 2002 (the “Sarbanes-Oxley Act”). However, Bitfarms ceased to qualify as an emerging growth company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Bitfarms no longer qualifies as an emerging growth company, the exemption from the auditor attestation report requirements under Section 404(b) of the Sarbanes-Oxley Act no longer applies. Recent testing by Bitfarms conducted in connection with Section 404(b) of the Sarbanes-Oxley Act revealed a material weakness in its internal controls with respect to accounting for digital asset sales and warrants, which led to a restatement of the fiscal years ended December 31, 2023 and 2022 and the related management’s discussion and analysis for the year ended December 31, 2023, as well as the unaudited interim condensed consolidated financial statements for the three and nine months ended September 30, 2024 and 2023. Subsequent testing by Bitfarms’ independent registered public accounting firm conducted in connection with Section 404(b) of the Sarbanes-Oxley Act, may reveal further deficiencies in Bitfarms’ internal control over financial reporting that are deemed to be material weaknesses or that may require prospective or retroactive changes to Bitfarms’ financial statements or identify other areas for further attention or improvement. Any material weaknesses in internal controls could cause investors to lose confidence in Bitfarms’ reported financial information, which could have a negative effect on the trading price of Bitfarms common shares. In addition, preparation of the auditor’s attestation report and the cost of compliance with reporting requirements that Bitfarms has not previously implemented have increased, and will continue to increase, Bitfarms’ expenses and require significant management time, and investors may find Bitfarms common shares less attractive because of the additional compliance costs, which could have a negative impact on the trading price of Bitfarms common shares.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86 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business could be negatively impacted by unsolicited investor interest, takeover proposals, shareholder activism or proxy contests relating to the election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2024, Bitfarms received an unsolicited proposal from Riot to acquire 100% of the issued and outstanding common shares of Bitfarms (the “Unsolicited Proposal”). A special committee of the Board, consisting solely of independent directors (the “Bitfarms Special Committee”), considered the Unsolicited Proposal and determined it significantly undervalued Bitfarms and its growth prospects. On June 24, 2024, the Unsolicited Proposal was withdrawn; however, Riot requisitioned a special meeting of Bitfarms shareholders (the “Bitfarms Special Meeting”) for the purpose of replacing a majority of the Board with three of its nominees and initiated a hearing before the Capital Markets Tribunal of the Ontario Securities Commission. On September 3, 2024, Riot amended its requisition, instead seeking to replace two members of the Board with two of its nominees at the Bitfarms Special Meeting and also threatened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Bitfarms entered into a settlement agreement (the “Settlement Agreement”) with Riot, pursuant to which, among other things, Riot agreed to withdraw its June 24, 2024 requisition and to accept customary standstill provisions through Bitfarms’ 2026 annual meeting, subject to certain exceptions, and Bitfarms agreed to make certain changes to its Board, including the resignation of an existing director, the appointment of a nominee of the investor to the Board and the governance and nominating and compensation committees of the Board, and to seek approval from the Bitfarms shareholders at the Bitfarms Special Meeting to, among other things, expand the Board from five to six members and elect an independent director nominated by the Board to serve as the sixth member of the Board. Bitfarms also provided Riot with certain rights (subject to certain exceptions) to purchase shares of Bitfarms, provided the investor holds 15% or more of the outstanding Bitfarms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events surrounding the Unsolicited Proposal, Bitfarms Special Meeting, Settlement Agreement and related circumstances and Bitfarms’ responses thereto required significant time and attention by Bitfarms’ management team and Board and required Bitfarms to incur significant legal and advisory fees and expenses. In the future, similar actions taken by third parties, including unsolicited takeover proposals, the initiation of proxy contests and litigation by adverse parties could disrupt Bitfarms’ business, distract Bitfarms from efforts to improve its business, cause Bitfarms to incur substantial additional expenses, create perceived uncertainties as to Bitfarms’ future direction and result in significant fluctuations in the price of Bitfarms common shares, all of which could harm Bitfarms’ business and materially and adversely affect its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costs and demands upon Management and accounting and finance resources as a result of complying with the laws and regulations affecting public companies.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public company, the Company incurs significant administrative, legal, accounting and other burdens and expenses beyond those of a private company, including public company reporting obligations and Toronto Stock Exchange and Nasdaq listing requirements. In particular, the Company has needed, and continues to need, to enhance and supplement its internal accounting resources with additional accounting and finance personnel with the requisite technical and public company experience and expertise to enable the Company to satisfy such reporting obligations. </w:t>
      </w:r>
    </w:p>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87 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 and impact of restatement of the Company’s historical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Bitfarms determined that the consolidated financial statements as at and for the fiscal years ended December 31, 2023 and 2022 and the related management’s discussion and analysis for the year ended December 31, 2023, as well as the unaudited interim condensed consolidated financial statements as at September 30, 2024 and for the three and nine months ended September 30, 2024 and 2023 and the related management’s discussion and analysis for the three and nine months ended September 30, 2024, should be restated (the “Restatement”) in response to the SEC staff’s comments and to: (a) correct a material error in the statement of cash flows by reclassifying proceeds from the sales of digital assets from cash flows from operations to cash flows from investing activities; and (b) correct errors identified in the Company’s accounting for the 2023 exercises of warrants issued in connection with a private placement financing in 2023, resulting in an increase in the share capital and net financial expenses. For more information, see Section </w:t>
      </w:r>
      <w:r>
        <w:rPr>
          <w:rFonts w:ascii="Times New Roman;Times;Serif" w:hAnsi="Times New Roman;Times;Serif"/>
          <w:b w:val="false"/>
          <w:i/>
          <w:caps w:val="false"/>
          <w:smallCaps w:val="false"/>
          <w:sz w:val="20"/>
        </w:rPr>
        <w:t xml:space="preserve">Management’s Report on Internal Controls over Financial Reporting </w:t>
      </w:r>
      <w:r>
        <w:rPr>
          <w:rFonts w:ascii="Times New Roman;Times;Serif" w:hAnsi="Times New Roman;Times;Serif"/>
          <w:b w:val="false"/>
          <w:i w:val="false"/>
          <w:caps w:val="false"/>
          <w:smallCaps w:val="false"/>
          <w:sz w:val="20"/>
        </w:rPr>
        <w:t>to the Financial Statements. It is difficult to predict all of the ramifications to the Company from the Restatement. The restatement process was time and resource-intensive and involved substantial attention from management and significant costs and expenses, including for professional advisors assisting with the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Restatement is now completed, it is possible that the Company will receive inquiries from the SEC, Canadian securities regulators, TSX and/or Nasdaq regarding the restated financial statements or related matters, which could consume a significant amount of resources and could cause shareholders, investors and business partners to lose confidence in the accuracy and completeness of the Company’s financial statements, which may cause the market price of the Company’s common shares to decline. Moreover, many companies that have been required to restate their historical financial statements have experienced volatility in stock prices and declines in stock prices and shareholder lawsuits, which can be expensive to defend and divert Management attention and resources. The Company may suffer similar consequences as a result of the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Comprehensive Accounting Guidance for Cryptocurrencies under IFRS Accounting Standards.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there has been limited precedent set and a lack of specific accounting guidance for cryptocurrencies under certain applicable accounting standards, including, among other things, revenue recognition, it is unclear how BTC miners (in particular, non-U.S. companies like the Company that utilize IFRS Accounting Standards) may be required to account for cryptocurrency operations, transactions and assets and related revenue recognition. A change in regulatory or financial accounting standards, or interpretations thereof by the SEC, particularly as they relate to the Company and the financial accounting of its BTC-related operations, could result in changes in the Company’s accounting policies. Further, unlike in the case of U.S. generally accepted accounting principles where the Financial Accounting Standards Board has recently issued ASU 2023-08, which addresses the accounting and disclosure requirements for certain crypto assets, no similar guidance has yet been issued in respect of IFRS Accounting Standards.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88 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Lack of Comprehensive Accounting Guidance for Cryptocurrencies under IFRS Accounting Standards.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accounting policies of many BTC Mining companies are being subjected to heightened scrutiny by regulators and the public. More specifically, the Company had previously received comments from the staff of the SEC’s Division of Corporation Finance Office of Crypto Assets on the financial statements included in the Company’s annual reports on Form 40-F for the years ended December 31, 2022 and 2023 filed with the SEC, which comments focused on the accounting of the Company’s BTC-related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as a result of the SEC’s determinations as to the application of the relevant IFRS Accounting Standards, the Company could be obligated in the future to further restate historical financial statements. In connection with any such restatement, as well as the Restatement, the market price of the Company’s common shares could be adversely affected, and the Company could become subject to private litigation or to investigations or enforcement actions by the SEC or other regulatory authorities, all of which could require the Company’s expenditure of additional financial and management resources. Furthermore, any continued uncertainty with regard to financial accounting matters, particularly as they relate to the Company, the financial accounting of its BTC-related operations and the SEC comments the Company has previously received in respect of such matters, could negatively impact the Company’s business, prospects, financial condition and results of operations and its ability to raise capital on terms acceptable to the Company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Material Weakness.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National Instrument 52-109 Certification of Disclosure in Issuers’ Annual and Interim Filings and Section 404 of the Sarbanes-Oxley Act of 2002 (the “Sarbanes-Oxley Act”), the Company is required to document and test its internal control procedures and prepare annual management assessments of the effectiveness of the Company’s internal control over financial reporting. The Company’s assessments must include disclosure of identified material weaknesses in its internal control over financial reporting. The Company’s independent registered public accounting firm must also attest to the effectiveness of the Company’s internal control over financial reporting. The existence of one or more material weaknesses could affect the accuracy and timing of the Company’s financial reporting. Testing and maintaining internal control over financial reporting involves significant costs and could divert management’s attention from other matters that are important to the Company’s business. Additionally, the Company may not be successful in remediating any deficiencies that may be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a material weakness in the effectiveness of the Company’s ICFR for each of the years ended December 31, 2021, 2022, 2023 and 2024 related to controls over accounting for complex transactions. For more information, including a description of the remediation efforts that the Company believes are required to address the identified material weakness, refer to the “Disclosure Controls and Procedures” and “Internal Control over Financial Reporting” sections in this MD&amp;A. The Company cannot assure investors that the measures the Company has taken or, in the future, will take will in fact be sufficient to remediate the control deficiencies that led to the material weakness in its ICFR or that such measures will prevent or avoid potential future material weaknesses, and the Company’s current controls and any new controls that it develops may become inadequate because of changes in conditions in the Company’s business. Further, additional weaknesses in the Company’s ICFR may be discovered in the future.</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89 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Internal Control Material Weakness.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remediate its material weakness or any future material weaknesses and otherwise implement and maintain effective ICFR, there may be material misstatements in the Company’s consolidated financial statements, the Company may be unable to comply with its reporting obligations on a timely basis, or the Company may fail to prevent or detect fraud. In any such case, the price of the Common Shares could be negatively impacted, and the Company could be unable to raise additional capital on terms acceptable to Management or at all. The lack of effective internal controls could thus materially adversely affect the Company’s financial condition and ability to implement the Company’s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Company were to conclude in the future that its ICFR provides reasonable assurance regarding the reliability of financial reporting and the preparation of consolidated financial statements for external purposes in accordance with IFRS Accounting Standards, because of its inherent limitations, ICFR may not prevent or detect all instances of fraud or misstatements. Regardless of how well designed and operated a control system may be, it can only provide reasonable, not absolute, safeguards with respect to the reliability of financial reporting and financial statement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Political and Regulatory Risk.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primary properties and assets are subject to changes in political conditions and regulations within the Province of Quebec, Canada, the United States (including, in particular, the States of Washington and Pennsylvania),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section 7b - </w:t>
      </w:r>
      <w:r>
        <w:rPr>
          <w:rFonts w:ascii="Times New Roman;Times;Serif" w:hAnsi="Times New Roman;Times;Serif"/>
          <w:b w:val="false"/>
          <w:i/>
          <w:caps w:val="false"/>
          <w:smallCaps w:val="false"/>
          <w:sz w:val="20"/>
        </w:rPr>
        <w:t>Argentina Expansion,</w:t>
      </w:r>
      <w:r>
        <w:rPr>
          <w:rFonts w:ascii="Times New Roman;Times;Serif" w:hAnsi="Times New Roman;Times;Serif"/>
          <w:b w:val="false"/>
          <w:i w:val="false"/>
          <w:caps w:val="false"/>
          <w:smallCaps w:val="false"/>
          <w:sz w:val="20"/>
        </w:rPr>
        <w:t xml:space="preserve"> for a discussion of recent changes in the Argentine regulatory environment that have adversely affected, and are currently adversely affecting, 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unfavorable conditions relating to the liquidity of and value of an investment in the Company’s common shares, such as restrictions on the acquisition, ownership, holding, selling, use or trading in the Company’s common shares or in the securities of companies in the Mining industry. Any such unfavorable conditions could result in the Company liquidating its cryptocurrency inventory at unfavorable prices and may adversely affect the Company’s shareholders.</w:t>
      </w:r>
    </w:p>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90 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Political and Regulatory Risk.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and future regulatory changes or actions may alter the nature of an investment in the Company or restrict the use of cryptocurrencies in a manner that adversely affects the Company’s operations. For example, novel or unique assets such as BTC and other digital assets may be classified as securities if they meet the definition of investment contracts under applicable securities laws. In recent years, the offer and sale of digital assets other than BTC, most notably Kik Interactive Inc.’s Kin tokens and Telegram Group Inc.’s TON tokens, have been deemed to be investment contracts by the U.S. Securities and Exchange Commission (the “SEC”). While the Company believes that BTC is unlikely to be considered an investment contract and, thus, the BTC it holds is unlikely to be considered a security under the investment contract definition, the Company cannot provide any assurances that digital assets that it earns or otherwise acquires or holds for its own account, including BTC, will never be classified as securities under applicable securities laws. If BTC is considered a security, the Company may be required to register as an investment company under the U.S. Investment Company Act of 1940, as amended (the “1940 Act”), and comply with other requirements applicable to investment companies, which would, in turn, cause the Company to incur significant expenses, thereby materially and adversely impacting an investment in the Company. In addition, registration as an investment company may not be possible under the 1940 Act or may require meaningful corporate changes to effectuate, which, in turn, may have a material adverse effect on the Company’s business, financial condition and results of operations. The effect of any future such regulatory change on the Company or any cryptocurrency that the Company may earn is impossible to predict, but any such change could be substantial and adverse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attitude toward and regulations applicable to foreign investment and the cryptocurrency Mining industry in each of the jurisdictions in which the Company operates may also change, including changes that are adverse,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Canada, the Budget Implementation Act, Bill c.47, implements certain tax measures which include restricting the ability of cryptocurrency Mining companies to claim back the consumption taxes they incur on purchases of goods and services made in Canada and imports into Canada. As currently enacted, the legislation imposes restrictions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 The Company does not currently accrue for the recovery of these taxes. The Company is currently in discussions with Canadian tax authorities to determine whether the exemption provisions included in the legislation are applicable to relieve the Company of this potential financial burden. The timing for resolution of those discussions as well as the likelihood of a favorable outcome to the Company is currently unknown.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91 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Political and Regulatory Risk.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various branches, departments and agencies of the federal government in the U.S. as well as certain U.S. state governments have enacted legislation and/or regulations, solicited comments and initiated procedures to consider further regulating cryptocurrency and Mining operations, including through proposed taxes on Mining operations and policy statements and guidance to companies in the cryptocurrency industry, as well as third parties that do business with those companies. The Company will continue to monitor for developments in U.S. federal and state-level legislation, guidance or regulations applicable to the Company and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global supply of Miners is unpredictable and presently heavily dependent on manufacturers from Asia.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Permits and Licenses.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and future operations of the Company, including development activities and Mining operations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that all permits which the Company may require for its operations will be obtained on reasonable terms, on a timely basis, or at all, or otherwise maintained or that applicable laws and regulations will not have an adverse effect on any Mining projects or related activities that the Company might undertake.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Server or Internet Failures.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servers or central processing units utilized by the Company could experience a severe malfunction and/or collapse. Although the Company works to reduce this risk by employing a team of experts with many years of experience in building and managing data centers as well as a hardware team that focuses, among other things, on Miner repair and the daily evaluation of the technical condition of the data centers that the Company operates, including through software (developed by its management) that facilitates, among other things, control, management and reporting of malfunctions in real time or any server crashes or failures, even if quickly addressed, may interrupt the Company’s operations and cause significant economic harm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Internet disruptions or failures may adversely affect the Mining and use of cryptocurrencies, including BTC. Generally, cryptocurrencies and the Company’s business of Mining BTC are dependent upon the Internet. A significant disruption or failure of Internet connectivity, including of the Company’s backup Internet connection, could disrupt the network operations of cryptocurrencies until the disruption is resolved and have an adverse effect on the price of BTC and the Company’s ability to mine BTC.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92 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Emerging Legislation and Scrutiny Regarding Human Rights Issues.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legislation in multiple jurisdictions is intensifying investor, stakeholder and public scrutiny on human rights issues that include, among other matters, forced labour, child labour and other slavery-like practices; displacement of local communities; discrimination by race, age, gender, sexuality and other protected attributes; and underpayment for labour or services provided. Although the Company does not tolerate slavery, forced labor, or human trafficking in any form and will not knowingly work with third-parties who engage in these practices or permit their subcontractors to engage in these practices, the Company conducts business on a global scale and interacts with a number of different parties. Accordingly, the failure to identify and respond to human rights issues can lead to costly and disruptive legal action, investor divestment, negative publicity, reputational damage and significant financial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force since January 1, 2024, Canada’s Fighting Against Forced Labour and Child Labour in Supply Chains Act introduces a statutory requirement to report on the steps taken by in-scope entities, including the Company, to prevent and reduce the risk that forced labour or child labour is used at any step in the production of goods in Canada or goods that are imported into Canada. Although the Company does not anticipate that this legislation will have a material impact on its operations, it is impossible to predict how additional legislation or increased scrutiny from human rights groups regarding the cryptocurrency industry and related supply chains may affect the Company going forward, particularly in the complex socio-economic and socio-political jurisdictions in which the Company conducts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protecting human rights and has adopted a Code of Business Conduct and Ethics, along with other policies, to support such commitment, including its own Vendor and Suppliers Due Diligence process in order to mitigate third party-risks. Such policies and procedures may not minimize or prevent human rights issues. Any future failure to identify and respond to human rights issues, despite our efforts, may lead to costly and disruptive legal action, investor divestment, negative publicity, reputational damage and significant financial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Erroneous Transactions and Human Error.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transactions are irreversible. Improper or compromised transfers are also generally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may also be unable to convert or recover cryptocurrencies transferred to uncontrolled accounts.</w:t>
      </w:r>
    </w:p>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93 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Erroneous Transactions and Human Error.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Bitfarms’ operations. The factors affecting the further development of the industry,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0"/>
        <w:gridCol w:w="9912"/>
      </w:tblGrid>
      <w:tr>
        <w:trPr/>
        <w:tc>
          <w:tcPr>
            <w:tcW w:w="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Continued worldwide growth in the adoption and use of cryptocurrencies;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Governmental and quasi-governmental regulation of cryptocurrencies and their use, or restrictions on or regulation of access to and operation of the network or similar cryptocurrency systems;</w:t>
            </w:r>
          </w:p>
        </w:tc>
      </w:tr>
    </w:tbl>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consumer demographics and public tastes and preferences;</w:t>
            </w:r>
          </w:p>
        </w:tc>
      </w:tr>
    </w:tbl>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maintenance and development of the open-source software protocol of the network;</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availability and popularity of other forms or methods of buying and selling goods and services, including new means of using fiat currencies;</w:t>
            </w:r>
          </w:p>
        </w:tc>
      </w:tr>
    </w:tbl>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economic conditions and the regulatory environment relating to digital assets; and</w:t>
            </w:r>
          </w:p>
        </w:tc>
      </w:tr>
    </w:tbl>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Negative consumer sentiment and perception of BTC specifically and cryptocurrencies generally.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risks.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considered practical to do so, the Company maintains, and intends to continue maintaining, insurance against risks in the operation of its business and in amounts that it believes to be reasonable. Such insurance, however, contains, and may in the future contain, exclusions and limitations on coverage. There can be no assurance that such insurance will continue to be available, will be available at economically acceptable premiums or will be adequate to cover any resulting liability. The novelty of the cryptocurrency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by Management to be too expensive relative to the perceived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BTC, which is held in custody by Coinbase Custody and Anchorage Digital, is not insured. Although Coinbase Custody maintains an insurance policy of $100.0 million for its cold storage and Anchorage Digital maintains an insurance policy of an aggregate of $100.0 million for its cold and hot storage, the full limits of those policies may not be available to the Company or, if available, may not be sufficient to make the Company whole for any BTC that are lost or stolen from the Company’s accounts. Therefore, a loss may be suffered with respect to the Company’s BTC that is not covered by insurance and for which no person is liable in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losses incurred by the Company that are not adequately covered by insurance or for which insurance coverage is not available or has not been obtained could adversely impact the Company, including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94 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Corruption.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Fraud, bribery and corruption are more common in some jurisdictions than in others. Doing business in international developing markets brings with it inherent risks associated with enforcement of obligations, fraud, bribery and corruption. The Company currently has operations in Argentina and Paraguay, which are jurisdictions perceived as having relatively high levels of corruption. While the Company uses its best efforts to prevent the occurrence of fraud, bribery and corruption, it may not be possible to detect or prevent every instance of fraud, bribery and corruption in every jurisdiction in which its employees, agents or contractors are located. The Company may therefore be subject to civil and criminal penalties and to reputational damage if any fraud, bribery or corruption is perpetrated by or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Foreign Corrupt Practices Act and Similar Legislation.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laws, if violated, often provide for the levy of substantial penalties against offending parties. The Company operates in jurisdictions that have experienced governmental and private sector corruption to varying degrees,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its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95 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Foreign Corrupt Practices Act and Similar Legislation.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The Company uses its best efforts to prevent the occurrence of fraud, bribery and corruption, but it may not be possible to detect or prevent every instance of fraud, bribery and corruption in every jurisdiction in which its employees, agents or contractors are located. The Company, or any of its employees or contractors, could be charged with bribery or corruption as a result of the actual or perceived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or its directors, officers, employees or contractors, or a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Political Instability.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The occurrence of any of the foregoing could result in conditions that have a material adverse impact on the Company and its operations.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96 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RISK FACTORS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of Bitfarms Being Classified as a Passive Foreign Investment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(“PFIC”) for U.S. federal income tax purposes. The Company does not believe it was a PFIC for 2023 and does not expect to be a PFIC for 2024.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the Company’s shares may suffer adverse tax consequences, including the treatment of gains realized on the sale of the Company’s shares as ordinary income, rather than as capital gain, the loss of the preferential income tax rate applicable to dividends received on the Company’s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pStyle w:val="TextBody"/>
        <w:bidi w:val="0"/>
        <w:spacing w:before="0" w:after="0"/>
        <w:ind w:left="0" w:right="0" w:hanging="0"/>
        <w:jc w:val="left"/>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97 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8" w:name="m_020"/>
      <w:bookmarkEnd w:id="108"/>
      <w:r>
        <w:rPr>
          <w:rFonts w:ascii="Times New Roman;Times;Serif" w:hAnsi="Times New Roman;Times;Serif"/>
          <w:b/>
          <w:i w:val="false"/>
          <w:caps w:val="false"/>
          <w:smallCaps w:val="false"/>
          <w:sz w:val="20"/>
        </w:rPr>
        <w:t>20. SIGNIFICANT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Financial Statements requires Management to make certain estimates, judgments and assumptions that affect the reported amounts of assets and liabilities at the date of the Financial Statements and the reported amounts of revenues and expenses during the reporting periods. Actual outcomes could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include estimates that, by their nature, are uncertain. Key areas of estimation uncertainty include those relating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revenue recognition (Note 4 and Note 8 to the Financial Statements);</w:t>
            </w:r>
          </w:p>
        </w:tc>
      </w:tr>
    </w:tbl>
    <w:tbl>
      <w:tblPr>
        <w:tblW w:w="5000" w:type="pct"/>
        <w:jc w:val="left"/>
        <w:tblInd w:w="0" w:type="dxa"/>
        <w:tblLayout w:type="fixed"/>
        <w:tblCellMar>
          <w:top w:w="0" w:type="dxa"/>
          <w:left w:w="0" w:type="dxa"/>
          <w:bottom w:w="0" w:type="dxa"/>
          <w:right w:w="0" w:type="dxa"/>
        </w:tblCellMar>
      </w:tblPr>
      <w:tblGrid>
        <w:gridCol w:w="64"/>
        <w:gridCol w:w="286"/>
        <w:gridCol w:w="9855"/>
      </w:tblGrid>
      <w:tr>
        <w:trPr/>
        <w:tc>
          <w:tcPr>
            <w:tcW w:w="6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w:t>
            </w:r>
          </w:p>
        </w:tc>
        <w:tc>
          <w:tcPr>
            <w:tcW w:w="9855" w:type="dxa"/>
            <w:tcBorders/>
            <w:vAlign w:val="center"/>
          </w:tcPr>
          <w:p>
            <w:pPr>
              <w:pStyle w:val="TableContents"/>
              <w:bidi w:val="0"/>
              <w:spacing w:before="0" w:after="283"/>
              <w:jc w:val="left"/>
              <w:rPr/>
            </w:pPr>
            <w:r>
              <w:rPr/>
              <w:t>digital assets (Note 4 and Note 8 to the Financial Statements);</w:t>
            </w:r>
          </w:p>
        </w:tc>
      </w:tr>
    </w:tbl>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left"/>
              <w:rPr/>
            </w:pPr>
            <w:r>
              <w:rPr/>
              <w:t>liquidity risk and going concern (Note 2 and Note 4 to the Financial Statements);</w:t>
            </w:r>
          </w:p>
        </w:tc>
      </w:tr>
    </w:tbl>
    <w:tbl>
      <w:tblPr>
        <w:tblW w:w="5000" w:type="pct"/>
        <w:jc w:val="left"/>
        <w:tblInd w:w="0" w:type="dxa"/>
        <w:tblLayout w:type="fixed"/>
        <w:tblCellMar>
          <w:top w:w="0" w:type="dxa"/>
          <w:left w:w="0" w:type="dxa"/>
          <w:bottom w:w="0" w:type="dxa"/>
          <w:right w:w="0" w:type="dxa"/>
        </w:tblCellMar>
      </w:tblPr>
      <w:tblGrid>
        <w:gridCol w:w="69"/>
        <w:gridCol w:w="314"/>
        <w:gridCol w:w="9822"/>
      </w:tblGrid>
      <w:tr>
        <w:trPr/>
        <w:tc>
          <w:tcPr>
            <w:tcW w:w="6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w:t>
            </w:r>
          </w:p>
        </w:tc>
        <w:tc>
          <w:tcPr>
            <w:tcW w:w="9822" w:type="dxa"/>
            <w:tcBorders/>
            <w:vAlign w:val="center"/>
          </w:tcPr>
          <w:p>
            <w:pPr>
              <w:pStyle w:val="TableContents"/>
              <w:bidi w:val="0"/>
              <w:spacing w:before="0" w:after="283"/>
              <w:jc w:val="both"/>
              <w:rPr/>
            </w:pPr>
            <w:r>
              <w:rPr/>
              <w:t>leases (Note 4 and Note 19 to the Financial Statements);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property, plant and equipment and intangible assets (Note 4, Note 12 and Note 13 to the Financial Statements);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impairment and reversal of impairment of non-financial assets (Note 4 and Note 11 to the Financial Statements);</w:t>
            </w:r>
          </w:p>
        </w:tc>
      </w:tr>
    </w:tbl>
    <w:tbl>
      <w:tblPr>
        <w:tblW w:w="5000" w:type="pct"/>
        <w:jc w:val="left"/>
        <w:tblInd w:w="0" w:type="dxa"/>
        <w:tblLayout w:type="fixed"/>
        <w:tblCellMar>
          <w:top w:w="0" w:type="dxa"/>
          <w:left w:w="0" w:type="dxa"/>
          <w:bottom w:w="0" w:type="dxa"/>
          <w:right w:w="0" w:type="dxa"/>
        </w:tblCellMar>
      </w:tblPr>
      <w:tblGrid>
        <w:gridCol w:w="54"/>
        <w:gridCol w:w="242"/>
        <w:gridCol w:w="9909"/>
      </w:tblGrid>
      <w:tr>
        <w:trPr/>
        <w:tc>
          <w:tcPr>
            <w:tcW w:w="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both"/>
              <w:rPr/>
            </w:pPr>
            <w:r>
              <w:rPr/>
              <w:t>contingent liability (Note 4 and Note 14 to the Financial Statements); and</w:t>
            </w:r>
          </w:p>
        </w:tc>
      </w:tr>
    </w:tbl>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measurement of financial instruments (Note 4 and Note 23 to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such estimates are pervasive throughout the Financial Statements and may require accounting adjustments based on future occurrences. Revisions to accounting estimates are recognized in the period in which the estimate is revised and future periods if the revision affects both current and future periods. These estimates are based on historical experience, current and future economic conditions and other factors, including expectations of future events that are believed to be reasonable under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4 to the Financial Statements for more information regarding the Company’s significant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9" w:name="m_021"/>
      <w:bookmarkEnd w:id="109"/>
      <w:r>
        <w:rPr>
          <w:rFonts w:ascii="Times New Roman;Times;Serif" w:hAnsi="Times New Roman;Times;Serif"/>
          <w:b/>
          <w:i w:val="false"/>
          <w:caps w:val="false"/>
          <w:smallCaps w:val="false"/>
          <w:sz w:val="20"/>
        </w:rPr>
        <w:t>21. MATERIAL ACCOUNTING POLICY INFORMATION AND NEW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 to the Financial Statements for more information regarding the Company’s material accounting policy information and new accounting policies.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98 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0" w:name="m_022"/>
      <w:bookmarkEnd w:id="110"/>
      <w:r>
        <w:rPr>
          <w:rFonts w:ascii="Times New Roman;Times;Serif" w:hAnsi="Times New Roman;Times;Serif"/>
          <w:b/>
          <w:i w:val="false"/>
          <w:caps w:val="false"/>
          <w:smallCaps w:val="false"/>
          <w:sz w:val="20"/>
        </w:rPr>
        <w:t>22. 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Numerous risks and uncertainties could cause the Company’s actual results to differ materially from those expressed, implied or projected in the forward-looking statements. Such risks and uncertainties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577"/>
        <w:gridCol w:w="9499"/>
      </w:tblGrid>
      <w:tr>
        <w:trPr/>
        <w:tc>
          <w:tcPr>
            <w:tcW w:w="12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pPr>
            <w:r>
              <w:rPr/>
              <w:t>●</w:t>
            </w:r>
          </w:p>
        </w:tc>
        <w:tc>
          <w:tcPr>
            <w:tcW w:w="9499" w:type="dxa"/>
            <w:tcBorders/>
            <w:vAlign w:val="center"/>
          </w:tcPr>
          <w:p>
            <w:pPr>
              <w:pStyle w:val="TableContents"/>
              <w:bidi w:val="0"/>
              <w:spacing w:before="0" w:after="283"/>
              <w:jc w:val="both"/>
              <w:rPr/>
            </w:pPr>
            <w:r>
              <w:rPr/>
              <w:t>future Bitcoin Halving event;</w:t>
            </w:r>
          </w:p>
        </w:tc>
      </w:tr>
    </w:tbl>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pPr>
            <w:r>
              <w:rPr/>
              <w:t>●</w:t>
            </w:r>
          </w:p>
        </w:tc>
        <w:tc>
          <w:tcPr>
            <w:tcW w:w="9918" w:type="dxa"/>
            <w:tcBorders/>
            <w:vAlign w:val="center"/>
          </w:tcPr>
          <w:p>
            <w:pPr>
              <w:pStyle w:val="TableContents"/>
              <w:bidi w:val="0"/>
              <w:spacing w:before="0" w:after="283"/>
              <w:jc w:val="both"/>
              <w:rPr/>
            </w:pPr>
            <w:r>
              <w:rPr/>
              <w:t>insolvency, bankruptcy, or cessation of operations of Mining Pool operator;</w:t>
            </w:r>
          </w:p>
        </w:tc>
      </w:tr>
    </w:tbl>
    <w:tbl>
      <w:tblPr>
        <w:tblW w:w="5000" w:type="pct"/>
        <w:jc w:val="left"/>
        <w:tblInd w:w="0" w:type="dxa"/>
        <w:tblLayout w:type="fixed"/>
        <w:tblCellMar>
          <w:top w:w="0" w:type="dxa"/>
          <w:left w:w="0" w:type="dxa"/>
          <w:bottom w:w="0" w:type="dxa"/>
          <w:right w:w="0" w:type="dxa"/>
        </w:tblCellMar>
      </w:tblPr>
      <w:tblGrid>
        <w:gridCol w:w="93"/>
        <w:gridCol w:w="417"/>
        <w:gridCol w:w="9695"/>
      </w:tblGrid>
      <w:tr>
        <w:trPr/>
        <w:tc>
          <w:tcPr>
            <w:tcW w:w="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both"/>
              <w:rPr/>
            </w:pPr>
            <w:r>
              <w:rPr/>
              <w:t>●</w:t>
            </w:r>
          </w:p>
        </w:tc>
        <w:tc>
          <w:tcPr>
            <w:tcW w:w="9695" w:type="dxa"/>
            <w:tcBorders/>
            <w:vAlign w:val="center"/>
          </w:tcPr>
          <w:p>
            <w:pPr>
              <w:pStyle w:val="TableContents"/>
              <w:bidi w:val="0"/>
              <w:spacing w:before="0" w:after="283"/>
              <w:jc w:val="both"/>
              <w:rPr/>
            </w:pPr>
            <w:r>
              <w:rPr/>
              <w:t>reliance on foreign Mining Pool operator;</w:t>
            </w:r>
          </w:p>
        </w:tc>
      </w:tr>
    </w:tbl>
    <w:tbl>
      <w:tblPr>
        <w:tblW w:w="5000" w:type="pct"/>
        <w:jc w:val="left"/>
        <w:tblInd w:w="0" w:type="dxa"/>
        <w:tblLayout w:type="fixed"/>
        <w:tblCellMar>
          <w:top w:w="0" w:type="dxa"/>
          <w:left w:w="0" w:type="dxa"/>
          <w:bottom w:w="0" w:type="dxa"/>
          <w:right w:w="0" w:type="dxa"/>
        </w:tblCellMar>
      </w:tblPr>
      <w:tblGrid>
        <w:gridCol w:w="204"/>
        <w:gridCol w:w="917"/>
        <w:gridCol w:w="9084"/>
      </w:tblGrid>
      <w:tr>
        <w:trPr/>
        <w:tc>
          <w:tcPr>
            <w:tcW w:w="20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both"/>
              <w:rPr/>
            </w:pPr>
            <w:r>
              <w:rPr/>
              <w:t>●</w:t>
            </w:r>
          </w:p>
        </w:tc>
        <w:tc>
          <w:tcPr>
            <w:tcW w:w="9084" w:type="dxa"/>
            <w:tcBorders/>
            <w:vAlign w:val="center"/>
          </w:tcPr>
          <w:p>
            <w:pPr>
              <w:pStyle w:val="TableContents"/>
              <w:bidi w:val="0"/>
              <w:spacing w:before="0" w:after="283"/>
              <w:jc w:val="both"/>
              <w:rPr/>
            </w:pPr>
            <w:r>
              <w:rPr/>
              <w:t>counterparty risk;</w:t>
            </w:r>
          </w:p>
        </w:tc>
      </w:tr>
    </w:tbl>
    <w:tbl>
      <w:tblPr>
        <w:tblW w:w="5000" w:type="pct"/>
        <w:jc w:val="left"/>
        <w:tblInd w:w="0" w:type="dxa"/>
        <w:tblLayout w:type="fixed"/>
        <w:tblCellMar>
          <w:top w:w="0" w:type="dxa"/>
          <w:left w:w="0" w:type="dxa"/>
          <w:bottom w:w="0" w:type="dxa"/>
          <w:right w:w="0" w:type="dxa"/>
        </w:tblCellMar>
      </w:tblPr>
      <w:tblGrid>
        <w:gridCol w:w="113"/>
        <w:gridCol w:w="506"/>
        <w:gridCol w:w="9586"/>
      </w:tblGrid>
      <w:tr>
        <w:trPr/>
        <w:tc>
          <w:tcPr>
            <w:tcW w:w="11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both"/>
              <w:rPr/>
            </w:pPr>
            <w:r>
              <w:rPr/>
              <w:t>●</w:t>
            </w:r>
          </w:p>
        </w:tc>
        <w:tc>
          <w:tcPr>
            <w:tcW w:w="9586" w:type="dxa"/>
            <w:tcBorders/>
            <w:vAlign w:val="center"/>
          </w:tcPr>
          <w:p>
            <w:pPr>
              <w:pStyle w:val="TableContents"/>
              <w:bidi w:val="0"/>
              <w:spacing w:before="0" w:after="283"/>
              <w:jc w:val="both"/>
              <w:rPr/>
            </w:pPr>
            <w:r>
              <w:rPr/>
              <w:t>emerging markets operating risks;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reliance on manufacturing in foreign countries and the importation of equipment to the jurisdictions in which the Company operates;</w:t>
            </w:r>
          </w:p>
        </w:tc>
      </w:tr>
    </w:tbl>
    <w:tbl>
      <w:tblPr>
        <w:tblW w:w="5000" w:type="pct"/>
        <w:jc w:val="left"/>
        <w:tblInd w:w="0" w:type="dxa"/>
        <w:tblLayout w:type="fixed"/>
        <w:tblCellMar>
          <w:top w:w="0" w:type="dxa"/>
          <w:left w:w="0" w:type="dxa"/>
          <w:bottom w:w="0" w:type="dxa"/>
          <w:right w:w="0" w:type="dxa"/>
        </w:tblCellMar>
      </w:tblPr>
      <w:tblGrid>
        <w:gridCol w:w="53"/>
        <w:gridCol w:w="237"/>
        <w:gridCol w:w="9915"/>
      </w:tblGrid>
      <w:tr>
        <w:trPr/>
        <w:tc>
          <w:tcPr>
            <w:tcW w:w="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w:t>
            </w:r>
          </w:p>
        </w:tc>
        <w:tc>
          <w:tcPr>
            <w:tcW w:w="9915" w:type="dxa"/>
            <w:tcBorders/>
            <w:vAlign w:val="center"/>
          </w:tcPr>
          <w:p>
            <w:pPr>
              <w:pStyle w:val="TableContents"/>
              <w:bidi w:val="0"/>
              <w:spacing w:before="0" w:after="283"/>
              <w:jc w:val="both"/>
              <w:rPr/>
            </w:pPr>
            <w:r>
              <w:rPr/>
              <w:t>dependency on continued growth in blockchain and cryptocurrency usage;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availability of financing opportunities and risks associated with economic conditions, including BTC price, Bitcoin Network Difficulty and share price fluctuations;</w:t>
            </w:r>
          </w:p>
        </w:tc>
      </w:tr>
    </w:tbl>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left"/>
              <w:rPr/>
            </w:pPr>
            <w:r>
              <w:rPr/>
              <w:t>the ability to attract and retain customers for the Company’s hosting business;</w:t>
            </w:r>
          </w:p>
        </w:tc>
      </w:tr>
    </w:tbl>
    <w:tbl>
      <w:tblPr>
        <w:tblW w:w="5000" w:type="pct"/>
        <w:jc w:val="left"/>
        <w:tblInd w:w="0" w:type="dxa"/>
        <w:tblLayout w:type="fixed"/>
        <w:tblCellMar>
          <w:top w:w="0" w:type="dxa"/>
          <w:left w:w="0" w:type="dxa"/>
          <w:bottom w:w="0" w:type="dxa"/>
          <w:right w:w="0" w:type="dxa"/>
        </w:tblCellMar>
      </w:tblPr>
      <w:tblGrid>
        <w:gridCol w:w="138"/>
        <w:gridCol w:w="621"/>
        <w:gridCol w:w="9446"/>
      </w:tblGrid>
      <w:tr>
        <w:trPr/>
        <w:tc>
          <w:tcPr>
            <w:tcW w:w="13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both"/>
              <w:rPr/>
            </w:pPr>
            <w:r>
              <w:rPr/>
              <w:t>●</w:t>
            </w:r>
          </w:p>
        </w:tc>
        <w:tc>
          <w:tcPr>
            <w:tcW w:w="9446" w:type="dxa"/>
            <w:tcBorders/>
            <w:vAlign w:val="center"/>
          </w:tcPr>
          <w:p>
            <w:pPr>
              <w:pStyle w:val="TableContents"/>
              <w:bidi w:val="0"/>
              <w:spacing w:before="0" w:after="283"/>
              <w:jc w:val="both"/>
              <w:rPr/>
            </w:pPr>
            <w:r>
              <w:rPr/>
              <w:t>global financial conditions;</w:t>
            </w:r>
          </w:p>
        </w:tc>
      </w:tr>
    </w:tbl>
    <w:tbl>
      <w:tblPr>
        <w:tblW w:w="5000" w:type="pct"/>
        <w:jc w:val="left"/>
        <w:tblInd w:w="0" w:type="dxa"/>
        <w:tblLayout w:type="fixed"/>
        <w:tblCellMar>
          <w:top w:w="0" w:type="dxa"/>
          <w:left w:w="0" w:type="dxa"/>
          <w:bottom w:w="0" w:type="dxa"/>
          <w:right w:w="0" w:type="dxa"/>
        </w:tblCellMar>
      </w:tblPr>
      <w:tblGrid>
        <w:gridCol w:w="119"/>
        <w:gridCol w:w="535"/>
        <w:gridCol w:w="9551"/>
      </w:tblGrid>
      <w:tr>
        <w:trPr/>
        <w:tc>
          <w:tcPr>
            <w:tcW w:w="1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both"/>
              <w:rPr/>
            </w:pPr>
            <w:r>
              <w:rPr/>
              <w:t>●</w:t>
            </w:r>
          </w:p>
        </w:tc>
        <w:tc>
          <w:tcPr>
            <w:tcW w:w="9551" w:type="dxa"/>
            <w:tcBorders/>
            <w:vAlign w:val="center"/>
          </w:tcPr>
          <w:p>
            <w:pPr>
              <w:pStyle w:val="TableContents"/>
              <w:bidi w:val="0"/>
              <w:spacing w:before="0" w:after="283"/>
              <w:jc w:val="both"/>
              <w:rPr/>
            </w:pPr>
            <w:r>
              <w:rPr/>
              <w:t>employee retention and growth;</w:t>
            </w:r>
          </w:p>
        </w:tc>
      </w:tr>
    </w:tbl>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245" w:type="dxa"/>
            <w:tcBorders/>
            <w:vAlign w:val="center"/>
          </w:tcPr>
          <w:p>
            <w:pPr>
              <w:pStyle w:val="TableContents"/>
              <w:bidi w:val="0"/>
              <w:spacing w:before="0" w:after="283"/>
              <w:jc w:val="both"/>
              <w:rPr/>
            </w:pPr>
            <w:r>
              <w:rPr/>
              <w:t>cybersecurity threats and hacking;</w:t>
            </w:r>
          </w:p>
        </w:tc>
      </w:tr>
    </w:tbl>
    <w:tbl>
      <w:tblPr>
        <w:tblW w:w="775" w:type="dxa"/>
        <w:jc w:val="left"/>
        <w:tblInd w:w="0" w:type="dxa"/>
        <w:tblLayout w:type="fixed"/>
        <w:tblCellMar>
          <w:top w:w="28" w:type="dxa"/>
          <w:left w:w="0" w:type="dxa"/>
          <w:bottom w:w="0" w:type="dxa"/>
          <w:right w:w="0" w:type="dxa"/>
        </w:tblCellMar>
      </w:tblPr>
      <w:tblGrid>
        <w:gridCol w:w="290"/>
        <w:gridCol w:w="485"/>
      </w:tblGrid>
      <w:tr>
        <w:trPr/>
        <w:tc>
          <w:tcPr>
            <w:tcW w:w="290" w:type="dxa"/>
            <w:tcBorders>
              <w:top w:val="single" w:sz="12" w:space="0" w:color="000000"/>
            </w:tcBorders>
            <w:vAlign w:val="center"/>
          </w:tcPr>
          <w:p>
            <w:pPr>
              <w:pStyle w:val="TableContents"/>
              <w:bidi w:val="0"/>
              <w:spacing w:before="0" w:after="283"/>
              <w:jc w:val="right"/>
              <w:rPr>
                <w:sz w:val="20"/>
              </w:rPr>
            </w:pPr>
            <w:r>
              <w:rPr>
                <w:sz w:val="20"/>
              </w:rPr>
              <w:t>99 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CAUTIONARY NOTE REGARDING FORWARD-LOOKING STATEMENTS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limited operating history and limited history of de-centralized financial system;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limited experience of Company’s management in AI/HPC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risk related to technological obsolescence and difficulty in obtaining hardware;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economic dependence on regulated terms of service and electricity rates;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costs and demands upon management and accounting and finance resources as a result of complying with the laws and regulations affecting public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expense and impact of restatement of the Company’s historical financial statements;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lack of comprehensive accounting guidance for cryptocurrencies under IFRS Accounting Standards;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internal control material weakness;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increases in commodity prices or reductions in the availability of such commodities could adversely impact the Company’s results of operations;</w:t>
            </w:r>
          </w:p>
        </w:tc>
      </w:tr>
    </w:tbl>
    <w:tbl>
      <w:tblPr>
        <w:tblW w:w="5000" w:type="pct"/>
        <w:jc w:val="left"/>
        <w:tblInd w:w="0" w:type="dxa"/>
        <w:tblLayout w:type="fixed"/>
        <w:tblCellMar>
          <w:top w:w="0" w:type="dxa"/>
          <w:left w:w="0" w:type="dxa"/>
          <w:bottom w:w="0" w:type="dxa"/>
          <w:right w:w="0" w:type="dxa"/>
        </w:tblCellMar>
      </w:tblPr>
      <w:tblGrid>
        <w:gridCol w:w="176"/>
        <w:gridCol w:w="791"/>
        <w:gridCol w:w="9238"/>
      </w:tblGrid>
      <w:tr>
        <w:trPr/>
        <w:tc>
          <w:tcPr>
            <w:tcW w:w="1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both"/>
              <w:rPr/>
            </w:pPr>
            <w:r>
              <w:rPr/>
              <w:t>●</w:t>
            </w:r>
          </w:p>
        </w:tc>
        <w:tc>
          <w:tcPr>
            <w:tcW w:w="9238" w:type="dxa"/>
            <w:tcBorders/>
            <w:vAlign w:val="center"/>
          </w:tcPr>
          <w:p>
            <w:pPr>
              <w:pStyle w:val="TableContents"/>
              <w:bidi w:val="0"/>
              <w:spacing w:before="0" w:after="283"/>
              <w:jc w:val="both"/>
              <w:rPr/>
            </w:pPr>
            <w:r>
              <w:rPr/>
              <w:t>permits and licenses;</w:t>
            </w:r>
          </w:p>
        </w:tc>
      </w:tr>
    </w:tbl>
    <w:tbl>
      <w:tblPr>
        <w:tblW w:w="5000" w:type="pct"/>
        <w:jc w:val="left"/>
        <w:tblInd w:w="0" w:type="dxa"/>
        <w:tblLayout w:type="fixed"/>
        <w:tblCellMar>
          <w:top w:w="0" w:type="dxa"/>
          <w:left w:w="0" w:type="dxa"/>
          <w:bottom w:w="0" w:type="dxa"/>
          <w:right w:w="0" w:type="dxa"/>
        </w:tblCellMar>
      </w:tblPr>
      <w:tblGrid>
        <w:gridCol w:w="146"/>
        <w:gridCol w:w="657"/>
        <w:gridCol w:w="9402"/>
      </w:tblGrid>
      <w:tr>
        <w:trPr/>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both"/>
              <w:rPr/>
            </w:pPr>
            <w:r>
              <w:rPr/>
              <w:t>●</w:t>
            </w:r>
          </w:p>
        </w:tc>
        <w:tc>
          <w:tcPr>
            <w:tcW w:w="9402" w:type="dxa"/>
            <w:tcBorders/>
            <w:vAlign w:val="center"/>
          </w:tcPr>
          <w:p>
            <w:pPr>
              <w:pStyle w:val="TableContents"/>
              <w:bidi w:val="0"/>
              <w:spacing w:before="0" w:after="283"/>
              <w:jc w:val="both"/>
              <w:rPr/>
            </w:pPr>
            <w:r>
              <w:rPr/>
              <w:t>server or internet failures;</w:t>
            </w:r>
          </w:p>
        </w:tc>
      </w:tr>
    </w:tbl>
    <w:tbl>
      <w:tblPr>
        <w:tblW w:w="5000" w:type="pct"/>
        <w:jc w:val="left"/>
        <w:tblInd w:w="0" w:type="dxa"/>
        <w:tblLayout w:type="fixed"/>
        <w:tblCellMar>
          <w:top w:w="0" w:type="dxa"/>
          <w:left w:w="0" w:type="dxa"/>
          <w:bottom w:w="0" w:type="dxa"/>
          <w:right w:w="0" w:type="dxa"/>
        </w:tblCellMar>
      </w:tblPr>
      <w:tblGrid>
        <w:gridCol w:w="198"/>
        <w:gridCol w:w="888"/>
        <w:gridCol w:w="9119"/>
      </w:tblGrid>
      <w:tr>
        <w:trPr/>
        <w:tc>
          <w:tcPr>
            <w:tcW w:w="19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both"/>
              <w:rPr/>
            </w:pPr>
            <w:r>
              <w:rPr/>
              <w:t>●</w:t>
            </w:r>
          </w:p>
        </w:tc>
        <w:tc>
          <w:tcPr>
            <w:tcW w:w="9119" w:type="dxa"/>
            <w:tcBorders/>
            <w:vAlign w:val="center"/>
          </w:tcPr>
          <w:p>
            <w:pPr>
              <w:pStyle w:val="TableContents"/>
              <w:bidi w:val="0"/>
              <w:spacing w:before="0" w:after="283"/>
              <w:jc w:val="both"/>
              <w:rPr/>
            </w:pPr>
            <w:r>
              <w:rPr/>
              <w:t>tax consequences;</w:t>
            </w:r>
          </w:p>
        </w:tc>
      </w:tr>
    </w:tbl>
    <w:tbl>
      <w:tblPr>
        <w:tblW w:w="5000" w:type="pct"/>
        <w:jc w:val="left"/>
        <w:tblInd w:w="0" w:type="dxa"/>
        <w:tblLayout w:type="fixed"/>
        <w:tblCellMar>
          <w:top w:w="0" w:type="dxa"/>
          <w:left w:w="0" w:type="dxa"/>
          <w:bottom w:w="0" w:type="dxa"/>
          <w:right w:w="0" w:type="dxa"/>
        </w:tblCellMar>
      </w:tblPr>
      <w:tblGrid>
        <w:gridCol w:w="98"/>
        <w:gridCol w:w="443"/>
        <w:gridCol w:w="9664"/>
      </w:tblGrid>
      <w:tr>
        <w:trPr/>
        <w:tc>
          <w:tcPr>
            <w:tcW w:w="9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both"/>
              <w:rPr/>
            </w:pPr>
            <w:r>
              <w:rPr/>
              <w:t>●</w:t>
            </w:r>
          </w:p>
        </w:tc>
        <w:tc>
          <w:tcPr>
            <w:tcW w:w="9664" w:type="dxa"/>
            <w:tcBorders/>
            <w:vAlign w:val="center"/>
          </w:tcPr>
          <w:p>
            <w:pPr>
              <w:pStyle w:val="TableContents"/>
              <w:bidi w:val="0"/>
              <w:spacing w:before="0" w:after="283"/>
              <w:jc w:val="both"/>
              <w:rPr/>
            </w:pPr>
            <w:r>
              <w:rPr/>
              <w:t>environmental regulations and liability;</w:t>
            </w:r>
          </w:p>
        </w:tc>
      </w:tr>
    </w:tbl>
    <w:tbl>
      <w:tblPr>
        <w:tblW w:w="5000" w:type="pct"/>
        <w:jc w:val="left"/>
        <w:tblInd w:w="0" w:type="dxa"/>
        <w:tblLayout w:type="fixed"/>
        <w:tblCellMar>
          <w:top w:w="0" w:type="dxa"/>
          <w:left w:w="0" w:type="dxa"/>
          <w:bottom w:w="0" w:type="dxa"/>
          <w:right w:w="0" w:type="dxa"/>
        </w:tblCellMar>
      </w:tblPr>
      <w:tblGrid>
        <w:gridCol w:w="42"/>
        <w:gridCol w:w="188"/>
        <w:gridCol w:w="9975"/>
      </w:tblGrid>
      <w:tr>
        <w:trPr/>
        <w:tc>
          <w:tcPr>
            <w:tcW w:w="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adoption of environmental, social, and governance practices and the impacts of climate change;</w:t>
            </w:r>
          </w:p>
        </w:tc>
      </w:tr>
    </w:tbl>
    <w:tbl>
      <w:tblPr>
        <w:tblW w:w="5000" w:type="pct"/>
        <w:jc w:val="left"/>
        <w:tblInd w:w="0" w:type="dxa"/>
        <w:tblLayout w:type="fixed"/>
        <w:tblCellMar>
          <w:top w:w="0" w:type="dxa"/>
          <w:left w:w="0" w:type="dxa"/>
          <w:bottom w:w="0" w:type="dxa"/>
          <w:right w:w="0" w:type="dxa"/>
        </w:tblCellMar>
      </w:tblPr>
      <w:tblGrid>
        <w:gridCol w:w="96"/>
        <w:gridCol w:w="431"/>
        <w:gridCol w:w="9678"/>
      </w:tblGrid>
      <w:tr>
        <w:trPr/>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both"/>
              <w:rPr/>
            </w:pPr>
            <w:r>
              <w:rPr/>
              <w:t>●</w:t>
            </w:r>
          </w:p>
        </w:tc>
        <w:tc>
          <w:tcPr>
            <w:tcW w:w="9678" w:type="dxa"/>
            <w:tcBorders/>
            <w:vAlign w:val="center"/>
          </w:tcPr>
          <w:p>
            <w:pPr>
              <w:pStyle w:val="TableContents"/>
              <w:bidi w:val="0"/>
              <w:spacing w:before="0" w:after="283"/>
              <w:jc w:val="both"/>
              <w:rPr/>
            </w:pPr>
            <w:r>
              <w:rPr/>
              <w:t>erroneous transactions and human error;</w:t>
            </w:r>
          </w:p>
        </w:tc>
      </w:tr>
    </w:tbl>
    <w:tbl>
      <w:tblPr>
        <w:tblW w:w="5000" w:type="pct"/>
        <w:jc w:val="left"/>
        <w:tblInd w:w="0" w:type="dxa"/>
        <w:tblLayout w:type="fixed"/>
        <w:tblCellMar>
          <w:top w:w="0" w:type="dxa"/>
          <w:left w:w="0" w:type="dxa"/>
          <w:bottom w:w="0" w:type="dxa"/>
          <w:right w:w="0" w:type="dxa"/>
        </w:tblCellMar>
      </w:tblPr>
      <w:tblGrid>
        <w:gridCol w:w="144"/>
        <w:gridCol w:w="645"/>
        <w:gridCol w:w="9416"/>
      </w:tblGrid>
      <w:tr>
        <w:trPr/>
        <w:tc>
          <w:tcPr>
            <w:tcW w:w="1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both"/>
              <w:rPr/>
            </w:pPr>
            <w:r>
              <w:rPr/>
              <w:t>●</w:t>
            </w:r>
          </w:p>
        </w:tc>
        <w:tc>
          <w:tcPr>
            <w:tcW w:w="9416" w:type="dxa"/>
            <w:tcBorders/>
            <w:vAlign w:val="center"/>
          </w:tcPr>
          <w:p>
            <w:pPr>
              <w:pStyle w:val="TableContents"/>
              <w:bidi w:val="0"/>
              <w:spacing w:before="0" w:after="283"/>
              <w:jc w:val="both"/>
              <w:rPr/>
            </w:pPr>
            <w:r>
              <w:rPr/>
              <w:t>data center developments;</w:t>
            </w:r>
          </w:p>
        </w:tc>
      </w:tr>
    </w:tbl>
    <w:tbl>
      <w:tblPr>
        <w:tblW w:w="5000" w:type="pct"/>
        <w:jc w:val="left"/>
        <w:tblInd w:w="0" w:type="dxa"/>
        <w:tblLayout w:type="fixed"/>
        <w:tblCellMar>
          <w:top w:w="0" w:type="dxa"/>
          <w:left w:w="0" w:type="dxa"/>
          <w:bottom w:w="0" w:type="dxa"/>
          <w:right w:w="0" w:type="dxa"/>
        </w:tblCellMar>
      </w:tblPr>
      <w:tblGrid>
        <w:gridCol w:w="129"/>
        <w:gridCol w:w="581"/>
        <w:gridCol w:w="9495"/>
      </w:tblGrid>
      <w:tr>
        <w:trPr/>
        <w:tc>
          <w:tcPr>
            <w:tcW w:w="12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both"/>
              <w:rPr/>
            </w:pPr>
            <w:r>
              <w:rPr/>
              <w:t>●</w:t>
            </w:r>
          </w:p>
        </w:tc>
        <w:tc>
          <w:tcPr>
            <w:tcW w:w="9495" w:type="dxa"/>
            <w:tcBorders/>
            <w:vAlign w:val="center"/>
          </w:tcPr>
          <w:p>
            <w:pPr>
              <w:pStyle w:val="TableContents"/>
              <w:bidi w:val="0"/>
              <w:spacing w:before="0" w:after="283"/>
              <w:jc w:val="both"/>
              <w:rPr/>
            </w:pPr>
            <w:r>
              <w:rPr/>
              <w:t>non-availability of insurance;</w:t>
            </w:r>
          </w:p>
        </w:tc>
      </w:tr>
    </w:tbl>
    <w:tbl>
      <w:tblPr>
        <w:tblW w:w="5000" w:type="pct"/>
        <w:jc w:val="left"/>
        <w:tblInd w:w="0" w:type="dxa"/>
        <w:tblLayout w:type="fixed"/>
        <w:tblCellMar>
          <w:top w:w="0" w:type="dxa"/>
          <w:left w:w="0" w:type="dxa"/>
          <w:bottom w:w="0" w:type="dxa"/>
          <w:right w:w="0" w:type="dxa"/>
        </w:tblCellMar>
      </w:tblPr>
      <w:tblGrid>
        <w:gridCol w:w="274"/>
        <w:gridCol w:w="1228"/>
        <w:gridCol w:w="8703"/>
      </w:tblGrid>
      <w:tr>
        <w:trPr/>
        <w:tc>
          <w:tcPr>
            <w:tcW w:w="27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both"/>
              <w:rPr/>
            </w:pPr>
            <w:r>
              <w:rPr/>
              <w:t>●</w:t>
            </w:r>
          </w:p>
        </w:tc>
        <w:tc>
          <w:tcPr>
            <w:tcW w:w="8703" w:type="dxa"/>
            <w:tcBorders/>
            <w:vAlign w:val="center"/>
          </w:tcPr>
          <w:p>
            <w:pPr>
              <w:pStyle w:val="TableContents"/>
              <w:bidi w:val="0"/>
              <w:spacing w:before="0" w:after="283"/>
              <w:jc w:val="both"/>
              <w:rPr/>
            </w:pPr>
            <w:r>
              <w:rPr/>
              <w:t>competition;</w:t>
            </w:r>
          </w:p>
        </w:tc>
      </w:tr>
    </w:tbl>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both"/>
              <w:rPr/>
            </w:pPr>
            <w:r>
              <w:rPr/>
              <w:t>●</w:t>
            </w:r>
          </w:p>
        </w:tc>
        <w:tc>
          <w:tcPr>
            <w:tcW w:w="9951" w:type="dxa"/>
            <w:tcBorders/>
            <w:vAlign w:val="center"/>
          </w:tcPr>
          <w:p>
            <w:pPr>
              <w:pStyle w:val="TableContents"/>
              <w:bidi w:val="0"/>
              <w:spacing w:before="0" w:after="283"/>
              <w:jc w:val="both"/>
              <w:rPr/>
            </w:pPr>
            <w:r>
              <w:rPr/>
              <w:t>hazards associated with high-voltage electricity transmission and industrial operations;</w:t>
            </w:r>
          </w:p>
        </w:tc>
      </w:tr>
    </w:tbl>
    <w:tbl>
      <w:tblPr>
        <w:tblW w:w="5000" w:type="pct"/>
        <w:jc w:val="left"/>
        <w:tblInd w:w="0" w:type="dxa"/>
        <w:tblLayout w:type="fixed"/>
        <w:tblCellMar>
          <w:top w:w="0" w:type="dxa"/>
          <w:left w:w="0" w:type="dxa"/>
          <w:bottom w:w="0" w:type="dxa"/>
          <w:right w:w="0" w:type="dxa"/>
        </w:tblCellMar>
      </w:tblPr>
      <w:tblGrid>
        <w:gridCol w:w="97"/>
        <w:gridCol w:w="436"/>
        <w:gridCol w:w="9672"/>
      </w:tblGrid>
      <w:tr>
        <w:trPr/>
        <w:tc>
          <w:tcPr>
            <w:tcW w:w="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both"/>
              <w:rPr/>
            </w:pPr>
            <w:r>
              <w:rPr/>
              <w:t>●</w:t>
            </w:r>
          </w:p>
        </w:tc>
        <w:tc>
          <w:tcPr>
            <w:tcW w:w="9672" w:type="dxa"/>
            <w:tcBorders/>
            <w:vAlign w:val="center"/>
          </w:tcPr>
          <w:p>
            <w:pPr>
              <w:pStyle w:val="TableContents"/>
              <w:bidi w:val="0"/>
              <w:spacing w:before="0" w:after="283"/>
              <w:jc w:val="both"/>
              <w:rPr/>
            </w:pPr>
            <w:r>
              <w:rPr/>
              <w:t>corruption, political and regulatory risk;</w:t>
            </w:r>
          </w:p>
        </w:tc>
      </w:tr>
    </w:tbl>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pPr>
            <w:r>
              <w:rPr/>
              <w:t>●</w:t>
            </w:r>
          </w:p>
        </w:tc>
        <w:tc>
          <w:tcPr>
            <w:tcW w:w="9881" w:type="dxa"/>
            <w:tcBorders/>
            <w:vAlign w:val="center"/>
          </w:tcPr>
          <w:p>
            <w:pPr>
              <w:pStyle w:val="TableContents"/>
              <w:bidi w:val="0"/>
              <w:spacing w:before="0" w:after="283"/>
              <w:jc w:val="both"/>
              <w:rPr/>
            </w:pPr>
            <w:r>
              <w:rPr/>
              <w:t>potential being classified as a passive foreign investment company;</w:t>
            </w:r>
          </w:p>
        </w:tc>
      </w:tr>
    </w:tbl>
    <w:tbl>
      <w:tblPr>
        <w:tblW w:w="5000" w:type="pct"/>
        <w:jc w:val="left"/>
        <w:tblInd w:w="0" w:type="dxa"/>
        <w:tblLayout w:type="fixed"/>
        <w:tblCellMar>
          <w:top w:w="0" w:type="dxa"/>
          <w:left w:w="0" w:type="dxa"/>
          <w:bottom w:w="0" w:type="dxa"/>
          <w:right w:w="0" w:type="dxa"/>
        </w:tblCellMar>
      </w:tblPr>
      <w:tblGrid>
        <w:gridCol w:w="74"/>
        <w:gridCol w:w="335"/>
        <w:gridCol w:w="9796"/>
      </w:tblGrid>
      <w:tr>
        <w:trPr/>
        <w:tc>
          <w:tcPr>
            <w:tcW w:w="7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both"/>
              <w:rPr/>
            </w:pPr>
            <w:r>
              <w:rPr/>
              <w:t>●</w:t>
            </w:r>
          </w:p>
        </w:tc>
        <w:tc>
          <w:tcPr>
            <w:tcW w:w="9796" w:type="dxa"/>
            <w:tcBorders/>
            <w:vAlign w:val="center"/>
          </w:tcPr>
          <w:p>
            <w:pPr>
              <w:pStyle w:val="TableContents"/>
              <w:bidi w:val="0"/>
              <w:spacing w:before="0" w:after="283"/>
              <w:jc w:val="both"/>
              <w:rPr/>
            </w:pPr>
            <w:r>
              <w:rPr/>
              <w:t>lawsuits and other legal proceedings and challenges;</w:t>
            </w:r>
          </w:p>
        </w:tc>
      </w:tr>
    </w:tbl>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both"/>
              <w:rPr/>
            </w:pPr>
            <w:r>
              <w:rPr/>
              <w:t>●</w:t>
            </w:r>
          </w:p>
        </w:tc>
        <w:tc>
          <w:tcPr>
            <w:tcW w:w="9790" w:type="dxa"/>
            <w:tcBorders/>
            <w:vAlign w:val="center"/>
          </w:tcPr>
          <w:p>
            <w:pPr>
              <w:pStyle w:val="TableContents"/>
              <w:bidi w:val="0"/>
              <w:spacing w:before="0" w:after="283"/>
              <w:jc w:val="both"/>
              <w:rPr/>
            </w:pPr>
            <w:r>
              <w:rPr/>
              <w:t>conflict of interests with directors and management;</w:t>
            </w:r>
          </w:p>
        </w:tc>
      </w:tr>
    </w:tbl>
    <w:tbl>
      <w:tblPr>
        <w:tblW w:w="5000" w:type="pct"/>
        <w:jc w:val="left"/>
        <w:tblInd w:w="0" w:type="dxa"/>
        <w:tblLayout w:type="fixed"/>
        <w:tblCellMar>
          <w:top w:w="0" w:type="dxa"/>
          <w:left w:w="0" w:type="dxa"/>
          <w:bottom w:w="0" w:type="dxa"/>
          <w:right w:w="0" w:type="dxa"/>
        </w:tblCellMar>
      </w:tblPr>
      <w:tblGrid>
        <w:gridCol w:w="91"/>
        <w:gridCol w:w="412"/>
        <w:gridCol w:w="9702"/>
      </w:tblGrid>
      <w:tr>
        <w:trPr/>
        <w:tc>
          <w:tcPr>
            <w:tcW w:w="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both"/>
              <w:rPr/>
            </w:pPr>
            <w:r>
              <w:rPr/>
              <w:t>●</w:t>
            </w:r>
          </w:p>
        </w:tc>
        <w:tc>
          <w:tcPr>
            <w:tcW w:w="9702" w:type="dxa"/>
            <w:tcBorders/>
            <w:vAlign w:val="center"/>
          </w:tcPr>
          <w:p>
            <w:pPr>
              <w:pStyle w:val="TableContents"/>
              <w:bidi w:val="0"/>
              <w:spacing w:before="0" w:after="283"/>
              <w:jc w:val="both"/>
              <w:rPr/>
            </w:pPr>
            <w:r>
              <w:rPr/>
              <w:t>risks relating to unsolicited take-over bids;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risks related to the success and profitability of the Company’s carbon capture program and related environmental tax credits; or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inherent risks, costs and uncertainties associated with integrating the business successfully and risks of not achieving all or any of the anticipated benefits and synergies of the Stronghold Transaction, or the risk that the anticipated benefits and synergies of the Stronghold Transaction may not be fully realized or take longer to realize than expected.</w:t>
            </w:r>
          </w:p>
        </w:tc>
      </w:tr>
    </w:tbl>
    <w:p>
      <w:pPr>
        <w:pStyle w:val="TextBody"/>
        <w:bidi w:val="0"/>
        <w:spacing w:before="0" w:after="0"/>
        <w:ind w:left="0" w:right="0" w:hanging="0"/>
        <w:jc w:val="both"/>
        <w:rPr>
          <w:caps w:val="false"/>
          <w:smallCaps w:val="false"/>
        </w:rPr>
      </w:pPr>
      <w:r>
        <w:rPr>
          <w:caps w:val="false"/>
          <w:smallCaps w:val="false"/>
        </w:rPr>
        <w:t> </w:t>
      </w:r>
    </w:p>
    <w:tbl>
      <w:tblPr>
        <w:tblW w:w="880" w:type="dxa"/>
        <w:jc w:val="left"/>
        <w:tblInd w:w="0" w:type="dxa"/>
        <w:tblLayout w:type="fixed"/>
        <w:tblCellMar>
          <w:top w:w="28" w:type="dxa"/>
          <w:left w:w="0" w:type="dxa"/>
          <w:bottom w:w="0" w:type="dxa"/>
          <w:right w:w="0" w:type="dxa"/>
        </w:tblCellMar>
      </w:tblPr>
      <w:tblGrid>
        <w:gridCol w:w="395"/>
        <w:gridCol w:w="485"/>
      </w:tblGrid>
      <w:tr>
        <w:trPr/>
        <w:tc>
          <w:tcPr>
            <w:tcW w:w="395" w:type="dxa"/>
            <w:tcBorders>
              <w:top w:val="single" w:sz="12" w:space="0" w:color="000000"/>
            </w:tcBorders>
            <w:vAlign w:val="center"/>
          </w:tcPr>
          <w:p>
            <w:pPr>
              <w:pStyle w:val="TableContents"/>
              <w:bidi w:val="0"/>
              <w:spacing w:before="0" w:after="283"/>
              <w:jc w:val="right"/>
              <w:rPr>
                <w:sz w:val="20"/>
              </w:rPr>
            </w:pPr>
            <w:r>
              <w:rPr>
                <w:sz w:val="20"/>
              </w:rPr>
              <w:t>100 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CAUTIONARY NOTE REGARDING FORWARD-LOOKING STATEMENTS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is not an exhaustive list of the factors that may affect the Company’s forward-looking statements. For a more comprehensive discussion of factors that could affect the Company, refer to the risk factors discussed above.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1" w:name="m_023"/>
      <w:bookmarkEnd w:id="111"/>
      <w:r>
        <w:rPr>
          <w:rFonts w:ascii="Times New Roman;Times;Serif" w:hAnsi="Times New Roman;Times;Serif"/>
          <w:b/>
          <w:i w:val="false"/>
          <w:caps w:val="false"/>
          <w:smallCaps w:val="false"/>
          <w:sz w:val="20"/>
        </w:rPr>
        <w:t>23. CAUTIONARY NOTE REGARDING NON-IFRS AND OTHER FINANCIAL MEASURES AND RATIOS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MD&amp;A makes reference to certain measures that are not recognized under IFRS Accounting Standards and do not have a standardized meaning prescribed by IFRS Accounting Standards.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10 - </w:t>
      </w:r>
      <w:r>
        <w:rPr>
          <w:rFonts w:ascii="Times New Roman;Times;Serif" w:hAnsi="Times New Roman;Times;Serif"/>
          <w:b w:val="false"/>
          <w:i/>
          <w:caps w:val="false"/>
          <w:smallCaps w:val="false"/>
          <w:sz w:val="20"/>
        </w:rPr>
        <w:t xml:space="preserve">Non-IFRS and Other Financial Measures and Ratios </w:t>
      </w:r>
      <w:r>
        <w:rPr>
          <w:rFonts w:ascii="Times New Roman;Times;Serif" w:hAnsi="Times New Roman;Times;Serif"/>
          <w:b w:val="false"/>
          <w:i w:val="false"/>
          <w:caps w:val="false"/>
          <w:smallCaps w:val="false"/>
          <w:sz w:val="20"/>
        </w:rPr>
        <w:t>of the MD&amp;A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2" w:name="m_024"/>
      <w:bookmarkEnd w:id="112"/>
      <w:r>
        <w:rPr>
          <w:rFonts w:ascii="Times New Roman;Times;Serif" w:hAnsi="Times New Roman;Times;Serif"/>
          <w:b/>
          <w:i w:val="false"/>
          <w:caps w:val="false"/>
          <w:smallCaps w:val="false"/>
          <w:sz w:val="20"/>
        </w:rPr>
        <w:t>24.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Additional information and other publicly filed documents relating to the Company are available through the internet on SEDAR+ at </w:t>
      </w:r>
      <w:r>
        <w:rPr>
          <w:rFonts w:ascii="Times New Roman;Times;Serif" w:hAnsi="Times New Roman;Times;Serif"/>
          <w:b w:val="false"/>
          <w:i w:val="false"/>
          <w:caps w:val="false"/>
          <w:smallCaps w:val="false"/>
          <w:sz w:val="20"/>
        </w:rPr>
        <w:t>www.sedarplus.ca and on EDGAR at www.sec.gov/edgar.</w:t>
      </w:r>
    </w:p>
    <w:p>
      <w:pPr>
        <w:pStyle w:val="TextBody"/>
        <w:bidi w:val="0"/>
        <w:spacing w:before="0" w:after="0"/>
        <w:ind w:left="0" w:right="0" w:hanging="0"/>
        <w:jc w:val="left"/>
        <w:rPr>
          <w:caps w:val="false"/>
          <w:smallCaps w:val="false"/>
        </w:rPr>
      </w:pPr>
      <w:r>
        <w:rPr>
          <w:caps w:val="false"/>
          <w:smallCaps w:val="false"/>
        </w:rPr>
        <w:t> </w:t>
      </w:r>
    </w:p>
    <w:tbl>
      <w:tblPr>
        <w:tblW w:w="880" w:type="dxa"/>
        <w:jc w:val="left"/>
        <w:tblInd w:w="0" w:type="dxa"/>
        <w:tblLayout w:type="fixed"/>
        <w:tblCellMar>
          <w:top w:w="28" w:type="dxa"/>
          <w:left w:w="0" w:type="dxa"/>
          <w:bottom w:w="0" w:type="dxa"/>
          <w:right w:w="0" w:type="dxa"/>
        </w:tblCellMar>
      </w:tblPr>
      <w:tblGrid>
        <w:gridCol w:w="395"/>
        <w:gridCol w:w="485"/>
      </w:tblGrid>
      <w:tr>
        <w:trPr/>
        <w:tc>
          <w:tcPr>
            <w:tcW w:w="395" w:type="dxa"/>
            <w:tcBorders>
              <w:top w:val="single" w:sz="12" w:space="0" w:color="000000"/>
            </w:tcBorders>
            <w:vAlign w:val="center"/>
          </w:tcPr>
          <w:p>
            <w:pPr>
              <w:pStyle w:val="TableContents"/>
              <w:bidi w:val="0"/>
              <w:spacing w:before="0" w:after="283"/>
              <w:jc w:val="right"/>
              <w:rPr>
                <w:sz w:val="20"/>
              </w:rPr>
            </w:pPr>
            <w:r>
              <w:rPr>
                <w:sz w:val="20"/>
              </w:rPr>
              <w:t>101 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3" w:name="m_025"/>
      <w:bookmarkEnd w:id="113"/>
      <w:r>
        <w:rPr>
          <w:rFonts w:ascii="Times New Roman;Times;Serif" w:hAnsi="Times New Roman;Times;Serif"/>
          <w:b/>
          <w:i w:val="false"/>
          <w:caps w:val="false"/>
          <w:smallCaps w:val="false"/>
          <w:sz w:val="20"/>
        </w:rPr>
        <w:t>25. GLOSSARY OF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43" w:type="dxa"/>
          <w:left w:w="0" w:type="dxa"/>
          <w:bottom w:w="28" w:type="dxa"/>
          <w:right w:w="0" w:type="dxa"/>
        </w:tblCellMar>
      </w:tblPr>
      <w:tblGrid>
        <w:gridCol w:w="1380"/>
        <w:gridCol w:w="8825"/>
      </w:tblGrid>
      <w:tr>
        <w:trPr/>
        <w:tc>
          <w:tcPr>
            <w:tcW w:w="1380" w:type="dxa"/>
            <w:tcBorders>
              <w:top w:val="single" w:sz="12" w:space="0" w:color="000000"/>
              <w:bottom w:val="single" w:sz="12" w:space="0" w:color="000000"/>
            </w:tcBorders>
            <w:shd w:fill="ECECEC"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w:t>
            </w:r>
          </w:p>
        </w:tc>
        <w:tc>
          <w:tcPr>
            <w:tcW w:w="8825" w:type="dxa"/>
            <w:tcBorders>
              <w:top w:val="single" w:sz="12" w:space="0" w:color="000000"/>
              <w:bottom w:val="single" w:sz="12" w:space="0" w:color="000000"/>
            </w:tcBorders>
            <w:shd w:fill="ECECEC"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Artificial Intelligence (AI)</w:t>
            </w:r>
          </w:p>
        </w:tc>
        <w:tc>
          <w:tcPr>
            <w:tcW w:w="8825"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branch of technology enabling computers and machines to replicate human-like abilities, including learning, understanding, problem-solving, decision-making, creativity, and autonomous action.</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ASIC</w:t>
            </w:r>
          </w:p>
        </w:tc>
        <w:tc>
          <w:tcPr>
            <w:tcW w:w="8825"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ASIC stands for Application Specific Integrated Circuit and refers primarily to specific computer devices designed to solve the SHA-256 algorithm.</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Bitcoin (BTC)</w:t>
            </w:r>
          </w:p>
        </w:tc>
        <w:tc>
          <w:tcPr>
            <w:tcW w:w="8825"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BTC is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BTC is created when the Bitcoin network issues Block Rewards through the Mining process.</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Block Reward</w:t>
            </w:r>
          </w:p>
        </w:tc>
        <w:tc>
          <w:tcPr>
            <w:tcW w:w="8825"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Bitcoin Block Reward refers to the new BTC that are awarded by the Blockchain network to eligible cryptocurrency Miners for each block they successfully mine. The current block reward is 3.125 BTC per block.</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Blockchain</w:t>
            </w:r>
          </w:p>
        </w:tc>
        <w:tc>
          <w:tcPr>
            <w:tcW w:w="8825"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Blockchain is a cloud-based public ledger that exists on computers that participate on the network globally. The Blockchain grows 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Exahash or EH/s</w:t>
            </w:r>
          </w:p>
        </w:tc>
        <w:tc>
          <w:tcPr>
            <w:tcW w:w="8825"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quintillion (1,000,000,000,000,000,000) hashes or one million Terahash per second.</w:t>
            </w:r>
          </w:p>
        </w:tc>
      </w:tr>
      <w:tr>
        <w:trPr/>
        <w:tc>
          <w:tcPr>
            <w:tcW w:w="1380" w:type="dxa"/>
            <w:tcBorders>
              <w:bottom w:val="single" w:sz="8" w:space="0" w:color="000000"/>
            </w:tcBorders>
            <w:tcMar>
              <w:top w:w="0" w:type="dxa"/>
            </w:tcMar>
            <w:vAlign w:val="center"/>
          </w:tcPr>
          <w:p>
            <w:pPr>
              <w:pStyle w:val="TableContents"/>
              <w:bidi w:val="0"/>
              <w:spacing w:before="0" w:after="283"/>
              <w:jc w:val="left"/>
              <w:rPr>
                <w:b/>
              </w:rPr>
            </w:pPr>
            <w:r>
              <w:rPr>
                <w:b/>
              </w:rPr>
              <w:t>Gigawatt or GW</w:t>
            </w:r>
          </w:p>
        </w:tc>
        <w:tc>
          <w:tcPr>
            <w:tcW w:w="8825" w:type="dxa"/>
            <w:tcBorders>
              <w:bottom w:val="single" w:sz="8" w:space="0" w:color="000000"/>
            </w:tcBorders>
            <w:tcMar>
              <w:top w:w="0" w:type="dxa"/>
              <w:bottom w:w="30" w:type="dxa"/>
            </w:tcMar>
            <w:vAlign w:val="center"/>
          </w:tcPr>
          <w:p>
            <w:pPr>
              <w:pStyle w:val="TableContents"/>
              <w:bidi w:val="0"/>
              <w:spacing w:before="0" w:after="283"/>
              <w:jc w:val="both"/>
              <w:rPr/>
            </w:pPr>
            <w:r>
              <w:rPr/>
              <w:t>A gigawatt is 1,000 megawatts of electricity and, in the industry of cryptocurrency Mining, can be a reference to the number of gigawatts of electricity per hour that is available for use.</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Hash</w:t>
            </w:r>
          </w:p>
        </w:tc>
        <w:tc>
          <w:tcPr>
            <w:tcW w:w="8825"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hash is a function that converts or maps an input of letters and numbers into an encrypted output of a fixed length, which outputs are often referred to as hashes. A hash is created using an algorithm. The algorithm used in the validation of Bitcoin transactions is the SHA-256 algorithm.</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Hashrate</w:t>
            </w:r>
          </w:p>
        </w:tc>
        <w:tc>
          <w:tcPr>
            <w:tcW w:w="8825" w:type="dxa"/>
            <w:tcBorders>
              <w:bottom w:val="single" w:sz="8" w:space="0" w:color="000000"/>
            </w:tcBorders>
            <w:tcMar>
              <w:top w:w="0" w:type="dxa"/>
              <w:bottom w:w="3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Hashrate refers to the number of hash operations performed per second and is a measure of computing power in Mining cryptocurrency.  </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Hashrate Under Management</w:t>
            </w:r>
          </w:p>
        </w:tc>
        <w:tc>
          <w:tcPr>
            <w:tcW w:w="8825" w:type="dxa"/>
            <w:tcBorders>
              <w:bottom w:val="single" w:sz="8" w:space="0" w:color="000000"/>
            </w:tcBorders>
            <w:tcMar>
              <w:top w:w="0" w:type="dxa"/>
              <w:bottom w:w="3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Hashrate from the Miners the Company owns and from Miners hosted and managed by the Company.</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High Performance Computing (HPC)</w:t>
            </w:r>
          </w:p>
        </w:tc>
        <w:tc>
          <w:tcPr>
            <w:tcW w:w="8825"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Advanced computing capability that allows for rapid data processing and complex calculations at exceptionally high speeds, essential for handling large datasets and complex computational tasks.</w:t>
            </w:r>
          </w:p>
        </w:tc>
      </w:tr>
      <w:tr>
        <w:trPr/>
        <w:tc>
          <w:tcPr>
            <w:tcW w:w="1380"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Hosting</w:t>
            </w:r>
          </w:p>
        </w:tc>
        <w:tc>
          <w:tcPr>
            <w:tcW w:w="8825"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service in which a company provides infrastructure, power, and cooling solutions to house and operate cryptocurrency mining equipment owned by clients.</w:t>
            </w:r>
          </w:p>
        </w:tc>
      </w:tr>
    </w:tbl>
    <w:p>
      <w:pPr>
        <w:pStyle w:val="TextBody"/>
        <w:bidi w:val="0"/>
        <w:spacing w:before="0" w:after="0"/>
        <w:ind w:left="0" w:right="0" w:hanging="0"/>
        <w:jc w:val="both"/>
        <w:rPr>
          <w:caps w:val="false"/>
          <w:smallCaps w:val="false"/>
        </w:rPr>
      </w:pPr>
      <w:r>
        <w:rPr>
          <w:caps w:val="false"/>
          <w:smallCaps w:val="false"/>
        </w:rPr>
        <w:t> </w:t>
      </w:r>
    </w:p>
    <w:tbl>
      <w:tblPr>
        <w:tblW w:w="880" w:type="dxa"/>
        <w:jc w:val="left"/>
        <w:tblInd w:w="0" w:type="dxa"/>
        <w:tblLayout w:type="fixed"/>
        <w:tblCellMar>
          <w:top w:w="28" w:type="dxa"/>
          <w:left w:w="0" w:type="dxa"/>
          <w:bottom w:w="0" w:type="dxa"/>
          <w:right w:w="0" w:type="dxa"/>
        </w:tblCellMar>
      </w:tblPr>
      <w:tblGrid>
        <w:gridCol w:w="395"/>
        <w:gridCol w:w="485"/>
      </w:tblGrid>
      <w:tr>
        <w:trPr/>
        <w:tc>
          <w:tcPr>
            <w:tcW w:w="395" w:type="dxa"/>
            <w:tcBorders>
              <w:top w:val="single" w:sz="12" w:space="0" w:color="000000"/>
            </w:tcBorders>
            <w:vAlign w:val="center"/>
          </w:tcPr>
          <w:p>
            <w:pPr>
              <w:pStyle w:val="TableContents"/>
              <w:bidi w:val="0"/>
              <w:spacing w:before="0" w:after="283"/>
              <w:jc w:val="right"/>
              <w:rPr>
                <w:sz w:val="20"/>
              </w:rPr>
            </w:pPr>
            <w:r>
              <w:rPr>
                <w:sz w:val="20"/>
              </w:rPr>
              <w:t>102 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4100"/>
      </w:tblGrid>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Management’s Discussion &amp; Analysis</w:t>
            </w:r>
          </w:p>
        </w:tc>
      </w:tr>
      <w:tr>
        <w:trPr/>
        <w:tc>
          <w:tcPr>
            <w:tcW w:w="4100" w:type="dxa"/>
            <w:tcBorders/>
            <w:vAlign w:val="center"/>
          </w:tcPr>
          <w:p>
            <w:pPr>
              <w:pStyle w:val="TableContents"/>
              <w:bidi w:val="0"/>
              <w:spacing w:before="0" w:after="283"/>
              <w:jc w:val="left"/>
              <w:rPr>
                <w:sz w:val="20"/>
              </w:rPr>
            </w:pPr>
            <w:r>
              <w:rPr>
                <w:sz w:val="20"/>
              </w:rPr>
              <w:t>(In U.S. dollars, except where otherwise indicated)</w:t>
            </w:r>
          </w:p>
        </w:tc>
      </w:tr>
      <w:tr>
        <w:trPr/>
        <w:tc>
          <w:tcPr>
            <w:tcW w:w="410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GLOSSARY OF TERMS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43" w:type="dxa"/>
          <w:left w:w="0" w:type="dxa"/>
          <w:bottom w:w="28" w:type="dxa"/>
          <w:right w:w="0" w:type="dxa"/>
        </w:tblCellMar>
      </w:tblPr>
      <w:tblGrid>
        <w:gridCol w:w="1241"/>
        <w:gridCol w:w="8964"/>
      </w:tblGrid>
      <w:tr>
        <w:trPr/>
        <w:tc>
          <w:tcPr>
            <w:tcW w:w="1241" w:type="dxa"/>
            <w:tcBorders>
              <w:top w:val="single" w:sz="12" w:space="0" w:color="000000"/>
              <w:bottom w:val="single" w:sz="12" w:space="0" w:color="000000"/>
            </w:tcBorders>
            <w:shd w:fill="ECECEC"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w:t>
            </w:r>
          </w:p>
        </w:tc>
        <w:tc>
          <w:tcPr>
            <w:tcW w:w="8964" w:type="dxa"/>
            <w:tcBorders>
              <w:top w:val="single" w:sz="12" w:space="0" w:color="000000"/>
              <w:bottom w:val="single" w:sz="12" w:space="0" w:color="000000"/>
            </w:tcBorders>
            <w:shd w:fill="ECECEC"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1241" w:type="dxa"/>
            <w:tcBorders>
              <w:bottom w:val="single" w:sz="8" w:space="0" w:color="000000"/>
            </w:tcBorders>
            <w:tcMar>
              <w:top w:w="0" w:type="dxa"/>
            </w:tcMar>
            <w:vAlign w:val="center"/>
          </w:tcPr>
          <w:p>
            <w:pPr>
              <w:pStyle w:val="TableContents"/>
              <w:bidi w:val="0"/>
              <w:spacing w:before="0" w:after="283"/>
              <w:jc w:val="left"/>
              <w:rPr>
                <w:b/>
              </w:rPr>
            </w:pPr>
            <w:r>
              <w:rPr>
                <w:b/>
              </w:rPr>
              <w:t>Megawatt or MW</w:t>
            </w:r>
          </w:p>
        </w:tc>
        <w:tc>
          <w:tcPr>
            <w:tcW w:w="8964" w:type="dxa"/>
            <w:tcBorders>
              <w:bottom w:val="single" w:sz="8" w:space="0" w:color="000000"/>
            </w:tcBorders>
            <w:tcMar>
              <w:top w:w="0" w:type="dxa"/>
              <w:bottom w:w="30" w:type="dxa"/>
            </w:tcMar>
            <w:vAlign w:val="center"/>
          </w:tcPr>
          <w:p>
            <w:pPr>
              <w:pStyle w:val="TableContents"/>
              <w:bidi w:val="0"/>
              <w:spacing w:before="0" w:after="283"/>
              <w:jc w:val="both"/>
              <w:rPr/>
            </w:pPr>
            <w:r>
              <w:rPr/>
              <w:t>A megawatt is 1,000 kilowatts of electricity and, in the industry of cryptocurrency Mining, is typically a reference to the number of megawatts of electricity per hour that is available for use.</w:t>
            </w:r>
          </w:p>
        </w:tc>
      </w:tr>
      <w:tr>
        <w:trPr/>
        <w:tc>
          <w:tcPr>
            <w:tcW w:w="1241" w:type="dxa"/>
            <w:tcBorders>
              <w:bottom w:val="single" w:sz="8" w:space="0" w:color="000000"/>
            </w:tcBorders>
            <w:tcMar>
              <w:top w:w="0" w:type="dxa"/>
            </w:tcMar>
            <w:vAlign w:val="center"/>
          </w:tcPr>
          <w:p>
            <w:pPr>
              <w:pStyle w:val="TableContents"/>
              <w:bidi w:val="0"/>
              <w:spacing w:before="0" w:after="283"/>
              <w:jc w:val="left"/>
              <w:rPr>
                <w:b/>
              </w:rPr>
            </w:pPr>
            <w:r>
              <w:rPr>
                <w:b/>
              </w:rPr>
              <w:t>Miners</w:t>
            </w:r>
          </w:p>
        </w:tc>
        <w:tc>
          <w:tcPr>
            <w:tcW w:w="8964" w:type="dxa"/>
            <w:tcBorders>
              <w:bottom w:val="single" w:sz="8" w:space="0" w:color="000000"/>
            </w:tcBorders>
            <w:tcMar>
              <w:top w:w="0" w:type="dxa"/>
              <w:bottom w:w="30" w:type="dxa"/>
            </w:tcMar>
            <w:vAlign w:val="center"/>
          </w:tcPr>
          <w:p>
            <w:pPr>
              <w:pStyle w:val="TableContents"/>
              <w:bidi w:val="0"/>
              <w:spacing w:before="0" w:after="283"/>
              <w:jc w:val="both"/>
              <w:rPr/>
            </w:pPr>
            <w:r>
              <w:rPr/>
              <w:t>ASICs used by the Company to perform Mining.</w:t>
            </w:r>
          </w:p>
        </w:tc>
      </w:tr>
      <w:tr>
        <w:trPr/>
        <w:tc>
          <w:tcPr>
            <w:tcW w:w="1241"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Mining</w:t>
            </w:r>
          </w:p>
        </w:tc>
        <w:tc>
          <w:tcPr>
            <w:tcW w:w="8964"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Mining refers to the process of using specialized computer hardware, and in the case of the Company, ASICs, to perform mathematical calculations to confirm transactions and increase security for the BTC Blockchain. As a reward for their services, Bitcoin Miners collect transaction fees for the transactions they confirm, along with newly created BTC as Block Rewards.</w:t>
            </w:r>
          </w:p>
        </w:tc>
      </w:tr>
      <w:tr>
        <w:trPr/>
        <w:tc>
          <w:tcPr>
            <w:tcW w:w="1241"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Mining Pool</w:t>
            </w:r>
          </w:p>
        </w:tc>
        <w:tc>
          <w:tcPr>
            <w:tcW w:w="8964"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Mining Pool is a group of cryptocurrency Miners who pool their computational resources, or Hashrate, in order to increase the probability of finding a block on the BTC Blockchain. Mining Pools administer regular payouts to mitigate the risk of Miners operating for a prolonged period of time without finding a block.</w:t>
            </w:r>
          </w:p>
        </w:tc>
      </w:tr>
      <w:tr>
        <w:trPr/>
        <w:tc>
          <w:tcPr>
            <w:tcW w:w="1241"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Network Difficulty</w:t>
            </w:r>
          </w:p>
        </w:tc>
        <w:tc>
          <w:tcPr>
            <w:tcW w:w="8964"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Network Difficulty is a unitless measure of how difficult it is to find a hash below a given target. The Bitcoin network protocol automatically adjusts Network Difficulty by changing the target every 2,016 blocks hashed based on the time it took for the total computing power used in Bitcoin Mining to solve the previous 2,016 blocks such that the average time to solve each block is ten minutes.</w:t>
            </w:r>
          </w:p>
        </w:tc>
      </w:tr>
      <w:tr>
        <w:trPr/>
        <w:tc>
          <w:tcPr>
            <w:tcW w:w="1241"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Network Hashrate</w:t>
            </w:r>
          </w:p>
        </w:tc>
        <w:tc>
          <w:tcPr>
            <w:tcW w:w="8964"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Network Hashrate refers to the total global hashrate (and related computing power) used in Mining for a given cryptocurrency.</w:t>
            </w:r>
          </w:p>
        </w:tc>
      </w:tr>
      <w:tr>
        <w:trPr/>
        <w:tc>
          <w:tcPr>
            <w:tcW w:w="1241"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Petahash or PH/s</w:t>
            </w:r>
          </w:p>
        </w:tc>
        <w:tc>
          <w:tcPr>
            <w:tcW w:w="8964"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quadrillion (1,000,000,000,000,000) hashes or one thousand Terahash per second.</w:t>
            </w:r>
          </w:p>
        </w:tc>
      </w:tr>
      <w:tr>
        <w:trPr/>
        <w:tc>
          <w:tcPr>
            <w:tcW w:w="1241"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SHA-256</w:t>
            </w:r>
          </w:p>
        </w:tc>
        <w:tc>
          <w:tcPr>
            <w:tcW w:w="8964"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 stands for Secure Hash Algorithm. The SHA-256 algorithm was designed by the US National Security Agency and is the cryptographic hash function used within the Bitcoin network to validate transactions on the Bitcoin Blockchain.</w:t>
            </w:r>
          </w:p>
        </w:tc>
      </w:tr>
      <w:tr>
        <w:trPr/>
        <w:tc>
          <w:tcPr>
            <w:tcW w:w="1241"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Synthetic HODL</w:t>
            </w:r>
          </w:p>
        </w:tc>
        <w:tc>
          <w:tcPr>
            <w:tcW w:w="8964"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Synthetic HODL is the Company’s use of financial instruments to generate BTC exposure with inherent risk management, capital efficiency and leverage characteristics.</w:t>
            </w:r>
          </w:p>
        </w:tc>
      </w:tr>
      <w:tr>
        <w:trPr/>
        <w:tc>
          <w:tcPr>
            <w:tcW w:w="1241" w:type="dxa"/>
            <w:tcBorders>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Terahash or TH/s</w:t>
            </w:r>
          </w:p>
        </w:tc>
        <w:tc>
          <w:tcPr>
            <w:tcW w:w="8964" w:type="dxa"/>
            <w:tcBorders>
              <w:bottom w:val="single" w:sz="8" w:space="0" w:color="000000"/>
            </w:tcBorders>
            <w:tcMar>
              <w:top w:w="0" w:type="dxa"/>
              <w:bottom w:w="3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trillion (1,000,000,000,000) hashes or one Terahash per second.</w:t>
            </w:r>
          </w:p>
        </w:tc>
      </w:tr>
    </w:tbl>
    <w:p>
      <w:pPr>
        <w:pStyle w:val="TextBody"/>
        <w:bidi w:val="0"/>
        <w:jc w:val="center"/>
        <w:rPr/>
      </w:pPr>
      <w:r>
        <w:rPr/>
        <w:t> </w:t>
      </w:r>
    </w:p>
    <w:p>
      <w:pPr>
        <w:pStyle w:val="TextBody"/>
        <w:bidi w:val="0"/>
        <w:jc w:val="center"/>
        <w:rPr/>
      </w:pPr>
      <w:r>
        <w:rPr/>
        <w:t> </w:t>
      </w:r>
    </w:p>
    <w:tbl>
      <w:tblPr>
        <w:tblW w:w="880" w:type="dxa"/>
        <w:jc w:val="left"/>
        <w:tblInd w:w="0" w:type="dxa"/>
        <w:tblLayout w:type="fixed"/>
        <w:tblCellMar>
          <w:top w:w="28" w:type="dxa"/>
          <w:left w:w="0" w:type="dxa"/>
          <w:bottom w:w="0" w:type="dxa"/>
          <w:right w:w="0" w:type="dxa"/>
        </w:tblCellMar>
      </w:tblPr>
      <w:tblGrid>
        <w:gridCol w:w="395"/>
        <w:gridCol w:w="485"/>
      </w:tblGrid>
      <w:tr>
        <w:trPr/>
        <w:tc>
          <w:tcPr>
            <w:tcW w:w="395" w:type="dxa"/>
            <w:tcBorders>
              <w:top w:val="single" w:sz="12" w:space="0" w:color="000000"/>
            </w:tcBorders>
            <w:vAlign w:val="center"/>
          </w:tcPr>
          <w:p>
            <w:pPr>
              <w:pStyle w:val="TableContents"/>
              <w:bidi w:val="0"/>
              <w:spacing w:before="0" w:after="283"/>
              <w:jc w:val="right"/>
              <w:rPr>
                <w:sz w:val="20"/>
              </w:rPr>
            </w:pPr>
            <w:r>
              <w:rPr>
                <w:sz w:val="20"/>
              </w:rPr>
              <w:t>103 </w:t>
            </w:r>
          </w:p>
        </w:tc>
        <w:tc>
          <w:tcPr>
            <w:tcW w:w="485" w:type="dxa"/>
            <w:tcBorders>
              <w:top w:val="single" w:sz="12" w:space="0" w:color="000000"/>
              <w:left w:val="single" w:sz="12" w:space="0" w:color="000000"/>
            </w:tcBorders>
            <w:tcMar>
              <w:left w:w="28" w:type="dxa"/>
            </w:tcMar>
            <w:vAlign w:val="center"/>
          </w:tcPr>
          <w:p>
            <w:pPr>
              <w:pStyle w:val="TableContents"/>
              <w:bidi w:val="0"/>
              <w:spacing w:before="0" w:after="283"/>
              <w:jc w:val="right"/>
              <w:rPr/>
            </w:pPr>
            <w:r>
              <w:rPr/>
              <w:t> </w:t>
            </w:r>
            <w:r>
              <w:rPr>
                <w:sz w:val="20"/>
              </w:rPr>
              <w:t>Page</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4" w:name="ea023426801ex99-4_bitfarms.htm"/>
      <w:bookmarkStart w:id="115" w:name="ksea023426801ex994_bitfarms"/>
      <w:bookmarkEnd w:id="114"/>
      <w:bookmarkEnd w:id="115"/>
      <w:r>
        <w:rPr>
          <w:rFonts w:ascii="Times New Roman;Times;Serif" w:hAnsi="Times New Roman;Times;Serif"/>
          <w:b/>
          <w:i w:val="false"/>
          <w:caps w:val="false"/>
          <w:smallCaps w:val="false"/>
          <w:sz w:val="20"/>
        </w:rPr>
        <w:t>Exhibit 99.4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Chief Executive Officer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Ben Gagnon, certify that:</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sz w:val="20"/>
              </w:rPr>
            </w:pPr>
            <w:r>
              <w:rPr>
                <w:sz w:val="20"/>
              </w:rPr>
              <w:t>1.</w:t>
            </w:r>
          </w:p>
        </w:tc>
        <w:tc>
          <w:tcPr>
            <w:tcW w:w="5300" w:type="dxa"/>
            <w:tcBorders/>
            <w:vAlign w:val="center"/>
          </w:tcPr>
          <w:p>
            <w:pPr>
              <w:pStyle w:val="TableContents"/>
              <w:bidi w:val="0"/>
              <w:spacing w:before="0" w:after="283"/>
              <w:jc w:val="both"/>
              <w:rPr>
                <w:sz w:val="20"/>
              </w:rPr>
            </w:pPr>
            <w:r>
              <w:rPr>
                <w:sz w:val="20"/>
              </w:rPr>
              <w:t>I have reviewed this annual report on Form 40-F of Bitfarms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both"/>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left"/>
              <w:rPr>
                <w:sz w:val="20"/>
              </w:rPr>
            </w:pPr>
            <w:r>
              <w:rPr>
                <w:sz w:val="20"/>
              </w:rPr>
              <w:t>(d)</w:t>
            </w:r>
          </w:p>
        </w:tc>
        <w:tc>
          <w:tcPr>
            <w:tcW w:w="9921"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5.</w:t>
            </w:r>
          </w:p>
        </w:tc>
        <w:tc>
          <w:tcPr>
            <w:tcW w:w="10046" w:type="dxa"/>
            <w:tcBorders/>
            <w:vAlign w:val="center"/>
          </w:tcPr>
          <w:p>
            <w:pPr>
              <w:pStyle w:val="TableContents"/>
              <w:bidi w:val="0"/>
              <w:spacing w:before="0" w:after="283"/>
              <w:jc w:val="both"/>
              <w:rPr>
                <w:sz w:val="20"/>
              </w:rPr>
            </w:pPr>
            <w:r>
              <w:rPr>
                <w:sz w:val="20"/>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both"/>
              <w:rPr/>
            </w:pPr>
            <w:r>
              <w:rPr/>
              <w:t> </w:t>
            </w:r>
          </w:p>
        </w:tc>
        <w:tc>
          <w:tcPr>
            <w:tcW w:w="197" w:type="dxa"/>
            <w:tcBorders/>
            <w:vAlign w:val="center"/>
          </w:tcPr>
          <w:p>
            <w:pPr>
              <w:pStyle w:val="TableContents"/>
              <w:bidi w:val="0"/>
              <w:spacing w:before="0" w:after="283"/>
              <w:jc w:val="left"/>
              <w:rPr>
                <w:sz w:val="20"/>
              </w:rPr>
            </w:pPr>
            <w:r>
              <w:rPr>
                <w:sz w:val="20"/>
              </w:rPr>
              <w:t>(a)</w:t>
            </w:r>
          </w:p>
        </w:tc>
        <w:tc>
          <w:tcPr>
            <w:tcW w:w="9933"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issuer’s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left"/>
              <w:rPr>
                <w:sz w:val="20"/>
              </w:rPr>
            </w:pPr>
            <w:r>
              <w:rPr>
                <w:sz w:val="20"/>
              </w:rPr>
              <w:t>(b)</w:t>
            </w:r>
          </w:p>
        </w:tc>
        <w:tc>
          <w:tcPr>
            <w:tcW w:w="9902"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issuer’s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05"/>
        <w:gridCol w:w="1955"/>
      </w:tblGrid>
      <w:tr>
        <w:trPr/>
        <w:tc>
          <w:tcPr>
            <w:tcW w:w="1805" w:type="dxa"/>
            <w:tcBorders/>
            <w:vAlign w:val="center"/>
          </w:tcPr>
          <w:p>
            <w:pPr>
              <w:pStyle w:val="TableContents"/>
              <w:bidi w:val="0"/>
              <w:spacing w:before="0" w:after="283"/>
              <w:jc w:val="left"/>
              <w:rPr>
                <w:sz w:val="20"/>
              </w:rPr>
            </w:pPr>
            <w:r>
              <w:rPr>
                <w:sz w:val="20"/>
              </w:rPr>
              <w:t>Date: March 31, 2025</w:t>
            </w:r>
          </w:p>
        </w:tc>
        <w:tc>
          <w:tcPr>
            <w:tcW w:w="195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Ben Gagnon</w:t>
            </w:r>
          </w:p>
        </w:tc>
      </w:tr>
      <w:tr>
        <w:trPr/>
        <w:tc>
          <w:tcPr>
            <w:tcW w:w="180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Gagnon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6" w:name="ea023426801ex99-5_bitfarms.htm"/>
      <w:bookmarkStart w:id="117" w:name="ksea023426801ex995_bitfarms"/>
      <w:bookmarkEnd w:id="116"/>
      <w:bookmarkEnd w:id="117"/>
      <w:r>
        <w:rPr>
          <w:rFonts w:ascii="Times New Roman;Times;Serif" w:hAnsi="Times New Roman;Times;Serif"/>
          <w:b/>
          <w:i w:val="false"/>
          <w:caps w:val="false"/>
          <w:smallCaps w:val="false"/>
          <w:sz w:val="20"/>
        </w:rPr>
        <w:t>Exhibit 99.5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Chief Financial Officer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Jeffrey Lucas, certify that:</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sz w:val="20"/>
              </w:rPr>
            </w:pPr>
            <w:r>
              <w:rPr>
                <w:sz w:val="20"/>
              </w:rPr>
              <w:t>1.</w:t>
            </w:r>
          </w:p>
        </w:tc>
        <w:tc>
          <w:tcPr>
            <w:tcW w:w="5300" w:type="dxa"/>
            <w:tcBorders/>
            <w:vAlign w:val="center"/>
          </w:tcPr>
          <w:p>
            <w:pPr>
              <w:pStyle w:val="TableContents"/>
              <w:bidi w:val="0"/>
              <w:spacing w:before="0" w:after="283"/>
              <w:jc w:val="both"/>
              <w:rPr>
                <w:sz w:val="20"/>
              </w:rPr>
            </w:pPr>
            <w:r>
              <w:rPr>
                <w:sz w:val="20"/>
              </w:rPr>
              <w:t>I have reviewed this annual report on Form 40-F of Bitfarms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both"/>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left"/>
              <w:rPr>
                <w:sz w:val="20"/>
              </w:rPr>
            </w:pPr>
            <w:r>
              <w:rPr>
                <w:sz w:val="20"/>
              </w:rPr>
              <w:t>(d)</w:t>
            </w:r>
          </w:p>
        </w:tc>
        <w:tc>
          <w:tcPr>
            <w:tcW w:w="9921"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5.</w:t>
            </w:r>
          </w:p>
        </w:tc>
        <w:tc>
          <w:tcPr>
            <w:tcW w:w="10046" w:type="dxa"/>
            <w:tcBorders/>
            <w:vAlign w:val="center"/>
          </w:tcPr>
          <w:p>
            <w:pPr>
              <w:pStyle w:val="TableContents"/>
              <w:bidi w:val="0"/>
              <w:spacing w:before="0" w:after="283"/>
              <w:jc w:val="both"/>
              <w:rPr>
                <w:sz w:val="20"/>
              </w:rPr>
            </w:pPr>
            <w:r>
              <w:rPr>
                <w:sz w:val="20"/>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both"/>
              <w:rPr/>
            </w:pPr>
            <w:r>
              <w:rPr/>
              <w:t> </w:t>
            </w:r>
          </w:p>
        </w:tc>
        <w:tc>
          <w:tcPr>
            <w:tcW w:w="197" w:type="dxa"/>
            <w:tcBorders/>
            <w:vAlign w:val="center"/>
          </w:tcPr>
          <w:p>
            <w:pPr>
              <w:pStyle w:val="TableContents"/>
              <w:bidi w:val="0"/>
              <w:spacing w:before="0" w:after="283"/>
              <w:jc w:val="left"/>
              <w:rPr>
                <w:sz w:val="20"/>
              </w:rPr>
            </w:pPr>
            <w:r>
              <w:rPr>
                <w:sz w:val="20"/>
              </w:rPr>
              <w:t>(a)</w:t>
            </w:r>
          </w:p>
        </w:tc>
        <w:tc>
          <w:tcPr>
            <w:tcW w:w="9933"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issuer’s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left"/>
              <w:rPr>
                <w:sz w:val="20"/>
              </w:rPr>
            </w:pPr>
            <w:r>
              <w:rPr>
                <w:sz w:val="20"/>
              </w:rPr>
              <w:t>(b)</w:t>
            </w:r>
          </w:p>
        </w:tc>
        <w:tc>
          <w:tcPr>
            <w:tcW w:w="9902"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issuer’s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805"/>
        <w:gridCol w:w="1895"/>
      </w:tblGrid>
      <w:tr>
        <w:trPr/>
        <w:tc>
          <w:tcPr>
            <w:tcW w:w="1805" w:type="dxa"/>
            <w:tcBorders/>
            <w:vAlign w:val="center"/>
          </w:tcPr>
          <w:p>
            <w:pPr>
              <w:pStyle w:val="TableContents"/>
              <w:bidi w:val="0"/>
              <w:spacing w:before="0" w:after="283"/>
              <w:jc w:val="left"/>
              <w:rPr>
                <w:sz w:val="20"/>
              </w:rPr>
            </w:pPr>
            <w:r>
              <w:rPr>
                <w:sz w:val="20"/>
              </w:rPr>
              <w:t>Date: March 31, 2025</w:t>
            </w:r>
          </w:p>
        </w:tc>
        <w:tc>
          <w:tcPr>
            <w:tcW w:w="18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Jeffrey Lucas</w:t>
            </w:r>
          </w:p>
        </w:tc>
      </w:tr>
      <w:tr>
        <w:trPr/>
        <w:tc>
          <w:tcPr>
            <w:tcW w:w="180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Lucas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8" w:name="ea023426801ex99-6_bitfarms.htm"/>
      <w:bookmarkStart w:id="119" w:name="ksea023426801ex996_bitfarms"/>
      <w:bookmarkEnd w:id="118"/>
      <w:bookmarkEnd w:id="119"/>
      <w:r>
        <w:rPr>
          <w:rFonts w:ascii="Times New Roman;Times;Serif" w:hAnsi="Times New Roman;Times;Serif"/>
          <w:b/>
          <w:i w:val="false"/>
          <w:caps w:val="false"/>
          <w:smallCaps w:val="false"/>
          <w:sz w:val="20"/>
        </w:rPr>
        <w:t>Exhibit 99.6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 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Bitfarms Ltd. (the “Company”) on Form 40-F for the year ended December 31, 2024, as filed with the Securities and Exchange Commission on the date hereof (the “Report”), I, Ben Gagnon,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w:t>
            </w:r>
          </w:p>
        </w:tc>
        <w:tc>
          <w:tcPr>
            <w:tcW w:w="9896" w:type="dxa"/>
            <w:tcBorders/>
            <w:vAlign w:val="center"/>
          </w:tcPr>
          <w:p>
            <w:pPr>
              <w:pStyle w:val="TableContents"/>
              <w:bidi w:val="0"/>
              <w:spacing w:before="0" w:after="283"/>
              <w:jc w:val="both"/>
              <w:rPr/>
            </w:pPr>
            <w:r>
              <w:rPr/>
              <w:t>The Report fully complies with the requirements of Section 13(a) or 15(d) of the Securities Exchange Act of 1934, as amended; and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05"/>
        <w:gridCol w:w="1955"/>
      </w:tblGrid>
      <w:tr>
        <w:trPr/>
        <w:tc>
          <w:tcPr>
            <w:tcW w:w="1805" w:type="dxa"/>
            <w:tcBorders/>
            <w:vAlign w:val="center"/>
          </w:tcPr>
          <w:p>
            <w:pPr>
              <w:pStyle w:val="TableContents"/>
              <w:bidi w:val="0"/>
              <w:spacing w:before="0" w:after="283"/>
              <w:ind w:left="0" w:right="0" w:hanging="200"/>
              <w:jc w:val="left"/>
              <w:rPr>
                <w:sz w:val="20"/>
              </w:rPr>
            </w:pPr>
            <w:r>
              <w:rPr>
                <w:sz w:val="20"/>
              </w:rPr>
              <w:t>Date: March 31, 2025</w:t>
            </w:r>
          </w:p>
        </w:tc>
        <w:tc>
          <w:tcPr>
            <w:tcW w:w="195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ind w:left="0" w:right="0" w:hanging="200"/>
              <w:jc w:val="left"/>
              <w:rPr>
                <w:sz w:val="20"/>
              </w:rPr>
            </w:pPr>
            <w:r>
              <w:rPr>
                <w:sz w:val="20"/>
              </w:rPr>
              <w:t>/s/ Ben Gagnon</w:t>
            </w:r>
          </w:p>
        </w:tc>
      </w:tr>
      <w:tr>
        <w:trPr/>
        <w:tc>
          <w:tcPr>
            <w:tcW w:w="180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Gagnon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or otherwise subject to the liability of that section.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20" w:name="ea023426801ex99-7_bitfarms.htm"/>
      <w:bookmarkStart w:id="121" w:name="ksea023426801ex997_bitfarms"/>
      <w:bookmarkEnd w:id="120"/>
      <w:bookmarkEnd w:id="121"/>
      <w:r>
        <w:rPr>
          <w:rFonts w:ascii="Times New Roman;Times;Serif" w:hAnsi="Times New Roman;Times;Serif"/>
          <w:b/>
          <w:i w:val="false"/>
          <w:caps w:val="false"/>
          <w:smallCaps w:val="false"/>
          <w:sz w:val="20"/>
        </w:rPr>
        <w:t>Exhibit 99.7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Bitfarms Ltd. (the “Company”) on Form 40-F for the year ended December 31, 2024, as filed with the Securities and Exchange Commission on the date hereof (the “Report”), I, Jeffrey Lucas,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283"/>
              <w:jc w:val="both"/>
              <w:rPr/>
            </w:pPr>
            <w:r>
              <w:rPr/>
              <w:t>The Report fully complies with the requirements of Section 13(a) or 15(d) of the Securities Exchange Act of 1934, as amended;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805"/>
        <w:gridCol w:w="1895"/>
      </w:tblGrid>
      <w:tr>
        <w:trPr/>
        <w:tc>
          <w:tcPr>
            <w:tcW w:w="1805" w:type="dxa"/>
            <w:tcBorders/>
            <w:vAlign w:val="center"/>
          </w:tcPr>
          <w:p>
            <w:pPr>
              <w:pStyle w:val="TableContents"/>
              <w:bidi w:val="0"/>
              <w:spacing w:before="0" w:after="283"/>
              <w:jc w:val="left"/>
              <w:rPr>
                <w:sz w:val="20"/>
              </w:rPr>
            </w:pPr>
            <w:r>
              <w:rPr>
                <w:sz w:val="20"/>
              </w:rPr>
              <w:t>Date: March 31, 2025</w:t>
            </w:r>
          </w:p>
        </w:tc>
        <w:tc>
          <w:tcPr>
            <w:tcW w:w="18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Jeffrey Lucas</w:t>
            </w:r>
          </w:p>
        </w:tc>
      </w:tr>
      <w:tr>
        <w:trPr/>
        <w:tc>
          <w:tcPr>
            <w:tcW w:w="180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Lucas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or otherwise subject to the liability of that section.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22" w:name="ea023426801ex99-8_bitfarms.htm"/>
      <w:bookmarkStart w:id="123" w:name="ksea023426801ex998_bitfarms"/>
      <w:bookmarkEnd w:id="122"/>
      <w:bookmarkEnd w:id="123"/>
      <w:r>
        <w:rPr>
          <w:rFonts w:ascii="Times New Roman;Times;Serif" w:hAnsi="Times New Roman;Times;Serif"/>
          <w:b/>
          <w:i w:val="false"/>
          <w:caps w:val="false"/>
          <w:smallCaps w:val="false"/>
          <w:sz w:val="20"/>
        </w:rPr>
        <w:t>Exhibit 99.8</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Annual Report on Form 40-F for the year ended December 31, 2024 of Bitfarms Ltd. of our report dated March 26, 2025, relating to the consolidated financial statements and the effectiveness of internal control over financial reporting, which appears in Exhibit 99.2 to this Annual Report on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incorporation by reference in the Registration Statements on Form F-10 (File No. 333-272989) and Form S-8 (File No. 333-278868 and File No. 333-285894) of Bitfarms Ltd. of our report dated March 26, 2025 referred to above. We also consent to reference to us under the heading “Interests of Experts” in the Annual Information Form, filed as Exhibit 99.1 to this Annual Report on Form 40-F, which is incorporated by reference in such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Licensed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Canada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140137</Words>
  <Characters>773274</Characters>
  <CharactersWithSpaces>918474</CharactersWithSpaces>
  <Paragraphs>27286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