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April 2,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w:t>
        </w:r>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auto"/>
          </w:rPr>
          <w:t xml:space="preserve"> (File No. 333-272989),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 xml:space="preserve">Form F-4 </w:t>
        </w:r>
      </w:hyperlink>
      <w:hyperlink r:id="rId19">
        <w:r>
          <w:rPr>
            <w:rFonts w:ascii="Times New Roman" w:cs="Times New Roman" w:eastAsia="Times New Roman" w:hAnsi="Times New Roman"/>
            <w:sz w:val="18"/>
            <w:szCs w:val="18"/>
            <w:color w:val="000000"/>
          </w:rPr>
          <w:t>(File No. 333-282657), each as amended or supplemented.</w:t>
        </w:r>
      </w:hyperlink>
    </w:p>
    <w:p>
      <w:pPr>
        <w:spacing w:after="0" w:line="180"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color w:val="0000EE"/>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0000EE"/>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April 2, 2025</w:t>
      </w:r>
    </w:p>
    <w:p>
      <w:pPr>
        <w:spacing w:after="0" w:line="200" w:lineRule="exact"/>
        <w:rPr>
          <w:rFonts w:ascii="Times New Roman" w:cs="Times New Roman" w:eastAsia="Times New Roman" w:hAnsi="Times New Roman"/>
          <w:sz w:val="18"/>
          <w:szCs w:val="18"/>
          <w:color w:val="0000EE"/>
        </w:rPr>
      </w:pPr>
    </w:p>
    <w:p>
      <w:pPr>
        <w:spacing w:after="0" w:line="268"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press release attached as Schedule “A” was released on April 2, 2025 by a newswire company in Canada and filed under the Company’s profile on SEDAR+.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154305</wp:posOffset>
            </wp:positionV>
            <wp:extent cx="234886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348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Bitfarms Enters into Initial Agreement for Private Debt Facility with a division of Macquarie Group for up to $300 Million to Fund Initial HPC Project Development at Panther Creek</w:t>
      </w:r>
    </w:p>
    <w:p>
      <w:pPr>
        <w:spacing w:after="0" w:line="17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draw at close of $50 million, with up to a total of $300 million available upon entry into definitive project loan documentation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Early-stage investment from a division of Macquarie Group, one of the world’s largest infrastructure investors, further validates the attractiveness of Bitfarms’ potential HPC data center development pipeline, especially its near-term project at Panther Creek</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 million facility is expected to provide the necessary capital for Bitfarms to fund the initial portion of the Panther Creek data center development and buildout in a non-dilutive manner</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(April 2, 2025) </w:t>
      </w:r>
      <w:r>
        <w:rPr>
          <w:rFonts w:ascii="Times New Roman" w:cs="Times New Roman" w:eastAsia="Times New Roman" w:hAnsi="Times New Roman"/>
          <w:sz w:val="18"/>
          <w:szCs w:val="18"/>
          <w:color w:val="auto"/>
        </w:rPr>
        <w:t>- Bitfarms Ltd. (Nasdaq/TSX: BITF), a global energy and compute infrastructure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or the “Company”), announced today that the Company has entered into an initial agreement for a private debt facility for up to $300 million from Macquarie Equipment Capital, Inc., a division of Macquarie Group’s Commodities and Global Markets’ business (“Macquarie”). The initial tranche of the facility is $50 million at the parent level and proceeds will be used for project development soft costs and other general corporate purposes. The second tranche of the facility may be up to $250 million and is drawable as the Company achieves specific development milestones at its Panther Creek location, at which time the entirety of the loan becomes secured at the project level only, resulting in a total project debt facility of $300 million and termination of the initial loan. The maturity of each facility is two years from the date of closing and each facility bears an interest at a rate of 8% per annum, with interest on the initial draw of $50 million paid in kind for the first three months. Draws under the second tranche of the facility are subject to the entry into definitive documentation, mutually agreed between the Company and Macquarie, on terms appended to the initial agreement, in addition to certain other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CEO Ben Gagnon stated, “We are thrilled to partner with Macquarie, a global leader in infrastructure investment with deep expertise and relationships across the HPC-related infrastructure value chain. This partnership marks the beginning of our investment in the near-term development of our Panther Creek data center, strategically located in Pennsylvania’s PJM region within close proximity to Philadelphia and NYC metropolitan areas. Panther Creek alone has a potential capacity of nearly 500 MW, supported by multiple power sources. Having multiple energy sources enhances reliability and redundancy while reducing anticipated CapEx and OpEx for HPC, making these sites particularly attractive to potential HPC customers. We are confident that this partnership will not only accelerate our buildout at Panther Creek, but also open doors to future opportunities with Macquarie as we look to scale our project and potentially expand to other sites within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43500" cy="2708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1435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“Amidst the surging AI revolution and the growing demand for power and infrastructure, this financing arrives at a pivotal time following the close of our transformational acquisition of Stronghold Digital Mining and the recent appointments of both James Bond, SVP of HPC, and Craig Hibbard, SVP of Infrastructure. We believe the analyses provided by our strategic partners, ASG and WWT, along with Macquarie’s due diligence and industry expertise, validate our HPC opportunity thesis at Panther Creek, strengthen our HPC pipeline and strategy, and position Bitfarms as a market leader in sourcing and developing large-scale, high-quality HPC data center projects.”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Joshua Stevens, Associate Director, Macquarie Group’s Commodities and Global Markets business, said, “We are proud to partner with Bitfarms and look forward to supporting the continued development of its innovative Panther Creek project, as well as future infrastructure that will be essential to the advancement of AI. Panther Creek is well located, within 100 miles of New York City and Philadelphia, and we expect it will be sought after by HPC tenants once construction of the project is underway.”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CFO Jeff Lucas stated, “Our highly valued North American assets, strong cash flow from mining operations, and the potential for higher-margin, stable, and predictable earnings characteristic of an HPC business model have enabled us to secure this attractive debt financing from a respected infrastructure partner. With an interest rate of 8%, we believe we can fund our energy and HPC infrastructure development at a significantly lower cost of capital and with much less dilution than equity funding, creating long-term shareholder value. The net proceeds from the initial $50 million will accelerate the launch of our HPC project at Panther Creek and finance the soft costs as we move forward with the HPC development. Importantly, this valuable partnership with Macquarie provides the necessary capital and expertise in datacenter development to accelerate our next chapter of growth.”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Key Financing Terms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$300 million project loan is intended to fund the development of the data center project at Panther Creek.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$50 million initial tranche of the facility, which is earmarked for project development soft costs and other general corporate purposes, is at the parent level and is secured by a first priority lien on all assets of the U.S. and Canadian guarantors and the borrower, with customary exclusions. The second tranche of the facility will be for up to $250 million and will be drawable as the Company achieves specific development milestones at its Panther Creek location and upon entering definitive documentation, at which time the entirety of the loan will become secured at the project level only and would result in a total project debt facility of $300 million and termination of the initial loan.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each facility is two years from the date of closing. Each facility will bear interest at a rate of 8% per annum, with interest on the initial draw of $50 million paid in kind for the first three months.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initial tranche of the facility, Macquarie will receive warrants for the purchase of $5 million in shares of Bitfarms at a strike price equal to a 25% premium to the average of the past 5 days’ closing price (subject to a minimum strike price floor equal to the last closing price of Bitfarms’ shares on the TSX) and with a tenor of five years. The warrants and underlying shares are subject to customary registration rights for the resale of the underlying shares. Up until $125 million has been drawn under the second tranche of the facility, Macquarie will receive warrants equal to 10% of the amount drawn under the facility at a strike price equal to a 25% premium to the average of the past 5 days’ closing price (subject to a minimum strike price floor equal to the last closing price of Bitfarms’ shares on the TSX prior to grant) with a tenor of five years.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for the initial tranche of the facility includes various affirmative and negative covenants for Bitfarms and its subsidiaries, including restrictions on dispositions, dividends, the incurrence of debt and liens, material changes in the nature of its business, related party transactions, and investments, in each case subject to certain customary exclusions and carveouts. In addition, Bitfarms must maintain a minimum of $25 million balance in cash at all times while the initial tranche is outstanding and must deposit additional amounts of cash if the average bitcoin price drops below certain thresholds as provided in the loan agreement (which funds will be returned if the bitcoin price returns to the previous thresholds).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Northland Capital Markets acted as sole placement agent to the Company. Skadden, Arps, Slate, Meagher &amp; Flom LLP acted as legal counsel to the Company. Latham &amp; Watkins LLP acted as legal counsel to Macquarie.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energy and compute infrastructure company that develops, owns, and operates vertically integrated HPC and Bitcoin mining data centers. Bitfarms currently has 15 operating Bitcoin data centers situated in four countries: the United States, Canada, Argentina and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Powered primarily by environmentally friendly hydro-electric and long-term power contracts, Bitfarms is committed to using sustainable and often underutilized energy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Macquarie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Macquarie Group Limited (Macquarie) is a global financial services group providing clients with asset management, retail and business banking, wealth management, leasing and asset financing, market access, commodity trading, renewables development, specialist advice and access to capital and principal investment. Founded in 1969, Macquarie employs over 20,000 people in 34 markets. Commodities and Global Markets (CGM), an operating group of Macquarie, has more than 40 years of partnering with clients to provide capital and financing, risk management, market access, and physical execution and logistics solutions across commodities, financial markets, and asset finance sectors. For further information, visit www.macquarie.com.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 Megawatts or megawatt hour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CapEx = Capital Expenditure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OpEx = Operating Expenses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 Pennsylvania- New Jersey-Massachusetts regional transmission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NYC = New York City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WWT = World Wide Technology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ASG= Applebee Strategy Group,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completion of definitive documentation relating to the second tranche of the facility and the draw of an additional $250 million in funds, the development of the Company’s Panther Creek data center, its potential capacity, and its attractiveness to potential HPC customers, and other statements regarding future growth, plans and objectives of the Company are forward-looking information.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ability to successfully negotiate and deliver definitive documentation relating to the second tranche of the facility, that the second tranche may not close within the timeframe anticipated or at all or may not close on the terms and conditions currently anticipated by the parties; the development and operation of Panther Creek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plants which entail environmental risk and certain additional risk factors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Management’s Discussion &amp; Analysis for the year-ended December 31,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19" Type="http://schemas.openxmlformats.org/officeDocument/2006/relationships/hyperlink" Target="http://www.sec.gov/Archives/edgar/data/1812477/000101376225000733/ea0232744-s8_bitfarms.htm" TargetMode="External"/><Relationship Id="rId20" Type="http://schemas.openxmlformats.org/officeDocument/2006/relationships/hyperlink" Target="http://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2025-04-03T15:32:47Z</dcterms:created>
  <dcterms:modified xsi:type="dcterms:W3CDTF">2025-04-03T15:32:47Z</dcterms:modified>
</cp:coreProperties>
</file>