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February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4"/>
          <w:szCs w:val="24"/>
          <w:color w:val="auto"/>
        </w:rPr>
      </w:pPr>
    </w:p>
    <w:p>
      <w:pPr>
        <w:jc w:val="both"/>
        <w:ind w:right="120"/>
        <w:spacing w:after="0" w:line="263" w:lineRule="auto"/>
        <w:rPr>
          <w:sz w:val="20"/>
          <w:szCs w:val="20"/>
          <w:color w:val="auto"/>
        </w:rPr>
      </w:pPr>
      <w:r>
        <w:rPr>
          <w:rFonts w:ascii="Arial" w:cs="Arial" w:eastAsia="Arial" w:hAnsi="Arial"/>
          <w:sz w:val="18"/>
          <w:szCs w:val="18"/>
          <w:color w:val="auto"/>
        </w:rPr>
        <w:t>On February 25,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54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Material Change Report dated February 25, 2022</w:t>
              </w:r>
            </w:hyperlink>
          </w:p>
        </w:tc>
      </w:tr>
      <w:tr>
        <w:trPr>
          <w:trHeight w:val="331"/>
        </w:trPr>
        <w:tc>
          <w:tcPr>
            <w:tcW w:w="1360" w:type="dxa"/>
            <w:vAlign w:val="bottom"/>
            <w:tcBorders>
              <w:top w:val="single" w:sz="8" w:color="CCEEFF"/>
              <w:bottom w:val="single" w:sz="8" w:color="auto"/>
            </w:tcBorders>
          </w:tcPr>
          <w:p>
            <w:pPr>
              <w:spacing w:after="0"/>
              <w:rPr>
                <w:sz w:val="24"/>
                <w:szCs w:val="24"/>
                <w:color w:val="auto"/>
              </w:rPr>
            </w:pPr>
          </w:p>
        </w:tc>
        <w:tc>
          <w:tcPr>
            <w:tcW w:w="3540" w:type="dxa"/>
            <w:vAlign w:val="bottom"/>
            <w:tcBorders>
              <w:top w:val="single" w:sz="8" w:color="0000EE"/>
              <w:bottom w:val="single" w:sz="8" w:color="auto"/>
            </w:tcBorders>
          </w:tcPr>
          <w:p>
            <w:pPr>
              <w:spacing w:after="0"/>
              <w:rPr>
                <w:sz w:val="24"/>
                <w:szCs w:val="24"/>
                <w:color w:val="auto"/>
              </w:rPr>
            </w:pPr>
          </w:p>
        </w:tc>
        <w:tc>
          <w:tcPr>
            <w:tcW w:w="63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79" w:right="339"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355"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2022.</w:t>
      </w:r>
    </w:p>
    <w:p>
      <w:pPr>
        <w:sectPr>
          <w:pgSz w:w="11900" w:h="16838" w:orient="portrait"/>
          <w:cols w:equalWidth="0" w:num="1">
            <w:col w:w="11240"/>
          </w:cols>
          <w:pgMar w:left="320" w:top="355"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February 25,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355"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355"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355"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3" w:name="page4"/>
    <w:bookmarkEnd w:id="3"/>
    <w:p>
      <w:pPr>
        <w:jc w:val="center"/>
        <w:ind w:right="-9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151765</wp:posOffset>
            </wp:positionV>
            <wp:extent cx="207454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45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Bitfarms Enters $32 Million Equipment Financing Agreement</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 Adds Another Source of Non-dilutive Capital -</w:t>
      </w:r>
    </w:p>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545454"/>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(February 25, 2022)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a $32 million equipment financing agreement.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equipment financing agreement provides another source of non-dilutive capital, enabling us to finance equipment from our established mining operations so that we can invest growth capital into miner purchases and our new farms under construction,” said Jeff Lucas, CFO of Bitfarms. “With bitcoin (BTC) miner purchases making up the majority of our capital needs, this $32 million equipment financing frees up working capital and supports our flexible and non-recourse financing options, which also include our recently announced $100 million BTC collateralized loan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financing agreement, the Company entered into an equipment loan for the recent purchase of, and is secured by, 6,100 Bitmain S19j Pros for a total of US$32 million. The loan carries a two-year term and an interest rate of 14.5%.</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financing was provided by BlockFi Lending LLC. "We are pleased to partner with Bitfarms on this transaction. Our goal is to support our client's working capital needs and provide them with financial leverage for future growth,” said Patrick Guerriero, Director of Miner Finance at BlockFi.</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BlockFi Lending LLC</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1D1C1D"/>
          <w:highlight w:val="white"/>
        </w:rPr>
        <w:t xml:space="preserve">BlockFi is a crypto-financial services company focused on harnessing the power of cryptocurrencies and blockchain payment rails to create a globally accessible, crypto wealth management platform. At BlockFi, we provide clients with broad access to a suite of financial products and services, including crypto-backed loans, interest-bearing accounts to store crypto assets, and the world’s first crypto rewards credit card. </w:t>
      </w:r>
      <w:r>
        <w:rPr>
          <w:rFonts w:ascii="Arial" w:cs="Arial" w:eastAsia="Arial" w:hAnsi="Arial"/>
          <w:sz w:val="17"/>
          <w:szCs w:val="17"/>
          <w:color w:val="000000"/>
        </w:rPr>
        <w:t>Founded in 2017 by Zac Prince &amp;</w:t>
      </w:r>
      <w:r>
        <w:rPr>
          <w:rFonts w:ascii="Arial" w:cs="Arial" w:eastAsia="Arial" w:hAnsi="Arial"/>
          <w:sz w:val="17"/>
          <w:szCs w:val="17"/>
          <w:color w:val="1D1C1D"/>
          <w:highlight w:val="white"/>
        </w:rPr>
        <w:t xml:space="preserve"> </w:t>
      </w:r>
      <w:r>
        <w:rPr>
          <w:rFonts w:ascii="Arial" w:cs="Arial" w:eastAsia="Arial" w:hAnsi="Arial"/>
          <w:sz w:val="17"/>
          <w:szCs w:val="17"/>
          <w:color w:val="000000"/>
        </w:rPr>
        <w:t>Flori Marquez, BlockFi is one of the fastest-growing private fintech companies in the world currently valued at $4.5 billion USD. Headquartered in Jersey City, NJ, we serve over 1 million verified clients and 350 global financial institutions with approximately $10 billion USD in assets under management. BlockFi’s mission has always been to bridge traditional and crypto-based financial products, and at the heart of those efforts has been a focus on educating consumers about their benefits and how to grow their wealth in crypto.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444"/>
        </w:rPr>
        <w:t>Cautionary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444444"/>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444"/>
        </w:rPr>
        <w:t>Forward-Looking Statements</w:t>
      </w:r>
    </w:p>
    <w:p>
      <w:pPr>
        <w:spacing w:after="0" w:line="2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444444"/>
        </w:rPr>
        <w:t>This news release contains certain “forward-looking information” and “forward-looking statements” (collectively, “forward-looking information”) that are based on expectations,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444444"/>
        </w:rPr>
        <w:t>estimates and projections as at the date of this news release and are covered by safe harbors under Canadian and United States securities laws. The information in this release regarding the equipment loan with BlockFi Lending LLC and the benefits of this and other debt financing initiatives, its expansion plans, and other future plans and objectives of the Company are forward-looking information.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444444"/>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5" w:name="page6"/>
    <w:bookmarkEnd w:id="5"/>
    <w:p>
      <w:pPr>
        <w:jc w:val="both"/>
        <w:spacing w:after="0" w:line="267" w:lineRule="auto"/>
        <w:rPr>
          <w:sz w:val="20"/>
          <w:szCs w:val="20"/>
          <w:color w:val="auto"/>
        </w:rPr>
      </w:pPr>
      <w:r>
        <w:rPr>
          <w:rFonts w:ascii="Arial" w:cs="Arial" w:eastAsia="Arial" w:hAnsi="Arial"/>
          <w:sz w:val="17"/>
          <w:szCs w:val="17"/>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www.SEDAR.com (which are also available on the website of the U.S. Securities and Exchange Commission at www.sec.gov),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03030"/>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03030"/>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8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2022-02-25T15:31:18Z</dcterms:created>
  <dcterms:modified xsi:type="dcterms:W3CDTF">2022-02-25T15:31:18Z</dcterms:modified>
</cp:coreProperties>
</file>