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24, 2025, Bitfarms Ltd. (“</w:t>
      </w:r>
      <w:r>
        <w:rPr>
          <w:rFonts w:ascii="Times New Roman" w:cs="Times New Roman" w:eastAsia="Times New Roman" w:hAnsi="Times New Roman"/>
          <w:sz w:val="18"/>
          <w:szCs w:val="18"/>
          <w:u w:val="single" w:color="auto"/>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closed the additional draw of $50 million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pursuant to the previously-announced Amendment No. 1 to the Loan and Security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with Macquarie Equipment Capital, Inc., a division of Macquarie Group’s Commodities and Global Markets’ business (“</w:t>
      </w:r>
      <w:r>
        <w:rPr>
          <w:rFonts w:ascii="Times New Roman" w:cs="Times New Roman" w:eastAsia="Times New Roman" w:hAnsi="Times New Roman"/>
          <w:sz w:val="18"/>
          <w:szCs w:val="18"/>
          <w:u w:val="single" w:color="auto"/>
          <w:color w:val="auto"/>
        </w:rPr>
        <w:t>Macquarie</w:t>
      </w:r>
      <w:r>
        <w:rPr>
          <w:rFonts w:ascii="Times New Roman" w:cs="Times New Roman" w:eastAsia="Times New Roman" w:hAnsi="Times New Roman"/>
          <w:sz w:val="18"/>
          <w:szCs w:val="18"/>
          <w:color w:val="auto"/>
        </w:rPr>
        <w:t>”) and certain subsidiaries of the Company and lenders of the Company named therein. In connection with the Closing and pursuant to the terms of the Amendment, the Company issued to Macquarie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exercisable into 2,197,127 common shares of Bitfarms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at a strike price of $5.69 per common share, representing a premium of 25% over the trailing five-day volume weighted average price prior to the date of Closing. The warrants expire on October 24, 2030.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2025-10-24T16:08:54Z</dcterms:created>
  <dcterms:modified xsi:type="dcterms:W3CDTF">2025-10-24T16:08:54Z</dcterms:modified>
</cp:coreProperties>
</file>