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175895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207645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191135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191135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175895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186055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223520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248920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403225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7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March 26, 2025, the Registrant filed with the Canadian Securities Regulatory Authorities on the System for Electronic Data Analysis and Retrieval + (SEDAR +) a press release, a copy of which is attached hereto as Exhibit 99.1, which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540" w:type="dxa"/>
            <w:vAlign w:val="bottom"/>
          </w:tcPr>
          <w:p>
            <w:pPr>
              <w:spacing w:after="0"/>
              <w:rPr>
                <w:sz w:val="20"/>
                <w:szCs w:val="20"/>
                <w:color w:val="auto"/>
              </w:rPr>
            </w:pPr>
          </w:p>
        </w:tc>
        <w:tc>
          <w:tcPr>
            <w:tcW w:w="734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4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March 26, 2025</w:t>
            </w:r>
          </w:p>
        </w:tc>
      </w:tr>
      <w:tr>
        <w:trPr>
          <w:trHeight w:val="412"/>
        </w:trPr>
        <w:tc>
          <w:tcPr>
            <w:tcW w:w="1360" w:type="dxa"/>
            <w:vAlign w:val="bottom"/>
            <w:tcBorders>
              <w:top w:val="single" w:sz="8" w:color="CCEEFF"/>
              <w:bottom w:val="single" w:sz="8" w:color="auto"/>
            </w:tcBorders>
          </w:tcPr>
          <w:p>
            <w:pPr>
              <w:spacing w:after="0"/>
              <w:rPr>
                <w:sz w:val="24"/>
                <w:szCs w:val="24"/>
                <w:color w:val="auto"/>
              </w:rPr>
            </w:pPr>
          </w:p>
        </w:tc>
        <w:tc>
          <w:tcPr>
            <w:tcW w:w="2540" w:type="dxa"/>
            <w:vAlign w:val="bottom"/>
            <w:tcBorders>
              <w:top w:val="single" w:sz="8" w:color="0000EE"/>
              <w:bottom w:val="single" w:sz="8" w:color="auto"/>
            </w:tcBorders>
          </w:tcPr>
          <w:p>
            <w:pPr>
              <w:spacing w:after="0"/>
              <w:rPr>
                <w:sz w:val="24"/>
                <w:szCs w:val="24"/>
                <w:color w:val="auto"/>
              </w:rPr>
            </w:pPr>
          </w:p>
        </w:tc>
        <w:tc>
          <w:tcPr>
            <w:tcW w:w="73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160" w:right="8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Ben Gagnon</w:t>
      </w:r>
    </w:p>
    <w:p>
      <w:pPr>
        <w:spacing w:after="0" w:line="27" w:lineRule="exact"/>
        <w:rPr>
          <w:sz w:val="20"/>
          <w:szCs w:val="20"/>
          <w:color w:val="auto"/>
        </w:rPr>
      </w:pPr>
    </w:p>
    <w:tbl>
      <w:tblPr>
        <w:tblLayout w:type="fixed"/>
        <w:tblInd w:w="5980" w:type="dxa"/>
        <w:tblCellMar>
          <w:top w:w="0" w:type="dxa"/>
          <w:left w:w="0" w:type="dxa"/>
          <w:bottom w:w="0" w:type="dxa"/>
          <w:right w:w="0" w:type="dxa"/>
        </w:tblCellMar>
      </w:tblPr>
      <w:tr>
        <w:trPr>
          <w:trHeight w:val="205"/>
        </w:trPr>
        <w:tc>
          <w:tcPr>
            <w:tcW w:w="5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top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Ben Gagnon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164465</wp:posOffset>
            </wp:positionV>
            <wp:extent cx="2357120"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5712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Bitfarms Appoints James Bond as Senior Vice President of High-Performance Computing</w:t>
      </w:r>
    </w:p>
    <w:p>
      <w:pPr>
        <w:spacing w:after="0" w:line="22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-Mr. Bond to establish and scale Bitfarms North American HPC/AI business-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(March 26, 2025) </w:t>
      </w:r>
      <w:r>
        <w:rPr>
          <w:rFonts w:ascii="Times New Roman" w:cs="Times New Roman" w:eastAsia="Times New Roman" w:hAnsi="Times New Roman"/>
          <w:sz w:val="18"/>
          <w:szCs w:val="18"/>
          <w:color w:val="auto"/>
        </w:rPr>
        <w:t>- Bitfarms Ltd. (NASDAQ/TSX: BITF), a global Bitcoin and vertically integrated data center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has appointed James Bond as Senior Vice President of High-Performance Computing (“HPC”).</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Bond is a subject matter expert in HPC/AI with a proven record of launching new cloud and service provider offerings for large scale data centers across the U.S. He has over 20 years’ experience in public sector solution architecture and IT infrastructure design and implementation, including 15 years at Hewlett Packard Enterprise (“HPE”) where he most recently led their North America HPC/AI infrastructure platforms category. Under his leadership, the business grew to $2 billion in 2024, representing annual growth of 160%. At HPE North America, Mr. Bond was responsible for all HPC/AI go-to-market activities including the creation of new customer offerings, designing sales and pricing programs, managing partners, including NVIDIA, Intel and others, and managing net new logo sales and business development teams.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HPE, Mr. Bond led all product development, engineering, marketing, operations, and pre-sales business development for Apptix, the largest (at the time) Application Service Provider for Microsoft Exchange, SharePoint, and Unified Communications. Prior to Apptix, Mr. Bond served as the Chief Technology Officer and Co-Founder of IceWEB, where he created one of the first fully automated software-as-a-service (SaaS) cloud offerings, before cloud and SaaS terms were coined.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Bond is also the author of “The Enterprise Cloud” and a keynote speaker at industry events nation-wide, covering topics, such as the benefits of on-premise and hybrid cloud, AI/GenAI use cases, and how to build and deploy AI infrastructure including GPUs, HPC storage, and power/cooling specifically tuned for AI workloads. He holds a Bachelor’s Degree in Computer and Information Science from the University of Maryland.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CEO Ben Gagnon stated, “We are thrilled to welcome James into this critically important role for Bitfarms. James, and the team he builds around him, will spearhead the development and implementation of our long-term HPC/AI strategy. With our Pennsylvania pipeline of 1.1GW of secured power, we are in a strong position to develop an HPC/AI business geared for scale in the U.S. James’ impressive track record of implementing HPC solutions at scale and driving exponential growth for HPE’s HPC business makes him the ideal candidate to lead this new growth chapter at Bitfarms.”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James Bond stated,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 am excited to join the talented team at Bitfarms at such a pivotal time in their growth trajectory. I look forward to leveraging their premium Pennsylvania properties, existing data centers, and power capacity to deploy a world-class high-performance computing infrastructure to host state-of-the-art artificial intelligence solutions for future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Founded in 2017, Bitfarms is a global Bitcoin and vertically integrated data center company that sells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-424815</wp:posOffset>
            </wp:positionV>
            <wp:extent cx="7123430" cy="1371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1371600"/>
                    </a:xfrm>
                    <a:prstGeom prst="rect">
                      <a:avLst/>
                    </a:prstGeom>
                    <a:noFill/>
                  </pic:spPr>
                </pic:pic>
              </a:graphicData>
            </a:graphic>
          </wp:anchor>
        </w:drawing>
      </w:r>
    </w:p>
    <w:p>
      <w:pPr>
        <w:spacing w:after="0" w:line="156"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15 operating Bitcoin data centers in four countries: the United States, Canada,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685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https://x.com/Bitfarms_io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t>Glossary of Terms</w:t>
      </w:r>
    </w:p>
    <w:p>
      <w:pPr>
        <w:spacing w:after="0" w:line="22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HPC/AI = High Performance Computing / Artificial Intelligence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GW = Gigawatt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920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ability to enhance the business of the Company through adding additional </w:t>
      </w:r>
      <w:r>
        <w:rPr>
          <w:rFonts w:ascii="Times New Roman" w:cs="Times New Roman" w:eastAsia="Times New Roman" w:hAnsi="Times New Roman"/>
          <w:sz w:val="18"/>
          <w:szCs w:val="18"/>
          <w:i w:val="1"/>
          <w:iCs w:val="1"/>
          <w:color w:val="auto"/>
          <w:highlight w:val="white"/>
        </w:rPr>
        <w:t xml:space="preserve">human resources to HPC/AI strategies, opportunities relating to the potential of the Company’s data centers for HPC/AI opportunities, the merits and ability to secure long-term contracts associated with HPC/AI customers, the North American energy and compute infrastructure strategy, projected growth, target hashrate, and other statements regarding future growth, plans and objectives of the Company are forward-looking information. Any statements that </w:t>
      </w:r>
      <w:r>
        <w:rPr>
          <w:rFonts w:ascii="Times New Roman" w:cs="Times New Roman" w:eastAsia="Times New Roman" w:hAnsi="Times New Roman"/>
          <w:sz w:val="18"/>
          <w:szCs w:val="18"/>
          <w:i w:val="1"/>
          <w:iCs w:val="1"/>
          <w:color w:val="auto"/>
        </w:rPr>
        <w:t xml:space="preserve">involve discussions with respect to predictions, expectations, beliefs, plans, projections, objectives, assumptions, future events or performance (often but not </w:t>
      </w:r>
      <w:r>
        <w:rPr>
          <w:rFonts w:ascii="Times New Roman" w:cs="Times New Roman" w:eastAsia="Times New Roman" w:hAnsi="Times New Roman"/>
          <w:sz w:val="18"/>
          <w:szCs w:val="18"/>
          <w:i w:val="1"/>
          <w:iCs w:val="1"/>
          <w:color w:val="auto"/>
          <w:highlight w:val="white"/>
        </w:rPr>
        <w:t xml:space="preserve">always using phrases such as “expects”, or “does not expect”, “is expected”, “anticipates” or “does not anticipate”, “plans”, “budget”, “scheduled”, </w:t>
      </w:r>
      <w:r>
        <w:rPr>
          <w:rFonts w:ascii="Times New Roman" w:cs="Times New Roman" w:eastAsia="Times New Roman" w:hAnsi="Times New Roman"/>
          <w:sz w:val="18"/>
          <w:szCs w:val="18"/>
          <w:i w:val="1"/>
          <w:iCs w:val="1"/>
          <w:color w:val="auto"/>
        </w:rPr>
        <w:t xml:space="preserve">“forecasts”, “estimates”, “prospects”, “believes” or “intends” or variations of such words and phrases or stating that certain actions, events or results “may” or “could”, “would”, “might” or “will” be taken to occur or be achieved) are not statements of historical fact and may be forward-looking </w:t>
      </w:r>
      <w:r>
        <w:rPr>
          <w:rFonts w:ascii="Times New Roman" w:cs="Times New Roman" w:eastAsia="Times New Roman" w:hAnsi="Times New Roman"/>
          <w:sz w:val="18"/>
          <w:szCs w:val="18"/>
          <w:i w:val="1"/>
          <w:iCs w:val="1"/>
          <w:color w:val="auto"/>
          <w:highlight w:val="white"/>
        </w:rPr>
        <w:t>information and are intended to identify forward-looking information.</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anticipated benefits of the rebalancing of operations to North America and the North American energy and compute infrastructure strategy may not be realized; an inability to apply the Company’s data centers to HPC/AI opportunities on a profitable basis; a failure to secure long-term contracts associated with HPC/AI customers on terms which are economic or at all; the construction and operation of the Company’s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any regulations or laws that will prevent Bitfarms from operating its business;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restated MD&amp;A for the year-ended December 31, 2023, filed on December 9,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83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2025-03-27T05:14:08Z</dcterms:created>
  <dcterms:modified xsi:type="dcterms:W3CDTF">2025-03-27T05:14:08Z</dcterms:modified>
</cp:coreProperties>
</file>