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142875</wp:posOffset>
            </wp:positionV>
            <wp:extent cx="203136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February 2025 Production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Operations Update</w:t>
      </w:r>
    </w:p>
    <w:p>
      <w:pPr>
        <w:spacing w:after="0" w:line="207" w:lineRule="exact"/>
        <w:rPr>
          <w:sz w:val="24"/>
          <w:szCs w:val="24"/>
          <w:color w:val="auto"/>
        </w:rPr>
      </w:pPr>
    </w:p>
    <w:p>
      <w:pPr>
        <w:ind w:left="4380" w:hanging="103"/>
        <w:spacing w:after="0"/>
        <w:tabs>
          <w:tab w:leader="none" w:pos="43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hashrate of 16.1 EH/s –</w:t>
      </w:r>
    </w:p>
    <w:p>
      <w:pPr>
        <w:spacing w:after="0" w:line="27" w:lineRule="exact"/>
        <w:rPr>
          <w:rFonts w:ascii="Times New Roman" w:cs="Times New Roman" w:eastAsia="Times New Roman" w:hAnsi="Times New Roman"/>
          <w:sz w:val="18"/>
          <w:szCs w:val="18"/>
          <w:color w:val="auto"/>
        </w:rPr>
      </w:pPr>
    </w:p>
    <w:p>
      <w:pPr>
        <w:jc w:val="center"/>
        <w:ind w:left="3800" w:right="2220" w:hanging="1582"/>
        <w:spacing w:after="0" w:line="260" w:lineRule="auto"/>
        <w:tabs>
          <w:tab w:leader="none" w:pos="230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Stronghold Digital Mining &amp; sale of Yguazu site on track for Q1 2025 close – -Appoints Craig Hibbard to SVP of Infrastructure-</w:t>
      </w:r>
    </w:p>
    <w:p>
      <w:pPr>
        <w:spacing w:after="0" w:line="179" w:lineRule="exact"/>
        <w:rPr>
          <w:sz w:val="24"/>
          <w:szCs w:val="24"/>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4"/>
          <w:szCs w:val="24"/>
          <w:color w:val="auto"/>
        </w:rPr>
      </w:pPr>
    </w:p>
    <w:p>
      <w:pPr>
        <w:jc w:val="both"/>
        <w:ind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(March 3, 2025) </w:t>
      </w:r>
      <w:r>
        <w:rPr>
          <w:rFonts w:ascii="Times New Roman" w:cs="Times New Roman" w:eastAsia="Times New Roman" w:hAnsi="Times New Roman"/>
          <w:sz w:val="18"/>
          <w:szCs w:val="18"/>
          <w:color w:val="auto"/>
        </w:rPr>
        <w:t>- Bitfarms Ltd. (NASDAQ/TSX: BITF), a global Bitcoin and vertically integrated data center company, today issued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latest monthly production report. All financial references are in U.S. dollars.</w:t>
      </w:r>
    </w:p>
    <w:p>
      <w:pPr>
        <w:spacing w:after="0" w:line="15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CEO Ben Gagnon stated, “We are on track to close our acquisition of Stronghold Digital Mining (“Stronghold”) following the recent successful shareholder vote which Stronghold shareholders voted overwhelmingly in support. Combined with the strategic sale of our 200 MW Yguazu, Paraguay data center, also on track for a Q1 2025 close, these accretive transactions will improve our energy portfolio and transform Bitfarms into a North American energy and compute infrastructure company with lower-cost energy and high-quality assets, suitable for both HPC/AI and Bitcoin mining.</w:t>
      </w:r>
    </w:p>
    <w:p>
      <w:pPr>
        <w:spacing w:after="0" w:line="18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 am thrilled to welcome our new SVP of Infrastructure, Craig Hibbard. Craig joins us from Mawson Infrastructure Group where he was Chief Development Officer. He has over 25 years of experience leading large-scale real estate development projects, including the recent rapid design and construction of over 200 MW of digital infrastructure for a U.S. firm specializing in digital assets and HPC/AI. Based in Pennsylvania, Craig will play a critical role in managing infrastructure development for our rapidly expanding PJM portfolio and advancing our HPC/AI business.”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SVP of Global Mining Operations Alex Brammer said, “During February we grew our operational hashrate 6% to 16.1 EH/s and grew our average operational hashrate 20% to 13.4 EH/s, achieving new all-time highs in three out of four countries. This growth will continue as we deploy miners in the U.S. and Argentina and optimize performance across all of our data centers.”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February 2025 Select Operating Highlights</w:t>
            </w:r>
          </w:p>
        </w:tc>
        <w:tc>
          <w:tcPr>
            <w:tcW w:w="536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2025</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2025</w:t>
            </w: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201</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Energized Capacity (MW)</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437</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256</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BTC Sold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bl>
    <w:p>
      <w:pPr>
        <w:spacing w:after="0" w:line="17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EH/s operational at February 28, 2025, up 6% M/M.</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 EH/s average operational, up 20% M/M.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BTC/average EH/s, 11% lower M/M.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 BTC earned, 6% higher M/M.</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BTC earned daily on average, equal to ~$638,400 per day based on a BTC price of $84,000 at February 28,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February 2025 Financial Update</w:t>
      </w:r>
    </w:p>
    <w:p>
      <w:pPr>
        <w:spacing w:after="0" w:line="3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75 of the 213 BTC earned as part of the Company’s regular treasury management practice for total proceeds of $6.5 million.</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108 BTC, bringing Treasury to 1,260 BTC, up from 1,152 BTC last month and representing $105.8 million based on the Bitcoin price of $84,000 at February 28, 2025. This includes the transfer of 30 BTC to a third party as collateral for active option contracts during the month.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3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12, 2025: Cantor Fitzgerald Global Technology Conference (NYC)</w:t>
      </w:r>
    </w:p>
    <w:p>
      <w:pPr>
        <w:spacing w:after="0" w:line="9" w:lineRule="exact"/>
        <w:rPr>
          <w:rFonts w:ascii="Times New Roman" w:cs="Times New Roman" w:eastAsia="Times New Roman" w:hAnsi="Times New Roman"/>
          <w:sz w:val="18"/>
          <w:szCs w:val="18"/>
          <w:color w:val="auto"/>
        </w:rPr>
      </w:pPr>
    </w:p>
    <w:p>
      <w:pPr>
        <w:ind w:left="340" w:hanging="332"/>
        <w:spacing w:after="0" w:line="219"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March 17-18, 2025: 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ROTH Conference (Dana Point, CA)</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sells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1371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1371600"/>
                    </a:xfrm>
                    <a:prstGeom prst="rect">
                      <a:avLst/>
                    </a:prstGeom>
                    <a:noFill/>
                  </pic:spPr>
                </pic:pic>
              </a:graphicData>
            </a:graphic>
          </wp:anchor>
        </w:drawing>
      </w:r>
    </w:p>
    <w:p>
      <w:pPr>
        <w:spacing w:after="0" w:line="156"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13 operating Bitcoin data centers, as well as hosting agreements with two data centers,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GW or GWh= Gigawatts or gigawatt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Energized capacity= Power available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capacity= Power and infrastructure being used for current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PJM= Pennsylvania- New Jersey- Maryland Interconnection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-1228090</wp:posOffset>
            </wp:positionV>
            <wp:extent cx="7132320"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468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highlight w:val="white"/>
        </w:rPr>
        <w:t xml:space="preserve">securities laws. The statements and information in this release regarding projected growth, target hashrate, opportunities relating to the Company’s </w:t>
      </w:r>
      <w:r>
        <w:rPr>
          <w:rFonts w:ascii="Times New Roman" w:cs="Times New Roman" w:eastAsia="Times New Roman" w:hAnsi="Times New Roman"/>
          <w:sz w:val="18"/>
          <w:szCs w:val="18"/>
          <w:i w:val="1"/>
          <w:iCs w:val="1"/>
          <w:color w:val="auto"/>
        </w:rPr>
        <w:t xml:space="preserve">geographical diversification and expansion, the merits of the rebalancing operations to North America and projected growth, the North American energy and compute infrastructure strategy, deployment of miners as well as the timing therefor, closing of the Stronghold acquisition on a timely basis and on the </w:t>
      </w:r>
      <w:r>
        <w:rPr>
          <w:rFonts w:ascii="Times New Roman" w:cs="Times New Roman" w:eastAsia="Times New Roman" w:hAnsi="Times New Roman"/>
          <w:sz w:val="18"/>
          <w:szCs w:val="18"/>
          <w:i w:val="1"/>
          <w:iCs w:val="1"/>
          <w:color w:val="auto"/>
          <w:highlight w:val="white"/>
        </w:rPr>
        <w:t xml:space="preserve">terms as announced, the positive impact of the Stronghold acquisition and the ability to gain access to additional electrical power and grow hashrate of the Stronghold business, the sale of the Yguazu, Paraguay Site and the reinvestment of the proceeds of the sale for growth, opportunities relating to the </w:t>
      </w:r>
      <w:r>
        <w:rPr>
          <w:rFonts w:ascii="Times New Roman" w:cs="Times New Roman" w:eastAsia="Times New Roman" w:hAnsi="Times New Roman"/>
          <w:sz w:val="18"/>
          <w:szCs w:val="18"/>
          <w:i w:val="1"/>
          <w:iCs w:val="1"/>
          <w:color w:val="auto"/>
        </w:rPr>
        <w:t xml:space="preserve">potential of the Company’s data centers for HPC/AI, performance of the plants and equipment upgrades and the impact on operating capacity including </w:t>
      </w:r>
      <w:r>
        <w:rPr>
          <w:rFonts w:ascii="Times New Roman" w:cs="Times New Roman" w:eastAsia="Times New Roman" w:hAnsi="Times New Roman"/>
          <w:sz w:val="18"/>
          <w:szCs w:val="18"/>
          <w:i w:val="1"/>
          <w:iCs w:val="1"/>
          <w:color w:val="auto"/>
          <w:highlight w:val="white"/>
        </w:rPr>
        <w:t xml:space="preserve">the target hashrate and multi-year expansion capacity, the opportunities to leverage Bitfarms’ proven expertise to successfully enhance energy efficiency and hashrate, the benefits of diversification and other statements regarding future growth, plans and objectives of the Company are forward-looking </w:t>
      </w:r>
      <w:r>
        <w:rPr>
          <w:rFonts w:ascii="Times New Roman" w:cs="Times New Roman" w:eastAsia="Times New Roman" w:hAnsi="Times New Roman"/>
          <w:sz w:val="18"/>
          <w:szCs w:val="18"/>
          <w:i w:val="1"/>
          <w:iCs w:val="1"/>
          <w:color w:val="auto"/>
        </w:rPr>
        <w:t xml:space="preserve">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w:t>
      </w:r>
      <w:r>
        <w:rPr>
          <w:rFonts w:ascii="Times New Roman" w:cs="Times New Roman" w:eastAsia="Times New Roman" w:hAnsi="Times New Roman"/>
          <w:sz w:val="18"/>
          <w:szCs w:val="18"/>
          <w:i w:val="1"/>
          <w:iCs w:val="1"/>
          <w:color w:val="auto"/>
          <w:highlight w:val="white"/>
        </w:rPr>
        <w:t>“plans”,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highlight w:val="white"/>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there is no guarantee that the Company will be able to complete the acquisition of Stronghold Digital Mining, Inc. or the sale of the Yguazu, Paraguay Site on the terms as announced, or at all; expansion may not materialize as currently anticipated, or at all; the anticipated merits of the HPC/AI strategy, the benefits and programs of the PJM deregulated market and the objectives of diversification in general may not be realized as planned; efforts to improve and optimize the performance of equipment may not be successful;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w:t>
      </w:r>
      <w:r>
        <w:rPr>
          <w:rFonts w:ascii="Times New Roman" w:cs="Times New Roman" w:eastAsia="Times New Roman" w:hAnsi="Times New Roman"/>
          <w:sz w:val="17"/>
          <w:szCs w:val="17"/>
          <w:i w:val="1"/>
          <w:iCs w:val="1"/>
          <w:color w:val="auto"/>
        </w:rPr>
        <w:t>future capital</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i w:val="1"/>
          <w:iCs w:val="1"/>
          <w:color w:val="auto"/>
        </w:rPr>
        <w:t xml:space="preserve">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w:t>
      </w:r>
      <w:r>
        <w:rPr>
          <w:rFonts w:ascii="Times New Roman" w:cs="Times New Roman" w:eastAsia="Times New Roman" w:hAnsi="Times New Roman"/>
          <w:sz w:val="17"/>
          <w:szCs w:val="17"/>
          <w:i w:val="1"/>
          <w:iCs w:val="1"/>
          <w:color w:val="auto"/>
          <w:highlight w:val="white"/>
        </w:rPr>
        <w:t>any regulations or laws that will prevent Bitfarms from operating its business; historical prices of digital currencies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color w:val="auto"/>
          <w:highlight w:val="white"/>
        </w:rPr>
        <w:t xml:space="preserve">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restated MD&amp;A for the year-ended December 31, 2023, filed on December 9,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 </w:t>
      </w:r>
      <w:r>
        <w:rPr>
          <w:rFonts w:ascii="Times New Roman" w:cs="Times New Roman" w:eastAsia="Times New Roman" w:hAnsi="Times New Roman"/>
          <w:sz w:val="17"/>
          <w:szCs w:val="17"/>
          <w:i w:val="1"/>
          <w:iCs w:val="1"/>
          <w:color w:val="auto"/>
        </w:rPr>
        <w:t>Trading in the securities of the Company should be considered highly speculative.</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i w:val="1"/>
          <w:iCs w:val="1"/>
          <w:color w:val="auto"/>
        </w:rPr>
        <w:t>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about the Stronghold Acquisition and 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760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760720"/>
                    </a:xfrm>
                    <a:prstGeom prst="rect">
                      <a:avLst/>
                    </a:prstGeom>
                    <a:noFill/>
                  </pic:spPr>
                </pic:pic>
              </a:graphicData>
            </a:graphic>
          </wp:anchor>
        </w:drawing>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communication relates to a proposed merger between Stronghold and Bitfarms. In connection with the proposed merger, Bitfarms has filed the registration statement with the SEC.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w:t>
      </w:r>
      <w:r>
        <w:rPr>
          <w:rFonts w:ascii="Times New Roman" w:cs="Times New Roman" w:eastAsia="Times New Roman" w:hAnsi="Times New Roman"/>
          <w:sz w:val="18"/>
          <w:szCs w:val="18"/>
          <w:b w:val="1"/>
          <w:bCs w:val="1"/>
          <w:i w:val="1"/>
          <w:iCs w:val="1"/>
          <w:color w:val="auto"/>
        </w:rPr>
        <w:t>Investors are urged to read the proxy statement/prospectus (including all amendments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supplements thereto) and other relevant documents filed with the SEC carefully and in their entirety if and when they become available because they will contain important information about the proposed merger and related matters.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Stronghold Acquisition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 connection with the proposed merger, Bitfarms has filed with the SEC a registration statement on Form F-4 on December 19, 2024, which includes a proxy statement of Stronghold that also constitutes a prospectus of Bitfarms.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using the sources indicated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2025-03-05T15:38:13Z</dcterms:created>
  <dcterms:modified xsi:type="dcterms:W3CDTF">2025-03-05T15:38:13Z</dcterms:modified>
</cp:coreProperties>
</file>