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187792-f10a2_bitfarms.htm"/>
      <w:bookmarkStart w:id="1" w:name="ksea187792f10a2_bitfarms"/>
      <w:bookmarkEnd w:id="0"/>
      <w:bookmarkEnd w:id="1"/>
      <w:r>
        <w:rPr>
          <w:rFonts w:ascii="Times New Roman;Times;Serif" w:hAnsi="Times New Roman;Times;Serif"/>
          <w:b/>
          <w:i w:val="false"/>
          <w:caps w:val="false"/>
          <w:smallCaps w:val="false"/>
          <w:sz w:val="20"/>
        </w:rPr>
        <w:t>As filed with the Securities and Exchange Commission on November 13, 2023</w:t>
      </w:r>
      <w:r>
        <w:rPr>
          <w:rFonts w:ascii="Times New Roman;Times;Serif" w:hAnsi="Times New Roman;Times;Serif"/>
          <w:b w:val="false"/>
          <w:i w:val="false"/>
          <w:caps w:val="false"/>
          <w:smallCaps w:val="false"/>
          <w:sz w:val="20"/>
        </w:rPr>
        <w:t xml:space="preserve">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333- 272989</w:t>
      </w:r>
    </w:p>
    <w:p>
      <w:pPr>
        <w:pStyle w:val="TextBody"/>
        <w:bidi w:val="0"/>
        <w:jc w:val="left"/>
        <w:rPr>
          <w:bdr w:val="single" w:sz="16" w:space="1" w:color="000000"/>
        </w:rPr>
      </w:pPr>
      <w:r>
        <w:rPr>
          <w:bdr w:val="single" w:sz="16" w:space="1" w:color="000000"/>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2 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2750"/>
        <w:gridCol w:w="120"/>
        <w:gridCol w:w="2435"/>
        <w:gridCol w:w="120"/>
        <w:gridCol w:w="3065"/>
      </w:tblGrid>
      <w:tr>
        <w:trPr/>
        <w:tc>
          <w:tcPr>
            <w:tcW w:w="275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Canada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6199</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6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Not Applicable</w:t>
            </w:r>
            <w:r>
              <w:rPr/>
              <w:t xml:space="preserve"> </w:t>
            </w:r>
          </w:p>
        </w:tc>
      </w:tr>
      <w:tr>
        <w:trPr/>
        <w:tc>
          <w:tcPr>
            <w:tcW w:w="2750"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(Province or other Jurisdiction of </w:t>
              <w:br/>
              <w:t>Incorporation or Organization)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3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(Primary Standard Industrial </w:t>
              <w:br/>
              <w:t>Classification Code Number)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65" w:type="dxa"/>
            <w:tcBorders/>
            <w:tcMar>
              <w:bottom w:w="0" w:type="dxa"/>
            </w:tcMar>
            <w:vAlign w:val="center"/>
          </w:tcPr>
          <w:p>
            <w:pPr>
              <w:pStyle w:val="TableContents"/>
              <w:bidi w:val="0"/>
              <w:spacing w:before="0" w:after="283"/>
              <w:jc w:val="center"/>
              <w:rPr/>
            </w:pPr>
            <w:r>
              <w:rPr>
                <w:rFonts w:ascii="Times New Roman;Times;Serif" w:hAnsi="Times New Roman;Times;Serif"/>
                <w:sz w:val="20"/>
              </w:rPr>
              <w:t>(I.R.S. Employer</w:t>
              <w:br/>
              <w:t>Identification Number, if applicable)</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Yonge Street, Suite 1601, Toronto, Ontario, M5C 1T4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 259-1790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555"/>
        <w:gridCol w:w="2030"/>
      </w:tblGrid>
      <w:tr>
        <w:trPr/>
        <w:tc>
          <w:tcPr>
            <w:tcW w:w="25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 D. Wood</w:t>
            </w:r>
          </w:p>
        </w:tc>
        <w:tc>
          <w:tcPr>
            <w:tcW w:w="20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Dennis Peterson</w:t>
            </w:r>
          </w:p>
        </w:tc>
      </w:tr>
      <w:tr>
        <w:trPr/>
        <w:tc>
          <w:tcPr>
            <w:tcW w:w="25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Alyse A. Sagalchik</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Peterson McVicar LLP</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Katten Muchin Rosenman LLP</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 King St. E., Suite 902</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525 W. Monroe Street</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Toronto, ON M5C 1C4</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Chicago, IL 60661</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(647) 259-1790</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 902-5200</w:t>
            </w:r>
          </w:p>
        </w:tc>
        <w:tc>
          <w:tcPr>
            <w:tcW w:w="20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this Registration Statement becomes effective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Province of Ontario, Canada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jurisdiction regulating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this filing shall become effective (check appropriate box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230"/>
        <w:gridCol w:w="976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0" w:type="dxa"/>
            <w:tcBorders/>
            <w:vAlign w:val="center"/>
          </w:tcPr>
          <w:p>
            <w:pPr>
              <w:pStyle w:val="TableContents"/>
              <w:bidi w:val="0"/>
              <w:spacing w:before="0" w:after="283"/>
              <w:jc w:val="both"/>
              <w:rPr/>
            </w:pPr>
            <w:r>
              <w:rPr/>
              <w:t>☐</w:t>
            </w:r>
          </w:p>
        </w:tc>
        <w:tc>
          <w:tcPr>
            <w:tcW w:w="9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filing with the Commission, pursuant to Rule 467(a) (if in connection with an offering being made contemporaneously in the United States and Canada).</w:t>
            </w:r>
          </w:p>
        </w:tc>
      </w:tr>
    </w:tbl>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215"/>
        <w:gridCol w:w="230"/>
        <w:gridCol w:w="438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30" w:type="dxa"/>
            <w:tcBorders/>
            <w:vAlign w:val="center"/>
          </w:tcPr>
          <w:p>
            <w:pPr>
              <w:pStyle w:val="TableContents"/>
              <w:bidi w:val="0"/>
              <w:spacing w:before="0" w:after="283"/>
              <w:jc w:val="both"/>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some future date (check the appropriate box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
        <w:gridCol w:w="215"/>
        <w:gridCol w:w="281"/>
        <w:gridCol w:w="9583"/>
      </w:tblGrid>
      <w:tr>
        <w:trPr/>
        <w:tc>
          <w:tcPr>
            <w:tcW w:w="126" w:type="dxa"/>
            <w:tcBorders/>
            <w:vAlign w:val="center"/>
          </w:tcPr>
          <w:p>
            <w:pPr>
              <w:pStyle w:val="TableContents"/>
              <w:bidi w:val="0"/>
              <w:spacing w:before="0" w:after="283"/>
              <w:jc w:val="left"/>
              <w:rPr/>
            </w:pPr>
            <w:r>
              <w:rPr/>
              <w:t xml:space="preserve">  </w:t>
            </w:r>
          </w:p>
        </w:tc>
        <w:tc>
          <w:tcPr>
            <w:tcW w:w="215" w:type="dxa"/>
            <w:tcBorders/>
            <w:vAlign w:val="center"/>
          </w:tcPr>
          <w:p>
            <w:pPr>
              <w:pStyle w:val="TableContents"/>
              <w:bidi w:val="0"/>
              <w:spacing w:before="0" w:after="283"/>
              <w:jc w:val="left"/>
              <w:rPr/>
            </w:pPr>
            <w:r>
              <w:rPr>
                <w:rFonts w:ascii="Times New Roman;Times;Serif" w:hAnsi="Times New Roman;Times;Serif"/>
                <w:sz w:val="20"/>
              </w:rPr>
              <w:t>1.</w:t>
            </w:r>
            <w:r>
              <w:rPr/>
              <w:t xml:space="preserve"> </w:t>
            </w:r>
          </w:p>
        </w:tc>
        <w:tc>
          <w:tcPr>
            <w:tcW w:w="281" w:type="dxa"/>
            <w:tcBorders/>
            <w:vAlign w:val="center"/>
          </w:tcPr>
          <w:p>
            <w:pPr>
              <w:pStyle w:val="TableContents"/>
              <w:bidi w:val="0"/>
              <w:spacing w:before="0" w:after="283"/>
              <w:jc w:val="both"/>
              <w:rPr/>
            </w:pPr>
            <w:r>
              <w:rPr/>
              <w:t xml:space="preserve">☒ </w:t>
            </w:r>
          </w:p>
        </w:tc>
        <w:tc>
          <w:tcPr>
            <w:tcW w:w="9583" w:type="dxa"/>
            <w:tcBorders/>
            <w:vAlign w:val="center"/>
          </w:tcPr>
          <w:p>
            <w:pPr>
              <w:pStyle w:val="TableContents"/>
              <w:bidi w:val="0"/>
              <w:spacing w:before="0" w:after="283"/>
              <w:jc w:val="both"/>
              <w:rPr/>
            </w:pPr>
            <w:r>
              <w:rPr>
                <w:rFonts w:ascii="Times New Roman;Times;Serif" w:hAnsi="Times New Roman;Times;Serif"/>
                <w:sz w:val="20"/>
              </w:rPr>
              <w:t>pursuant to Rule 467(b) on November 20, 2023 at 9:00 am Eastern Time (designate a time not sooner than 7 calendar days after filing).</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
        <w:gridCol w:w="179"/>
        <w:gridCol w:w="261"/>
        <w:gridCol w:w="9659"/>
      </w:tblGrid>
      <w:tr>
        <w:trPr/>
        <w:tc>
          <w:tcPr>
            <w:tcW w:w="106" w:type="dxa"/>
            <w:tcBorders/>
            <w:vAlign w:val="center"/>
          </w:tcPr>
          <w:p>
            <w:pPr>
              <w:pStyle w:val="TableContents"/>
              <w:bidi w:val="0"/>
              <w:spacing w:before="0" w:after="283"/>
              <w:jc w:val="left"/>
              <w:rPr/>
            </w:pPr>
            <w:r>
              <w:rPr/>
              <w:t xml:space="preserve">  </w:t>
            </w:r>
          </w:p>
        </w:tc>
        <w:tc>
          <w:tcPr>
            <w:tcW w:w="179" w:type="dxa"/>
            <w:tcBorders/>
            <w:vAlign w:val="center"/>
          </w:tcPr>
          <w:p>
            <w:pPr>
              <w:pStyle w:val="TableContents"/>
              <w:bidi w:val="0"/>
              <w:spacing w:before="0" w:after="283"/>
              <w:jc w:val="left"/>
              <w:rPr/>
            </w:pPr>
            <w:r>
              <w:rPr>
                <w:rFonts w:ascii="Times New Roman;Times;Serif" w:hAnsi="Times New Roman;Times;Serif"/>
                <w:sz w:val="20"/>
              </w:rPr>
              <w:t>2.</w:t>
            </w:r>
            <w:r>
              <w:rPr/>
              <w:t xml:space="preserve"> </w:t>
            </w:r>
          </w:p>
        </w:tc>
        <w:tc>
          <w:tcPr>
            <w:tcW w:w="261" w:type="dxa"/>
            <w:tcBorders/>
            <w:vAlign w:val="center"/>
          </w:tcPr>
          <w:p>
            <w:pPr>
              <w:pStyle w:val="TableContents"/>
              <w:bidi w:val="0"/>
              <w:spacing w:before="0" w:after="283"/>
              <w:jc w:val="both"/>
              <w:rPr/>
            </w:pPr>
            <w:r>
              <w:rPr/>
              <w:t xml:space="preserve">☐ </w:t>
            </w:r>
          </w:p>
        </w:tc>
        <w:tc>
          <w:tcPr>
            <w:tcW w:w="9659" w:type="dxa"/>
            <w:tcBorders/>
            <w:vAlign w:val="center"/>
          </w:tcPr>
          <w:p>
            <w:pPr>
              <w:pStyle w:val="TableContents"/>
              <w:bidi w:val="0"/>
              <w:spacing w:before="0" w:after="283"/>
              <w:jc w:val="both"/>
              <w:rPr/>
            </w:pPr>
            <w:r>
              <w:rPr>
                <w:rFonts w:ascii="Times New Roman;Times;Serif" w:hAnsi="Times New Roman;Times;Serif"/>
                <w:sz w:val="20"/>
              </w:rPr>
              <w:t>pursuant to Rule 467(b) on (   ) at (   ) (designate a time 7 calendar days or sooner after filing) because the securities regulatory authority in the review jurisdiction has issued a receipt or notification of clearance on (   ).</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
        <w:gridCol w:w="171"/>
        <w:gridCol w:w="256"/>
        <w:gridCol w:w="9677"/>
      </w:tblGrid>
      <w:tr>
        <w:trPr/>
        <w:tc>
          <w:tcPr>
            <w:tcW w:w="101" w:type="dxa"/>
            <w:tcBorders/>
            <w:vAlign w:val="center"/>
          </w:tcPr>
          <w:p>
            <w:pPr>
              <w:pStyle w:val="TableContents"/>
              <w:bidi w:val="0"/>
              <w:spacing w:before="0" w:after="283"/>
              <w:jc w:val="left"/>
              <w:rPr/>
            </w:pPr>
            <w:r>
              <w:rPr/>
              <w:t xml:space="preserve">  </w:t>
            </w:r>
          </w:p>
        </w:tc>
        <w:tc>
          <w:tcPr>
            <w:tcW w:w="171" w:type="dxa"/>
            <w:tcBorders/>
            <w:vAlign w:val="center"/>
          </w:tcPr>
          <w:p>
            <w:pPr>
              <w:pStyle w:val="TableContents"/>
              <w:bidi w:val="0"/>
              <w:spacing w:before="0" w:after="283"/>
              <w:jc w:val="left"/>
              <w:rPr/>
            </w:pPr>
            <w:r>
              <w:rPr>
                <w:rFonts w:ascii="Times New Roman;Times;Serif" w:hAnsi="Times New Roman;Times;Serif"/>
                <w:sz w:val="20"/>
              </w:rPr>
              <w:t>3.</w:t>
            </w:r>
            <w:r>
              <w:rPr/>
              <w:t xml:space="preserve"> </w:t>
            </w:r>
          </w:p>
        </w:tc>
        <w:tc>
          <w:tcPr>
            <w:tcW w:w="256" w:type="dxa"/>
            <w:tcBorders/>
            <w:vAlign w:val="center"/>
          </w:tcPr>
          <w:p>
            <w:pPr>
              <w:pStyle w:val="TableContents"/>
              <w:bidi w:val="0"/>
              <w:spacing w:before="0" w:after="283"/>
              <w:jc w:val="both"/>
              <w:rPr/>
            </w:pPr>
            <w:r>
              <w:rPr/>
              <w:t xml:space="preserve">☐ </w:t>
            </w:r>
          </w:p>
        </w:tc>
        <w:tc>
          <w:tcPr>
            <w:tcW w:w="9677" w:type="dxa"/>
            <w:tcBorders/>
            <w:vAlign w:val="center"/>
          </w:tcPr>
          <w:p>
            <w:pPr>
              <w:pStyle w:val="TableContents"/>
              <w:bidi w:val="0"/>
              <w:spacing w:before="0" w:after="283"/>
              <w:jc w:val="both"/>
              <w:rPr/>
            </w:pPr>
            <w:r>
              <w:rPr>
                <w:rFonts w:ascii="Times New Roman;Times;Serif" w:hAnsi="Times New Roman;Times;Serif"/>
                <w:sz w:val="20"/>
              </w:rPr>
              <w:t>pursuant to Rule 467(b) as soon as practicable after notification of the Commission by the Registrant or the Canadian securities regulatory authority of the review jurisdiction that a receipt or notification of clearance has been issued with respect hereto.</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7965" w:type="dxa"/>
        <w:jc w:val="left"/>
        <w:tblInd w:w="0" w:type="dxa"/>
        <w:tblLayout w:type="fixed"/>
        <w:tblCellMar>
          <w:top w:w="0" w:type="dxa"/>
          <w:left w:w="0" w:type="dxa"/>
          <w:bottom w:w="0" w:type="dxa"/>
          <w:right w:w="0" w:type="dxa"/>
        </w:tblCellMar>
      </w:tblPr>
      <w:tblGrid>
        <w:gridCol w:w="135"/>
        <w:gridCol w:w="230"/>
        <w:gridCol w:w="290"/>
        <w:gridCol w:w="73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rFonts w:ascii="Times New Roman;Times;Serif" w:hAnsi="Times New Roman;Times;Serif"/>
                <w:sz w:val="20"/>
              </w:rPr>
              <w:t>4.</w:t>
            </w:r>
            <w:r>
              <w:rPr/>
              <w:t xml:space="preserve"> </w:t>
            </w:r>
          </w:p>
        </w:tc>
        <w:tc>
          <w:tcPr>
            <w:tcW w:w="290" w:type="dxa"/>
            <w:tcBorders/>
            <w:vAlign w:val="center"/>
          </w:tcPr>
          <w:p>
            <w:pPr>
              <w:pStyle w:val="TableContents"/>
              <w:bidi w:val="0"/>
              <w:spacing w:before="0" w:after="283"/>
              <w:jc w:val="both"/>
              <w:rPr/>
            </w:pPr>
            <w:r>
              <w:rPr/>
              <w:t xml:space="preserve">☐ </w:t>
            </w:r>
          </w:p>
        </w:tc>
        <w:tc>
          <w:tcPr>
            <w:tcW w:w="7310" w:type="dxa"/>
            <w:tcBorders/>
            <w:vAlign w:val="center"/>
          </w:tcPr>
          <w:p>
            <w:pPr>
              <w:pStyle w:val="TableContents"/>
              <w:bidi w:val="0"/>
              <w:spacing w:before="0" w:after="283"/>
              <w:jc w:val="both"/>
              <w:rPr/>
            </w:pPr>
            <w:r>
              <w:rPr>
                <w:rFonts w:ascii="Times New Roman;Times;Serif" w:hAnsi="Times New Roman;Times;Serif"/>
                <w:sz w:val="20"/>
              </w:rPr>
              <w:t>after the filing of the next amendment to this Form (if preliminary material is being filed).</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the home jurisdiction’s shelf prospectus offering procedures,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FF0000"/>
          <w:sz w:val="20"/>
        </w:rPr>
        <w:t>This short form prospectus is a base shelf prospectus. This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Information has been incorporated by reference in this short form base shelf prospectus from documents filed with the securities commissions or similar authorities in Canada. Copies of the documents incorporated herein by reference may be obtained on request without charge from the Chief Financial Officer of Bitfarms Ltd. at 110 Yonge Street, Suite 1601, Toronto, ON M5C 1T4 (Telephone 647 259-1790), and are also available electronically at </w:t>
      </w:r>
      <w:r>
        <w:rPr>
          <w:rFonts w:ascii="Times New Roman;Times;Serif" w:hAnsi="Times New Roman;Times;Serif"/>
          <w:b/>
          <w:i/>
          <w:caps w:val="false"/>
          <w:smallCaps w:val="false"/>
          <w:strike w:val="false"/>
          <w:dstrike w:val="false"/>
          <w:sz w:val="20"/>
          <w:u w:val="none"/>
          <w:effect w:val="none"/>
        </w:rPr>
        <w:t>www.sedarplus.ca</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SHORT FORM BASE SHELF PROSPECTUS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080"/>
        <w:gridCol w:w="1685"/>
      </w:tblGrid>
      <w:tr>
        <w:trPr/>
        <w:tc>
          <w:tcPr>
            <w:tcW w:w="3080" w:type="dxa"/>
            <w:tcBorders/>
            <w:vAlign w:val="center"/>
          </w:tcPr>
          <w:p>
            <w:pPr>
              <w:pStyle w:val="TableContents"/>
              <w:bidi w:val="0"/>
              <w:spacing w:before="0" w:after="283"/>
              <w:jc w:val="both"/>
              <w:rPr>
                <w:sz w:val="20"/>
              </w:rPr>
            </w:pPr>
            <w:r>
              <w:rPr>
                <w:rFonts w:ascii="Times New Roman;Times;Serif" w:hAnsi="Times New Roman;Times;Serif"/>
                <w:sz w:val="20"/>
                <w:u w:val="single"/>
              </w:rPr>
              <w:t>New Issue and/or Secondary Offering</w:t>
            </w:r>
            <w:r>
              <w:rPr>
                <w:sz w:val="20"/>
              </w:rPr>
              <w:t xml:space="preserve"> </w:t>
            </w:r>
          </w:p>
        </w:tc>
        <w:tc>
          <w:tcPr>
            <w:tcW w:w="1685" w:type="dxa"/>
            <w:tcBorders/>
            <w:vAlign w:val="center"/>
          </w:tcPr>
          <w:p>
            <w:pPr>
              <w:pStyle w:val="TableContents"/>
              <w:bidi w:val="0"/>
              <w:spacing w:before="0" w:after="283"/>
              <w:jc w:val="right"/>
              <w:rPr>
                <w:sz w:val="20"/>
              </w:rPr>
            </w:pPr>
            <w:r>
              <w:rPr>
                <w:sz w:val="20"/>
              </w:rPr>
              <w:t xml:space="preserve">November 10, 2023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US$375,000,000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Receipts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short form base shelf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relates to the offering for sale from time to time, during the 25-month period, that this prospectus, including any amendments hereto, remains effective, of the securities of 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xml:space="preserve">”) listed above in one or more series or issuances, with a total offering price of such securities, in the aggregate, of up to </w:t>
      </w:r>
      <w:r>
        <w:rPr>
          <w:rFonts w:ascii="Times New Roman;Times;Serif" w:hAnsi="Times New Roman;Times;Serif"/>
          <w:b/>
          <w:i w:val="false"/>
          <w:caps w:val="false"/>
          <w:smallCaps w:val="false"/>
          <w:sz w:val="20"/>
        </w:rPr>
        <w:t xml:space="preserve">US$375,000,000 </w:t>
      </w:r>
      <w:r>
        <w:rPr>
          <w:rFonts w:ascii="Times New Roman;Times;Serif" w:hAnsi="Times New Roman;Times;Serif"/>
          <w:b w:val="false"/>
          <w:i w:val="false"/>
          <w:caps w:val="false"/>
          <w:smallCaps w:val="false"/>
          <w:sz w:val="20"/>
        </w:rPr>
        <w:t xml:space="preserve">(or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of the Company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are listed for trading on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trading symbol “BITF” and on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xml:space="preserve">”) under the trading symbol “BITF”. On November 9, 2023, being the last complete trading day prior to the date hereof, the closing price of the Common Shares on the TSX and Nasdaq was C$1.66 and US$1.20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Times;Serif" w:hAnsi="Times New Roman;Times;Serif"/>
          <w:b/>
          <w:i w:val="false"/>
          <w:caps w:val="false"/>
          <w:smallCaps w:val="false"/>
          <w:sz w:val="20"/>
        </w:rPr>
        <w:t>There is currently no market through which the 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underwriter has been involved in the preparation of this prospectus or performed any review of the contents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Times;Serif" w:hAnsi="Times New Roman;Times;Serif"/>
          <w:b/>
          <w:i w:val="false"/>
          <w:caps w:val="false"/>
          <w:smallCaps w:val="false"/>
          <w:sz w:val="20"/>
        </w:rPr>
        <w:t>NI 44-102</w:t>
      </w:r>
      <w:r>
        <w:rPr>
          <w:rFonts w:ascii="Times New Roman;Times;Serif" w:hAnsi="Times New Roman;Times;Serif"/>
          <w:b w:val="false"/>
          <w:i w:val="false"/>
          <w:caps w:val="false"/>
          <w:smallCaps w:val="false"/>
          <w:sz w:val="20"/>
        </w:rPr>
        <w:t xml:space="preserve">”),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Times;Serif" w:hAnsi="Times New Roman;Times;Serif"/>
          <w:b/>
          <w:i/>
          <w:caps w:val="false"/>
          <w:smallCaps w:val="false"/>
          <w:sz w:val="20"/>
        </w:rPr>
        <w:t>SECONDARY OFFERING BY SELLING SECURITYHOLDERS”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 (iv)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 See “</w:t>
      </w:r>
      <w:r>
        <w:rPr>
          <w:rFonts w:ascii="Times New Roman;Times;Serif" w:hAnsi="Times New Roman;Times;Serif"/>
          <w:b w:val="false"/>
          <w:i/>
          <w:caps w:val="false"/>
          <w:smallCaps w:val="false"/>
          <w:sz w:val="20"/>
        </w:rPr>
        <w:t>SECONDARY OFFERING BY SELLING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registered office is located at 110 Yonge Street, Suite 1601, Toronto, ON M5C 1T4.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40" w:right="0" w:hanging="0"/>
        <w:jc w:val="center"/>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45"/>
        <w:gridCol w:w="60"/>
        <w:gridCol w:w="275"/>
      </w:tblGrid>
      <w:tr>
        <w:trPr/>
        <w:tc>
          <w:tcPr>
            <w:tcW w:w="804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DOCUMENTS INCORPORATED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CURRENCY PRESENTATION AND EXCHANGE RATE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8</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DOCUMENTS FILED AS PART OF THE REGISTRATION STATEMENT</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8</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AVAILABLE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8</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THE COMPANY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9</w:t>
            </w:r>
          </w:p>
        </w:tc>
      </w:tr>
      <w:tr>
        <w:trPr/>
        <w:tc>
          <w:tcPr>
            <w:tcW w:w="8045" w:type="dxa"/>
            <w:tcBorders/>
            <w:shd w:fill="FFFFFF" w:val="clear"/>
            <w:vAlign w:val="center"/>
          </w:tcPr>
          <w:p>
            <w:pPr>
              <w:pStyle w:val="TableContents"/>
              <w:bidi w:val="0"/>
              <w:spacing w:before="0" w:after="283"/>
              <w:jc w:val="left"/>
              <w:rPr/>
            </w:pPr>
            <w:hyperlink w:anchor="a_007a">
              <w:r>
                <w:rPr>
                  <w:rStyle w:val="InternetLink"/>
                </w:rPr>
                <w:t>PROMOTERS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18</w:t>
            </w:r>
          </w:p>
        </w:tc>
      </w:tr>
      <w:tr>
        <w:trPr/>
        <w:tc>
          <w:tcPr>
            <w:tcW w:w="8045" w:type="dxa"/>
            <w:tcBorders/>
            <w:shd w:fill="CCEEFF" w:val="clear"/>
            <w:vAlign w:val="center"/>
          </w:tcPr>
          <w:p>
            <w:pPr>
              <w:pStyle w:val="TableContents"/>
              <w:bidi w:val="0"/>
              <w:spacing w:before="0" w:after="283"/>
              <w:jc w:val="left"/>
              <w:rPr/>
            </w:pPr>
            <w:hyperlink w:anchor="a_008">
              <w:r>
                <w:rPr>
                  <w:rStyle w:val="InternetLink"/>
                </w:rPr>
                <w:t>SECONDARY OFFERING BY 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18</w:t>
            </w:r>
          </w:p>
        </w:tc>
      </w:tr>
      <w:tr>
        <w:trPr/>
        <w:tc>
          <w:tcPr>
            <w:tcW w:w="8045" w:type="dxa"/>
            <w:tcBorders/>
            <w:shd w:fill="FFFFFF" w:val="clear"/>
            <w:vAlign w:val="center"/>
          </w:tcPr>
          <w:p>
            <w:pPr>
              <w:pStyle w:val="TableContents"/>
              <w:bidi w:val="0"/>
              <w:spacing w:before="0" w:after="283"/>
              <w:jc w:val="left"/>
              <w:rPr/>
            </w:pPr>
            <w:hyperlink w:anchor="a_009">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19</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41</w:t>
            </w:r>
          </w:p>
        </w:tc>
      </w:tr>
      <w:tr>
        <w:trPr/>
        <w:tc>
          <w:tcPr>
            <w:tcW w:w="8045" w:type="dxa"/>
            <w:tcBorders/>
            <w:shd w:fill="FFFFFF" w:val="clear"/>
            <w:vAlign w:val="center"/>
          </w:tcPr>
          <w:p>
            <w:pPr>
              <w:pStyle w:val="TableContents"/>
              <w:bidi w:val="0"/>
              <w:spacing w:before="0" w:after="283"/>
              <w:jc w:val="left"/>
              <w:rPr/>
            </w:pPr>
            <w:hyperlink w:anchor="a_011">
              <w:r>
                <w:rPr>
                  <w:rStyle w:val="InternetLink"/>
                </w:rPr>
                <w:t>CONSOLIDATED CAPITALIZATION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45</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PRIOR SALES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45</w:t>
            </w:r>
          </w:p>
        </w:tc>
      </w:tr>
      <w:tr>
        <w:trPr/>
        <w:tc>
          <w:tcPr>
            <w:tcW w:w="8045" w:type="dxa"/>
            <w:tcBorders/>
            <w:shd w:fill="FFFFFF" w:val="clear"/>
            <w:vAlign w:val="center"/>
          </w:tcPr>
          <w:p>
            <w:pPr>
              <w:pStyle w:val="TableContents"/>
              <w:bidi w:val="0"/>
              <w:spacing w:before="0" w:after="283"/>
              <w:jc w:val="left"/>
              <w:rPr/>
            </w:pPr>
            <w:hyperlink w:anchor="a_013">
              <w:r>
                <w:rPr>
                  <w:rStyle w:val="InternetLink"/>
                </w:rPr>
                <w:t>TRADING PRICE AND VOLUME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45</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EARNINGS COVERAGE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45</w:t>
            </w:r>
          </w:p>
        </w:tc>
      </w:tr>
      <w:tr>
        <w:trPr/>
        <w:tc>
          <w:tcPr>
            <w:tcW w:w="8045" w:type="dxa"/>
            <w:tcBorders/>
            <w:shd w:fill="FFFFFF" w:val="clear"/>
            <w:vAlign w:val="center"/>
          </w:tcPr>
          <w:p>
            <w:pPr>
              <w:pStyle w:val="TableContents"/>
              <w:bidi w:val="0"/>
              <w:spacing w:before="0" w:after="283"/>
              <w:jc w:val="left"/>
              <w:rPr/>
            </w:pPr>
            <w:hyperlink w:anchor="a_015">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45</w:t>
            </w:r>
          </w:p>
        </w:tc>
      </w:tr>
      <w:tr>
        <w:trPr/>
        <w:tc>
          <w:tcPr>
            <w:tcW w:w="8045" w:type="dxa"/>
            <w:tcBorders/>
            <w:shd w:fill="CCEEFF" w:val="clear"/>
            <w:vAlign w:val="center"/>
          </w:tcPr>
          <w:p>
            <w:pPr>
              <w:pStyle w:val="TableContents"/>
              <w:bidi w:val="0"/>
              <w:spacing w:before="0" w:after="283"/>
              <w:jc w:val="left"/>
              <w:rPr/>
            </w:pPr>
            <w:hyperlink w:anchor="a_016">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46</w:t>
            </w:r>
          </w:p>
        </w:tc>
      </w:tr>
      <w:tr>
        <w:trPr/>
        <w:tc>
          <w:tcPr>
            <w:tcW w:w="8045" w:type="dxa"/>
            <w:tcBorders/>
            <w:shd w:fill="FFFFFF" w:val="clear"/>
            <w:vAlign w:val="center"/>
          </w:tcPr>
          <w:p>
            <w:pPr>
              <w:pStyle w:val="TableContents"/>
              <w:bidi w:val="0"/>
              <w:spacing w:before="0" w:after="283"/>
              <w:jc w:val="left"/>
              <w:rPr/>
            </w:pPr>
            <w:hyperlink w:anchor="a_017">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51</w:t>
            </w:r>
          </w:p>
        </w:tc>
      </w:tr>
      <w:tr>
        <w:trPr/>
        <w:tc>
          <w:tcPr>
            <w:tcW w:w="8045" w:type="dxa"/>
            <w:tcBorders/>
            <w:shd w:fill="CCEEFF" w:val="clear"/>
            <w:vAlign w:val="center"/>
          </w:tcPr>
          <w:p>
            <w:pPr>
              <w:pStyle w:val="TableContents"/>
              <w:bidi w:val="0"/>
              <w:spacing w:before="0" w:after="283"/>
              <w:jc w:val="left"/>
              <w:rPr/>
            </w:pPr>
            <w:hyperlink w:anchor="a_018">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53</w:t>
            </w:r>
          </w:p>
        </w:tc>
      </w:tr>
      <w:tr>
        <w:trPr/>
        <w:tc>
          <w:tcPr>
            <w:tcW w:w="8045" w:type="dxa"/>
            <w:tcBorders/>
            <w:shd w:fill="FFFFFF" w:val="clear"/>
            <w:vAlign w:val="center"/>
          </w:tcPr>
          <w:p>
            <w:pPr>
              <w:pStyle w:val="TableContents"/>
              <w:bidi w:val="0"/>
              <w:spacing w:before="0" w:after="283"/>
              <w:jc w:val="left"/>
              <w:rPr/>
            </w:pPr>
            <w:hyperlink w:anchor="a_019">
              <w:r>
                <w:rPr>
                  <w:rStyle w:val="InternetLink"/>
                </w:rPr>
                <w:t>DESCRIPTION OF SUBSCRIPTION RECEIPTS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54</w:t>
            </w:r>
          </w:p>
        </w:tc>
      </w:tr>
      <w:tr>
        <w:trPr/>
        <w:tc>
          <w:tcPr>
            <w:tcW w:w="8045" w:type="dxa"/>
            <w:tcBorders/>
            <w:shd w:fill="CCEEFF" w:val="clear"/>
            <w:vAlign w:val="center"/>
          </w:tcPr>
          <w:p>
            <w:pPr>
              <w:pStyle w:val="TableContents"/>
              <w:bidi w:val="0"/>
              <w:spacing w:before="0" w:after="283"/>
              <w:jc w:val="left"/>
              <w:rPr/>
            </w:pPr>
            <w:hyperlink w:anchor="a_020">
              <w:r>
                <w:rPr>
                  <w:rStyle w:val="InternetLink"/>
                </w:rPr>
                <w:t>DESCRIPTION OF SHARE PURCHASE CONTRACTS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57</w:t>
            </w:r>
          </w:p>
        </w:tc>
      </w:tr>
      <w:tr>
        <w:trPr/>
        <w:tc>
          <w:tcPr>
            <w:tcW w:w="8045" w:type="dxa"/>
            <w:tcBorders/>
            <w:shd w:fill="FFFFFF" w:val="clear"/>
            <w:vAlign w:val="center"/>
          </w:tcPr>
          <w:p>
            <w:pPr>
              <w:pStyle w:val="TableContents"/>
              <w:bidi w:val="0"/>
              <w:spacing w:before="0" w:after="283"/>
              <w:jc w:val="left"/>
              <w:rPr/>
            </w:pPr>
            <w:hyperlink w:anchor="a_021">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58</w:t>
            </w:r>
          </w:p>
        </w:tc>
      </w:tr>
      <w:tr>
        <w:trPr/>
        <w:tc>
          <w:tcPr>
            <w:tcW w:w="8045" w:type="dxa"/>
            <w:tcBorders/>
            <w:shd w:fill="CCEEFF" w:val="clear"/>
            <w:vAlign w:val="center"/>
          </w:tcPr>
          <w:p>
            <w:pPr>
              <w:pStyle w:val="TableContents"/>
              <w:bidi w:val="0"/>
              <w:spacing w:before="0" w:after="283"/>
              <w:jc w:val="left"/>
              <w:rPr/>
            </w:pPr>
            <w:hyperlink w:anchor="a_022">
              <w:r>
                <w:rPr>
                  <w:rStyle w:val="InternetLink"/>
                </w:rPr>
                <w:t>CERTAIN INCOME TAX CONSIDERATIONS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60</w:t>
            </w:r>
          </w:p>
        </w:tc>
      </w:tr>
      <w:tr>
        <w:trPr/>
        <w:tc>
          <w:tcPr>
            <w:tcW w:w="8045" w:type="dxa"/>
            <w:tcBorders/>
            <w:shd w:fill="FFFFFF" w:val="clear"/>
            <w:vAlign w:val="center"/>
          </w:tcPr>
          <w:p>
            <w:pPr>
              <w:pStyle w:val="TableContents"/>
              <w:bidi w:val="0"/>
              <w:spacing w:before="0" w:after="283"/>
              <w:jc w:val="left"/>
              <w:rPr/>
            </w:pPr>
            <w:hyperlink w:anchor="a_023">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60</w:t>
            </w:r>
          </w:p>
        </w:tc>
      </w:tr>
      <w:tr>
        <w:trPr/>
        <w:tc>
          <w:tcPr>
            <w:tcW w:w="8045" w:type="dxa"/>
            <w:tcBorders/>
            <w:shd w:fill="CCEEFF" w:val="clear"/>
            <w:vAlign w:val="center"/>
          </w:tcPr>
          <w:p>
            <w:pPr>
              <w:pStyle w:val="TableContents"/>
              <w:bidi w:val="0"/>
              <w:spacing w:before="0" w:after="283"/>
              <w:jc w:val="left"/>
              <w:rPr/>
            </w:pPr>
            <w:hyperlink w:anchor="a_024">
              <w:r>
                <w:rPr>
                  <w:rStyle w:val="InternetLink"/>
                </w:rPr>
                <w:t>AUDITORS, TRANSFER AGENT AND REGISTRAR</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60</w:t>
            </w:r>
          </w:p>
        </w:tc>
      </w:tr>
      <w:tr>
        <w:trPr/>
        <w:tc>
          <w:tcPr>
            <w:tcW w:w="8045" w:type="dxa"/>
            <w:tcBorders/>
            <w:shd w:fill="FFFFFF" w:val="clear"/>
            <w:vAlign w:val="center"/>
          </w:tcPr>
          <w:p>
            <w:pPr>
              <w:pStyle w:val="TableContents"/>
              <w:bidi w:val="0"/>
              <w:spacing w:before="0" w:after="283"/>
              <w:jc w:val="left"/>
              <w:rPr/>
            </w:pPr>
            <w:hyperlink w:anchor="a_025">
              <w:r>
                <w:rPr>
                  <w:rStyle w:val="InternetLink"/>
                </w:rPr>
                <w:t>AGENTS FOR SERVICE OF PROCESS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60</w:t>
            </w:r>
          </w:p>
        </w:tc>
      </w:tr>
      <w:tr>
        <w:trPr/>
        <w:tc>
          <w:tcPr>
            <w:tcW w:w="8045" w:type="dxa"/>
            <w:tcBorders/>
            <w:shd w:fill="CCEEFF" w:val="clear"/>
            <w:vAlign w:val="center"/>
          </w:tcPr>
          <w:p>
            <w:pPr>
              <w:pStyle w:val="TableContents"/>
              <w:bidi w:val="0"/>
              <w:spacing w:before="0" w:after="283"/>
              <w:jc w:val="left"/>
              <w:rPr/>
            </w:pPr>
            <w:hyperlink w:anchor="a_026">
              <w:r>
                <w:rPr>
                  <w:rStyle w:val="InternetLink"/>
                </w:rPr>
                <w:t>EXEMPTIONS UNDER SECURITIES LAWS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61</w:t>
            </w:r>
          </w:p>
        </w:tc>
      </w:tr>
      <w:tr>
        <w:trPr/>
        <w:tc>
          <w:tcPr>
            <w:tcW w:w="8045" w:type="dxa"/>
            <w:tcBorders/>
            <w:shd w:fill="FFFFFF" w:val="clear"/>
            <w:vAlign w:val="center"/>
          </w:tcPr>
          <w:p>
            <w:pPr>
              <w:pStyle w:val="TableContents"/>
              <w:bidi w:val="0"/>
              <w:spacing w:before="0" w:after="283"/>
              <w:jc w:val="left"/>
              <w:rPr/>
            </w:pPr>
            <w:hyperlink w:anchor="a_027">
              <w:r>
                <w:rPr>
                  <w:rStyle w:val="InternetLink"/>
                </w:rPr>
                <w:t>STATUTORY RIGHTS OF WITHDRAWAL AND RESCISSION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61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future price of cryptocurrencies, such as Bitcoin and the other types of digital assets which Bitfarms and its subsidiaries may earn, hold and trade;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the Company’s intended use of net proceeds from the sale of its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number of securities the Company intends to issue;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the future pricing for services and solutions in the businesses of the Company and its subsidiaries;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pPr>
            <w:r>
              <w:rPr/>
              <w:t>the liquidity and market price of the Common Shares;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expectations regarding the sufficiency of its capital resources and requirements for additional capital;</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both"/>
              <w:rPr/>
            </w:pPr>
            <w:r>
              <w:rPr/>
              <w:t>litigation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pPr>
            <w:r>
              <w:rPr/>
              <w:t>currency fluctuations;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risks related to debt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the decrease of the market price of the Common Shares if the Company’s shareholders sell substantial amounts of Common Shares;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future sales or issuances of equity securities diluting voting power and reducing future earnings per share;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absence of a market through which the Company’s securities, other than Common Shares, may be sold;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changes to governmental laws and regulations, including tax regulations;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effects of the novel coronavirus (“</w:t>
            </w:r>
            <w:r>
              <w:rPr>
                <w:b/>
              </w:rPr>
              <w:t>COVID-19</w:t>
            </w:r>
            <w:r>
              <w:rPr/>
              <w:t>”) outbreak or other future global pandemics.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business and economic conditions affecting the Company’s operations in their current state, including, general levels of economic activity, regulations, taxes and interest rates;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ability to profitably produce the computational power sold to Mining Pools to solve block regards, which may be paid in Bitcoin, U.S. dollars, or other currency;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ability to successfully acquire and maintain required regulatory licenses and qualifications;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pPr>
            <w:r>
              <w:rPr/>
              <w:t>historical prices of cryptocurrencies;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the emerging cryptocurrency and blockchain markets and sectors;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the Company’s ability to maintain good business relationships;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the Company’s ability to manage and integrate acquisitions;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pPr>
            <w:r>
              <w:rPr/>
              <w:t>the Company’s ability to identify, hire and retain key personnel;</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ability to raise sufficient debt or equity financing to support the Company’s continued growth;</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economic dependence on regulated terms of service and electricity rates;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technology, proprietary and non-proprietary software, data and intellectual property of the Company and third parties in the cryptocurrencies and digital asset sector is able to be relied upon to conduct the Company’s business;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 does not suffer a material impact or disruption from a cybersecurity incident, cyber-attack or theft of digital assets;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continued maintenance and development of cryptocurrency mining facilities;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pPr>
            <w:r>
              <w:rPr/>
              <w:t>continued growth in usage and in the blockchain for various applications;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continued development of a stable public infrastructure, with the necessary speed, data capacity and security required to operate blockchain networks;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the absence of adverse regulation or law;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absence of material changes in the legislative, regulatory or operating framework for the Company’s existing and anticipated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Management of growth and expansion.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both"/>
              <w:rPr/>
            </w:pPr>
            <w:r>
              <w:rPr/>
              <w:t>Currency exchange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pPr>
            <w:r>
              <w:rPr/>
              <w:t>Insurance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pPr>
            <w:r>
              <w:rPr/>
              <w:t>Bitcoin Halving Event.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pPr>
            <w:r>
              <w:rPr/>
              <w:t>Valuation and Price Volatility of Cryptocurrencies.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Share Price Fluctuations.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pPr>
            <w:r>
              <w:rPr/>
              <w:t>Future Capital Needs, Uncertainty of Additional Financing and Dilution.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Indebtedness.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pPr>
            <w:r>
              <w:rPr/>
              <w:t>Global Financial Conditions.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pPr>
            <w:r>
              <w:rPr/>
              <w:t>Possibility of Bitcoin Mining Algorithms Transitioning to Proof of Stake Validation.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Debt Covenants.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pPr>
            <w:r>
              <w:rPr/>
              <w:t>Limited Operating History.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Employee Retention and Growth.</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Cybersecurity Threats and Hacking.</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Limited History of De-centralized Financial System.</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Risk Related to Technological Obsolescence and Difficulty in Obtaining Hardware.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pPr>
            <w:r>
              <w:rPr/>
              <w:t>Cryptocurrency Network Difficulty and Impact of Increased Global Computing Power.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pPr>
            <w:r>
              <w:rPr/>
              <w:t>Economic Dependence on Regulated Terms of Service and Electricity Rates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pPr>
            <w:r>
              <w:rPr/>
              <w:t>Increases in Commodity Prices or Reductions in the Availability of Such Commodities.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pPr>
            <w:r>
              <w:rPr/>
              <w:t>Future Profits/Losses and Production Revenues/Expenses.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pPr>
            <w:r>
              <w:rPr/>
              <w:t>Fraud and Failure of Cryptocurrency Exchanges, Custodians and Other Trading Venues.</w:t>
            </w:r>
          </w:p>
        </w:tc>
      </w:tr>
    </w:tbl>
    <w:p>
      <w:pPr>
        <w:pStyle w:val="TextBody"/>
        <w:bidi w:val="0"/>
        <w:spacing w:before="0" w:after="283"/>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pPr>
            <w:r>
              <w:rPr/>
              <w:t>Insolvency, Bankruptcy, or Cessation of Operations of Mining Pool Operator.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618"/>
        <w:gridCol w:w="9450"/>
      </w:tblGrid>
      <w:tr>
        <w:trPr/>
        <w:tc>
          <w:tcPr>
            <w:tcW w:w="1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w:t>
            </w:r>
          </w:p>
        </w:tc>
        <w:tc>
          <w:tcPr>
            <w:tcW w:w="9450" w:type="dxa"/>
            <w:tcBorders/>
            <w:vAlign w:val="center"/>
          </w:tcPr>
          <w:p>
            <w:pPr>
              <w:pStyle w:val="TableContents"/>
              <w:bidi w:val="0"/>
              <w:spacing w:before="0" w:after="283"/>
              <w:jc w:val="both"/>
              <w:rPr/>
            </w:pPr>
            <w:r>
              <w:rPr/>
              <w:t>Independent Mining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8"/>
        <w:gridCol w:w="9560"/>
      </w:tblGrid>
      <w:tr>
        <w:trPr/>
        <w:tc>
          <w:tcPr>
            <w:tcW w:w="1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Indemnification of Mining Pool.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7"/>
        <w:gridCol w:w="9720"/>
      </w:tblGrid>
      <w:tr>
        <w:trPr/>
        <w:tc>
          <w:tcPr>
            <w:tcW w:w="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720" w:type="dxa"/>
            <w:tcBorders/>
            <w:vAlign w:val="center"/>
          </w:tcPr>
          <w:p>
            <w:pPr>
              <w:pStyle w:val="TableContents"/>
              <w:bidi w:val="0"/>
              <w:spacing w:before="0" w:after="283"/>
              <w:jc w:val="both"/>
              <w:rPr/>
            </w:pPr>
            <w:r>
              <w:rPr/>
              <w:t>Reliance on Foreign Mining Pool Operator.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Mining Pool Agreements Governed by Foreign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Reliance on Manufacturing in Foreign Countries and the Importation of Equipment to the Jurisdictions in Which the Company Operates.</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Regulatory Risk.</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Permits and Licenses.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Server Failures.</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70"/>
        <w:gridCol w:w="1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Consequences.</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Liability.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Erroneous Transactions and Human Error.</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Facility Developments.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t> </w:t>
            </w:r>
          </w:p>
        </w:tc>
      </w:tr>
    </w:tbl>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Acceptance and/or Widespread Use of Cryptocurrency is Uncertain.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Hazards Associated with High-voltage Electricity Transmission and Industrial Operations.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Adoption of ESG Practices and the Impacts of Climate Change.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pPr>
            <w:r>
              <w:rPr/>
              <w:t>Corruption.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US Foreign Corrupt Practices Act and Similar Legislation.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pPr>
            <w:r>
              <w:rPr/>
              <w:t>Political Instability.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Third-party Supplier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pPr>
            <w:r>
              <w:rPr/>
              <w:t>Potential of Bitfarms Being Classified as a Passive Foreign Investment Company.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pPr>
            <w:r>
              <w:rPr/>
              <w:t>Pandemic and Infectious Disease Risk (including COVID-19).</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Emerging Market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pPr>
            <w:r>
              <w:rPr/>
              <w:t>Economic Volatility and other Challenges in Argentina and/or Paraguay.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pPr>
            <w:r>
              <w:rPr/>
              <w:t>Vulnerability of Argentina and Paraguay Economies to External Shocks.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pPr>
            <w:r>
              <w:rPr/>
              <w:t>Impacts of Corruption and Anti-Corruption Laws in Operating Locations.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Unpredictability of Tax Rates, Capital Controls and Foreign Exchange Restrictions in Argentina.</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pPr>
            <w:r>
              <w:rPr/>
              <w:t>Discretion Over Use of Proceeds.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pPr>
            <w:r>
              <w:rPr/>
              <w:t>Absence of a Public Market for Certain of the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pPr>
            <w:r>
              <w:rPr/>
              <w:t>Unsecured Debt Facilities.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Effect of Changes in Interest Rates on Debt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Effect of Fluctuations in Foreign Currency Markets on Debt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Trading Price of Common Shares and Volatility.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3" w:type="dxa"/>
        <w:jc w:val="left"/>
        <w:tblInd w:w="0" w:type="dxa"/>
        <w:tblLayout w:type="fixed"/>
        <w:tblCellMar>
          <w:top w:w="0" w:type="dxa"/>
          <w:left w:w="0" w:type="dxa"/>
          <w:bottom w:w="0" w:type="dxa"/>
          <w:right w:w="0" w:type="dxa"/>
        </w:tblCellMar>
      </w:tblPr>
      <w:tblGrid>
        <w:gridCol w:w="38"/>
        <w:gridCol w:w="17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both"/>
              <w:rPr/>
            </w:pPr>
            <w:r>
              <w:rPr/>
              <w:t>Hedges.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these and other factors is discussed under the heading “</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DOCUMENTS INCORPORATED BY REFERENCE</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has been incorporated by reference in this short form base shelf prospectus from documents filed with the securities commissions or similar authorities in Canada and filed with, or furnished to, the SEC.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Times;Serif" w:hAnsi="Times New Roman;Times;Serif"/>
          <w:b/>
          <w:i w:val="false"/>
          <w:caps w:val="false"/>
          <w:smallCaps w:val="false"/>
          <w:sz w:val="20"/>
        </w:rPr>
        <w:t>SEDAR</w:t>
      </w:r>
      <w:r>
        <w:rPr>
          <w:rFonts w:ascii="Times New Roman;Times;Serif" w:hAnsi="Times New Roman;Times;Serif"/>
          <w:b w:val="false"/>
          <w:i w:val="false"/>
          <w:caps w:val="false"/>
          <w:smallCaps w:val="false"/>
          <w:sz w:val="20"/>
        </w:rPr>
        <w:t xml:space="preserve">”) at www.sedarplus.ca or in the United States through EDGAR at the website of the SEC at www.sec.gov. The filings of the Company available on the Company’s website, SEDAR and EDGAR are not incorporated by reference in this prospectus except as specifically set out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documents, filed with the securities commissions or similar regulatory authorities in each of the provinces and territories of Canada, are specifically incorporated by reference into, and form an integral part of, this short form base shelf prospectus: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annual information form for the year ended December 31, 2022, dated as at March 20, 2023 and filed on March 21, 2023 (the “</w:t>
            </w:r>
            <w:r>
              <w:rPr>
                <w:b/>
              </w:rPr>
              <w:t>2022 AIF</w:t>
            </w:r>
            <w:r>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audited consolidated financial statements as at and for the years ended December 31, 2022 and 2021 the notes thereto and the Report of Independent Registered Public Accounting Firm thereon, filed on March 21, 2023 (the “</w:t>
            </w:r>
            <w:r>
              <w:rPr>
                <w:b/>
              </w:rPr>
              <w:t>2022 Annual Financial Statements</w:t>
            </w:r>
            <w:r>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management’s discussion and analysis for the year ended December 31, 2022, dated as at March 20, 2023 and filed on March 21, 2023 (the “</w:t>
            </w:r>
            <w:r>
              <w:rPr>
                <w:b/>
              </w:rPr>
              <w:t>2022 MD&amp;A</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 xml:space="preserve">● </w:t>
            </w:r>
          </w:p>
        </w:tc>
        <w:tc>
          <w:tcPr>
            <w:tcW w:w="9970" w:type="dxa"/>
            <w:tcBorders/>
            <w:vAlign w:val="center"/>
          </w:tcPr>
          <w:p>
            <w:pPr>
              <w:pStyle w:val="TableContents"/>
              <w:bidi w:val="0"/>
              <w:spacing w:before="0" w:after="283"/>
              <w:jc w:val="both"/>
              <w:rPr/>
            </w:pPr>
            <w:r>
              <w:rPr/>
              <w:t xml:space="preserve">the Company’s unaudited interim condensed interim consolidated financial statements as at September 30, 2023 and for the three and nine months ended September 30, 2023 and 2022 and filed on November 7, 2023;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 xml:space="preserve">● </w:t>
            </w:r>
          </w:p>
        </w:tc>
        <w:tc>
          <w:tcPr>
            <w:tcW w:w="9966" w:type="dxa"/>
            <w:tcBorders/>
            <w:vAlign w:val="center"/>
          </w:tcPr>
          <w:p>
            <w:pPr>
              <w:pStyle w:val="TableContents"/>
              <w:bidi w:val="0"/>
              <w:spacing w:before="0" w:after="283"/>
              <w:jc w:val="both"/>
              <w:rPr/>
            </w:pPr>
            <w:r>
              <w:rPr/>
              <w:t>the Company’s management’s discussion and analysis for the three and nine months ended September 30, 2023 and 2022 and filed on November 7, 2023 (the “</w:t>
            </w:r>
            <w:r>
              <w:rPr>
                <w:b/>
              </w:rPr>
              <w:t>Interim MD&amp;A</w:t>
            </w:r>
            <w:r>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information circular dated April 4, 2023 with respect to an annual general and special meeting of shareholders (“</w:t>
            </w:r>
            <w:r>
              <w:rPr>
                <w:b/>
              </w:rPr>
              <w:t>Shareholders</w:t>
            </w:r>
            <w:r>
              <w:rPr/>
              <w:t>”) held on May 24, 2023, filed on April 24,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 xml:space="preserve">● </w:t>
            </w:r>
          </w:p>
        </w:tc>
        <w:tc>
          <w:tcPr>
            <w:tcW w:w="9955" w:type="dxa"/>
            <w:tcBorders/>
            <w:vAlign w:val="center"/>
          </w:tcPr>
          <w:p>
            <w:pPr>
              <w:pStyle w:val="TableContents"/>
              <w:bidi w:val="0"/>
              <w:spacing w:before="0" w:after="283"/>
              <w:jc w:val="both"/>
              <w:rPr/>
            </w:pPr>
            <w:r>
              <w:rPr/>
              <w:t xml:space="preserve">the material change report dated January 3, 2023 relating to relating to an update to the Company’s Bitcoin earned in the 2022 financial year;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January 13, 2023 relating to the Company’s initiative to modify its equipment loan facility;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 xml:space="preserve">● </w:t>
            </w:r>
          </w:p>
        </w:tc>
        <w:tc>
          <w:tcPr>
            <w:tcW w:w="9954" w:type="dxa"/>
            <w:tcBorders/>
            <w:vAlign w:val="center"/>
          </w:tcPr>
          <w:p>
            <w:pPr>
              <w:pStyle w:val="TableContents"/>
              <w:bidi w:val="0"/>
              <w:spacing w:before="0" w:after="283"/>
              <w:jc w:val="both"/>
              <w:rPr/>
            </w:pPr>
            <w:r>
              <w:rPr/>
              <w:t xml:space="preserve">the material change report dated February 1, 2023 relating to an update to the Company’s Bitcoin earned for the month of January 2023;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February 9, 2023 relating to the modification of the loan agreement with BlockFi Lending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xml:space="preserve">● </w:t>
            </w:r>
          </w:p>
        </w:tc>
        <w:tc>
          <w:tcPr>
            <w:tcW w:w="9957" w:type="dxa"/>
            <w:tcBorders/>
            <w:vAlign w:val="center"/>
          </w:tcPr>
          <w:p>
            <w:pPr>
              <w:pStyle w:val="TableContents"/>
              <w:bidi w:val="0"/>
              <w:spacing w:before="0" w:after="283"/>
              <w:jc w:val="both"/>
              <w:rPr/>
            </w:pPr>
            <w:r>
              <w:rPr/>
              <w:t xml:space="preserve">the material change report dated March 1, 2023 relating to relating to an update to the Company’s Bitcoin earned for the month of February 2023;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material change report dated March 21, 2023 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t>
            </w:r>
            <w:r>
              <w:rPr>
                <w:strike w:val="false"/>
                <w:dstrike w:val="false"/>
                <w:u w:val="none"/>
                <w:effect w:val="none"/>
              </w:rPr>
              <w:t>www.theminermag.com</w:t>
            </w:r>
            <w:r>
              <w:rPr/>
              <w:t xml:space="preserve">, namely the “Estimated Gross Margin of Proprietary Bitcoin Hashrate Activities.” With data starting in 2023, </w:t>
            </w:r>
            <w:r>
              <w:rPr>
                <w:strike w:val="false"/>
                <w:dstrike w:val="false"/>
                <w:u w:val="none"/>
                <w:effect w:val="none"/>
              </w:rPr>
              <w:t>www.theminermag.com</w:t>
            </w:r>
            <w:r>
              <w:rPr/>
              <w:t xml:space="preserve">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 xml:space="preserve">● </w:t>
            </w:r>
          </w:p>
        </w:tc>
        <w:tc>
          <w:tcPr>
            <w:tcW w:w="9956" w:type="dxa"/>
            <w:tcBorders/>
            <w:vAlign w:val="center"/>
          </w:tcPr>
          <w:p>
            <w:pPr>
              <w:pStyle w:val="TableContents"/>
              <w:bidi w:val="0"/>
              <w:spacing w:before="0" w:after="283"/>
              <w:jc w:val="both"/>
              <w:rPr/>
            </w:pPr>
            <w:r>
              <w:rPr/>
              <w:t xml:space="preserve">the material change report dated April 3, 2023 relating to relating to an update to the Company’s Bitcoin earned for the month of March 2023;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April 11, 2023 relating to the entering into of an agreement to acquire 22 MW of power capacity in Baie-Comeau, Quebec;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April 24, 2023 relating to the receipt of a permit to expand its power capacity up to 100 MW at its Rio Cuarto, Argentina facility;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April 28, 2023 relating to the Company’s achievement of obtaining an aggregate hashrate of 5.0 EH/s;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May 1, 2023 relating to the Company regaining compliance with Nasdaq continued listing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xml:space="preserve">● </w:t>
            </w:r>
          </w:p>
        </w:tc>
        <w:tc>
          <w:tcPr>
            <w:tcW w:w="9951" w:type="dxa"/>
            <w:tcBorders/>
            <w:vAlign w:val="center"/>
          </w:tcPr>
          <w:p>
            <w:pPr>
              <w:pStyle w:val="TableContents"/>
              <w:bidi w:val="0"/>
              <w:spacing w:before="0" w:after="283"/>
              <w:jc w:val="both"/>
              <w:rPr/>
            </w:pPr>
            <w:r>
              <w:rPr/>
              <w:t xml:space="preserve">the material change report dated May 1, 2023 relating to an update to the Company’s Bitcoin earned for the month of April 2023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material change report dated May 8, 2023 relating to the Company’s achievement of mining 21,000 Bitcoin over its six years of operations;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material change report dated May 15, 2023 relating to the reporting of the Company’s financial statements for the first quarter of the 2023 financial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xml:space="preserve">● </w:t>
            </w:r>
          </w:p>
        </w:tc>
        <w:tc>
          <w:tcPr>
            <w:tcW w:w="9950" w:type="dxa"/>
            <w:tcBorders/>
            <w:vAlign w:val="center"/>
          </w:tcPr>
          <w:p>
            <w:pPr>
              <w:pStyle w:val="TableContents"/>
              <w:bidi w:val="0"/>
              <w:spacing w:before="0" w:after="283"/>
              <w:jc w:val="both"/>
              <w:rPr/>
            </w:pPr>
            <w:r>
              <w:rPr/>
              <w:t xml:space="preserve">the material change report dated June 1, 2023 relating to an update to the Company’s Bitcoin earned for the month of May 2023; </w:t>
            </w:r>
          </w:p>
        </w:tc>
      </w:tr>
    </w:tbl>
    <w:p>
      <w:pPr>
        <w:pStyle w:val="TextBody"/>
        <w:bidi w:val="0"/>
        <w:spacing w:before="0" w:after="283"/>
        <w:jc w:val="left"/>
        <w:rPr/>
      </w:pPr>
      <w:r>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pPr>
            <w:r>
              <w:rPr/>
              <w:t>the material change report dated June 7, 2023 relating to the purchase of 4,660 high performance miners;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material change report dated June 12, 2023 relating to the increase in the Company’s operational hashrate;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xml:space="preserve">● </w:t>
            </w:r>
          </w:p>
        </w:tc>
        <w:tc>
          <w:tcPr>
            <w:tcW w:w="9950" w:type="dxa"/>
            <w:tcBorders/>
            <w:vAlign w:val="center"/>
          </w:tcPr>
          <w:p>
            <w:pPr>
              <w:pStyle w:val="TableContents"/>
              <w:bidi w:val="0"/>
              <w:spacing w:before="0" w:after="283"/>
              <w:jc w:val="both"/>
              <w:rPr/>
            </w:pPr>
            <w:r>
              <w:rPr/>
              <w:t xml:space="preserve">the material change report dated July 4, 2023 relating to an update to the Company’s Bitcoin earned for the month of June 2023;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material change report dated July 6, 2023 relating to the commencement of operations at its Baie-Comeau facility and the increase of its hashrate target to 6.3 EH/s by the end of the third financial quarter of 2023;</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material change report dated July 19, 2023 relating to entering into of power purchase agreements in Paraguay for up to 150 MW of hydropower;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 xml:space="preserve">● </w:t>
            </w:r>
          </w:p>
        </w:tc>
        <w:tc>
          <w:tcPr>
            <w:tcW w:w="9951" w:type="dxa"/>
            <w:tcBorders/>
            <w:vAlign w:val="center"/>
          </w:tcPr>
          <w:p>
            <w:pPr>
              <w:pStyle w:val="TableContents"/>
              <w:bidi w:val="0"/>
              <w:spacing w:before="0" w:after="283"/>
              <w:jc w:val="both"/>
              <w:rPr/>
            </w:pPr>
            <w:r>
              <w:rPr/>
              <w:t xml:space="preserve">the material change report dated August 1, 2023 relating to an update to the Company’s Bitcoin earned for the month of July 2023;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change report dated August 7, 2023 relating to the deployment plan of a 50 MW of hydropower substation located in Paraguay;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 xml:space="preserve">● </w:t>
            </w:r>
          </w:p>
        </w:tc>
        <w:tc>
          <w:tcPr>
            <w:tcW w:w="9953" w:type="dxa"/>
            <w:tcBorders/>
            <w:vAlign w:val="center"/>
          </w:tcPr>
          <w:p>
            <w:pPr>
              <w:pStyle w:val="TableContents"/>
              <w:bidi w:val="0"/>
              <w:spacing w:before="0" w:after="283"/>
              <w:jc w:val="both"/>
              <w:rPr/>
            </w:pPr>
            <w:r>
              <w:rPr/>
              <w:t xml:space="preserve">the material change report dated August 8, 2023 relating to the announcement of the Company’s second quarter 2023 financial results;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September 1, 2023 relating to an update to the Company’s Bitcoin earned for the month of August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October 2, 2023 relating to an update to the Company’s Bitcoin earned for the month of September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 xml:space="preserve">● </w:t>
            </w:r>
          </w:p>
        </w:tc>
        <w:tc>
          <w:tcPr>
            <w:tcW w:w="9961" w:type="dxa"/>
            <w:tcBorders/>
            <w:vAlign w:val="center"/>
          </w:tcPr>
          <w:p>
            <w:pPr>
              <w:pStyle w:val="TableContents"/>
              <w:bidi w:val="0"/>
              <w:spacing w:before="0" w:after="283"/>
              <w:jc w:val="both"/>
              <w:rPr/>
            </w:pPr>
            <w:r>
              <w:rPr/>
              <w:t xml:space="preserve">the material change report dated October 23, 2023 relating to the increase of operating capacity at the Company’s facility located in Baie-Comeau to 240 MW;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change report dated November 1, 2023 relating to an update to the Company’s Bitcoin earned for the month of October 2023;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 xml:space="preserve">● </w:t>
            </w:r>
          </w:p>
        </w:tc>
        <w:tc>
          <w:tcPr>
            <w:tcW w:w="9954" w:type="dxa"/>
            <w:tcBorders/>
            <w:vAlign w:val="center"/>
          </w:tcPr>
          <w:p>
            <w:pPr>
              <w:pStyle w:val="TableContents"/>
              <w:bidi w:val="0"/>
              <w:spacing w:before="0" w:after="283"/>
              <w:jc w:val="both"/>
              <w:rPr/>
            </w:pPr>
            <w:r>
              <w:rPr/>
              <w:t xml:space="preserve">the material change report dated November 7, 2023 relating to the announcement of the Company’s third quarter 2023 financial results.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such document or information shall also be deemed to be incorporated by reference as an exhibit to the Registration Statement (in the case of a report on Form 6-K, if and to the extent expressly provided in such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Company’s website in any documents that are incorporated by reference into this prospectus do not incorporate by reference the information on such website into this prospectus, and we disclaim any such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CURRENCY PRESENTATION AND EXCHANGE RATE INFORMATION</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low, average and closing rates for the U.S. dollar in terms of Canadian dollars for each of the financial periods indicated below, as quoted by the Bank of Canada, were as follows:</w:t>
      </w:r>
    </w:p>
    <w:p>
      <w:pPr>
        <w:pStyle w:val="TextBody"/>
        <w:bidi w:val="0"/>
        <w:spacing w:before="0" w:after="0"/>
        <w:ind w:left="0" w:right="0" w:hanging="0"/>
        <w:jc w:val="both"/>
        <w:rPr>
          <w:caps w:val="false"/>
          <w:smallCaps w:val="false"/>
        </w:rPr>
      </w:pPr>
      <w:r>
        <w:rPr>
          <w:caps w:val="false"/>
          <w:smallCaps w:val="false"/>
        </w:rPr>
        <w:t> </w:t>
      </w:r>
    </w:p>
    <w:tbl>
      <w:tblPr>
        <w:tblW w:w="9006" w:type="dxa"/>
        <w:jc w:val="left"/>
        <w:tblInd w:w="0" w:type="dxa"/>
        <w:tblLayout w:type="fixed"/>
        <w:tblCellMar>
          <w:top w:w="0" w:type="dxa"/>
          <w:left w:w="0" w:type="dxa"/>
          <w:bottom w:w="0" w:type="dxa"/>
          <w:right w:w="0" w:type="dxa"/>
        </w:tblCellMar>
      </w:tblPr>
      <w:tblGrid>
        <w:gridCol w:w="905"/>
        <w:gridCol w:w="120"/>
        <w:gridCol w:w="225"/>
        <w:gridCol w:w="1924"/>
        <w:gridCol w:w="120"/>
        <w:gridCol w:w="120"/>
        <w:gridCol w:w="225"/>
        <w:gridCol w:w="1924"/>
        <w:gridCol w:w="120"/>
        <w:gridCol w:w="120"/>
        <w:gridCol w:w="155"/>
        <w:gridCol w:w="1259"/>
        <w:gridCol w:w="120"/>
        <w:gridCol w:w="120"/>
        <w:gridCol w:w="155"/>
        <w:gridCol w:w="1259"/>
        <w:gridCol w:w="135"/>
      </w:tblGrid>
      <w:tr>
        <w:trPr/>
        <w:tc>
          <w:tcPr>
            <w:tcW w:w="905"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 xml:space="preserve">2023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 xml:space="preserve">2022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 xml:space="preserve">2022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 xml:space="preserve">2021 </w:t>
            </w:r>
          </w:p>
        </w:tc>
        <w:tc>
          <w:tcPr>
            <w:tcW w:w="135" w:type="dxa"/>
            <w:tcBorders/>
            <w:vAlign w:val="center"/>
          </w:tcPr>
          <w:p>
            <w:pPr>
              <w:pStyle w:val="TableContents"/>
              <w:bidi w:val="0"/>
              <w:spacing w:before="0" w:after="283"/>
              <w:jc w:val="left"/>
              <w:rPr/>
            </w:pPr>
            <w:r>
              <w:rPr/>
              <w:t xml:space="preserve">  </w:t>
            </w:r>
          </w:p>
        </w:tc>
      </w:tr>
      <w:tr>
        <w:trPr/>
        <w:tc>
          <w:tcPr>
            <w:tcW w:w="905" w:type="dxa"/>
            <w:tcBorders/>
            <w:vAlign w:val="center"/>
          </w:tcPr>
          <w:p>
            <w:pPr>
              <w:pStyle w:val="TableContents"/>
              <w:bidi w:val="0"/>
              <w:spacing w:before="0" w:after="283"/>
              <w:jc w:val="left"/>
              <w:rPr/>
            </w:pPr>
            <w:r>
              <w:rPr>
                <w:caps w:val="false"/>
                <w:smallCaps w:val="false"/>
              </w:rPr>
              <w:t> </w:t>
            </w:r>
            <w:r>
              <w:rPr/>
              <w:t xml:space="preserve"> </w:t>
            </w:r>
          </w:p>
        </w:tc>
        <w:tc>
          <w:tcPr>
            <w:tcW w:w="120" w:type="dxa"/>
            <w:tcBorders/>
            <w:vAlign w:val="center"/>
          </w:tcPr>
          <w:p>
            <w:pPr>
              <w:pStyle w:val="TableContents"/>
              <w:bidi w:val="0"/>
              <w:spacing w:before="0" w:after="283"/>
              <w:jc w:val="left"/>
              <w:rPr/>
            </w:pPr>
            <w:r>
              <w:rPr>
                <w:caps w:val="false"/>
                <w:smallCaps w:val="false"/>
              </w:rPr>
              <w:t> </w:t>
            </w:r>
            <w:r>
              <w:rPr/>
              <w:t xml:space="preserve"> </w:t>
            </w:r>
          </w:p>
        </w:tc>
        <w:tc>
          <w:tcPr>
            <w:tcW w:w="7846" w:type="dxa"/>
            <w:gridSpan w:val="14"/>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val="false"/>
                <w:i w:val="false"/>
                <w:caps w:val="false"/>
                <w:smallCaps w:val="false"/>
                <w:sz w:val="20"/>
              </w:rPr>
              <w:t>(expressed in Canadian dollars)</w:t>
            </w:r>
            <w:r>
              <w:rPr/>
              <w:t xml:space="preserve"> </w:t>
            </w:r>
          </w:p>
        </w:tc>
        <w:tc>
          <w:tcPr>
            <w:tcW w:w="135" w:type="dxa"/>
            <w:tcBorders/>
            <w:vAlign w:val="center"/>
          </w:tcPr>
          <w:p>
            <w:pPr>
              <w:pStyle w:val="TableContents"/>
              <w:bidi w:val="0"/>
              <w:spacing w:before="0" w:after="283"/>
              <w:jc w:val="left"/>
              <w:rPr/>
            </w:pPr>
            <w:r>
              <w:rPr>
                <w:caps w:val="false"/>
                <w:smallCaps w:val="false"/>
              </w:rPr>
              <w:t> </w:t>
            </w:r>
            <w:r>
              <w:rPr/>
              <w:t xml:space="preserve"> </w:t>
            </w:r>
          </w:p>
        </w:tc>
      </w:tr>
      <w:tr>
        <w:trPr/>
        <w:tc>
          <w:tcPr>
            <w:tcW w:w="905" w:type="dxa"/>
            <w:tcBorders/>
            <w:shd w:fill="CCEEFF" w:val="clear"/>
            <w:vAlign w:val="center"/>
          </w:tcPr>
          <w:p>
            <w:pPr>
              <w:pStyle w:val="TableContents"/>
              <w:bidi w:val="0"/>
              <w:spacing w:before="0" w:after="283"/>
              <w:jc w:val="left"/>
              <w:rPr/>
            </w:pPr>
            <w:r>
              <w:rPr/>
              <w:t xml:space="preserve">High </w:t>
            </w:r>
          </w:p>
        </w:tc>
        <w:tc>
          <w:tcPr>
            <w:tcW w:w="120" w:type="dxa"/>
            <w:tcBorders/>
            <w:shd w:fill="CCEEFF" w:val="clear"/>
            <w:vAlign w:val="center"/>
          </w:tcPr>
          <w:p>
            <w:pPr>
              <w:pStyle w:val="TableContents"/>
              <w:bidi w:val="0"/>
              <w:spacing w:before="0" w:after="283"/>
              <w:jc w:val="left"/>
              <w:rPr/>
            </w:pPr>
            <w:r>
              <w:rPr/>
              <w:t xml:space="preserve">  </w:t>
            </w:r>
          </w:p>
        </w:tc>
        <w:tc>
          <w:tcPr>
            <w:tcW w:w="225" w:type="dxa"/>
            <w:tcBorders/>
            <w:shd w:fill="CCEEFF" w:val="clear"/>
            <w:vAlign w:val="center"/>
          </w:tcPr>
          <w:p>
            <w:pPr>
              <w:pStyle w:val="TableContents"/>
              <w:bidi w:val="0"/>
              <w:spacing w:before="0" w:after="283"/>
              <w:jc w:val="left"/>
              <w:rPr/>
            </w:pPr>
            <w:r>
              <w:rPr/>
              <w:t xml:space="preserve">  </w:t>
            </w:r>
          </w:p>
        </w:tc>
        <w:tc>
          <w:tcPr>
            <w:tcW w:w="1924" w:type="dxa"/>
            <w:tcBorders/>
            <w:shd w:fill="CCEEFF" w:val="clear"/>
            <w:vAlign w:val="center"/>
          </w:tcPr>
          <w:p>
            <w:pPr>
              <w:pStyle w:val="TableContents"/>
              <w:bidi w:val="0"/>
              <w:spacing w:before="0" w:after="283"/>
              <w:jc w:val="right"/>
              <w:rPr/>
            </w:pPr>
            <w:r>
              <w:rPr/>
              <w:t xml:space="preserve">1.3674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25" w:type="dxa"/>
            <w:tcBorders/>
            <w:shd w:fill="CCEEFF" w:val="clear"/>
            <w:vAlign w:val="center"/>
          </w:tcPr>
          <w:p>
            <w:pPr>
              <w:pStyle w:val="TableContents"/>
              <w:bidi w:val="0"/>
              <w:spacing w:before="0" w:after="283"/>
              <w:jc w:val="left"/>
              <w:rPr/>
            </w:pPr>
            <w:r>
              <w:rPr/>
              <w:t xml:space="preserve">  </w:t>
            </w:r>
          </w:p>
        </w:tc>
        <w:tc>
          <w:tcPr>
            <w:tcW w:w="1924" w:type="dxa"/>
            <w:tcBorders/>
            <w:shd w:fill="CCEEFF" w:val="clear"/>
            <w:vAlign w:val="center"/>
          </w:tcPr>
          <w:p>
            <w:pPr>
              <w:pStyle w:val="TableContents"/>
              <w:bidi w:val="0"/>
              <w:spacing w:before="0" w:after="283"/>
              <w:jc w:val="right"/>
              <w:rPr/>
            </w:pPr>
            <w:r>
              <w:rPr/>
              <w:t xml:space="preserve">1.3726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59" w:type="dxa"/>
            <w:tcBorders/>
            <w:shd w:fill="CCEEFF" w:val="clear"/>
            <w:vAlign w:val="center"/>
          </w:tcPr>
          <w:p>
            <w:pPr>
              <w:pStyle w:val="TableContents"/>
              <w:bidi w:val="0"/>
              <w:spacing w:before="0" w:after="283"/>
              <w:jc w:val="right"/>
              <w:rPr/>
            </w:pPr>
            <w:r>
              <w:rPr/>
              <w:t xml:space="preserve">1.3856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59" w:type="dxa"/>
            <w:tcBorders/>
            <w:shd w:fill="CCEEFF" w:val="clear"/>
            <w:vAlign w:val="center"/>
          </w:tcPr>
          <w:p>
            <w:pPr>
              <w:pStyle w:val="TableContents"/>
              <w:bidi w:val="0"/>
              <w:spacing w:before="0" w:after="283"/>
              <w:jc w:val="right"/>
              <w:rPr/>
            </w:pPr>
            <w:r>
              <w:rPr/>
              <w:t xml:space="preserve">1.2942 </w:t>
            </w:r>
          </w:p>
        </w:tc>
        <w:tc>
          <w:tcPr>
            <w:tcW w:w="135" w:type="dxa"/>
            <w:tcBorders/>
            <w:shd w:fill="CCEEFF" w:val="clear"/>
            <w:vAlign w:val="center"/>
          </w:tcPr>
          <w:p>
            <w:pPr>
              <w:pStyle w:val="TableContents"/>
              <w:bidi w:val="0"/>
              <w:spacing w:before="0" w:after="283"/>
              <w:jc w:val="left"/>
              <w:rPr/>
            </w:pPr>
            <w:r>
              <w:rPr/>
              <w:t xml:space="preserve">  </w:t>
            </w:r>
          </w:p>
        </w:tc>
      </w:tr>
      <w:tr>
        <w:trPr/>
        <w:tc>
          <w:tcPr>
            <w:tcW w:w="905" w:type="dxa"/>
            <w:tcBorders/>
            <w:shd w:fill="FFFFFF" w:val="clear"/>
            <w:vAlign w:val="center"/>
          </w:tcPr>
          <w:p>
            <w:pPr>
              <w:pStyle w:val="TableContents"/>
              <w:bidi w:val="0"/>
              <w:spacing w:before="0" w:after="283"/>
              <w:jc w:val="left"/>
              <w:rPr/>
            </w:pPr>
            <w:r>
              <w:rPr/>
              <w:t xml:space="preserve">Low </w:t>
            </w:r>
          </w:p>
        </w:tc>
        <w:tc>
          <w:tcPr>
            <w:tcW w:w="120" w:type="dxa"/>
            <w:tcBorders/>
            <w:shd w:fill="FFFFFF" w:val="clear"/>
            <w:vAlign w:val="center"/>
          </w:tcPr>
          <w:p>
            <w:pPr>
              <w:pStyle w:val="TableContents"/>
              <w:bidi w:val="0"/>
              <w:spacing w:before="0" w:after="283"/>
              <w:jc w:val="left"/>
              <w:rPr/>
            </w:pPr>
            <w:r>
              <w:rPr/>
              <w:t xml:space="preserve">  </w:t>
            </w:r>
          </w:p>
        </w:tc>
        <w:tc>
          <w:tcPr>
            <w:tcW w:w="225" w:type="dxa"/>
            <w:tcBorders/>
            <w:shd w:fill="FFFFFF" w:val="clear"/>
            <w:vAlign w:val="center"/>
          </w:tcPr>
          <w:p>
            <w:pPr>
              <w:pStyle w:val="TableContents"/>
              <w:bidi w:val="0"/>
              <w:spacing w:before="0" w:after="283"/>
              <w:jc w:val="left"/>
              <w:rPr/>
            </w:pPr>
            <w:r>
              <w:rPr/>
              <w:t xml:space="preserve">  </w:t>
            </w:r>
          </w:p>
        </w:tc>
        <w:tc>
          <w:tcPr>
            <w:tcW w:w="1924" w:type="dxa"/>
            <w:tcBorders/>
            <w:shd w:fill="FFFFFF" w:val="clear"/>
            <w:vAlign w:val="center"/>
          </w:tcPr>
          <w:p>
            <w:pPr>
              <w:pStyle w:val="TableContents"/>
              <w:bidi w:val="0"/>
              <w:spacing w:before="0" w:after="283"/>
              <w:jc w:val="right"/>
              <w:rPr/>
            </w:pPr>
            <w:r>
              <w:rPr/>
              <w:t xml:space="preserve">1.3128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25" w:type="dxa"/>
            <w:tcBorders/>
            <w:shd w:fill="FFFFFF" w:val="clear"/>
            <w:vAlign w:val="center"/>
          </w:tcPr>
          <w:p>
            <w:pPr>
              <w:pStyle w:val="TableContents"/>
              <w:bidi w:val="0"/>
              <w:spacing w:before="0" w:after="283"/>
              <w:jc w:val="left"/>
              <w:rPr/>
            </w:pPr>
            <w:r>
              <w:rPr/>
              <w:t xml:space="preserve">  </w:t>
            </w:r>
          </w:p>
        </w:tc>
        <w:tc>
          <w:tcPr>
            <w:tcW w:w="1924" w:type="dxa"/>
            <w:tcBorders/>
            <w:shd w:fill="FFFFFF" w:val="clear"/>
            <w:vAlign w:val="center"/>
          </w:tcPr>
          <w:p>
            <w:pPr>
              <w:pStyle w:val="TableContents"/>
              <w:bidi w:val="0"/>
              <w:spacing w:before="0" w:after="283"/>
              <w:jc w:val="right"/>
              <w:rPr/>
            </w:pPr>
            <w:r>
              <w:rPr/>
              <w:t xml:space="preserve">1.2753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59" w:type="dxa"/>
            <w:tcBorders/>
            <w:shd w:fill="FFFFFF" w:val="clear"/>
            <w:vAlign w:val="center"/>
          </w:tcPr>
          <w:p>
            <w:pPr>
              <w:pStyle w:val="TableContents"/>
              <w:bidi w:val="0"/>
              <w:spacing w:before="0" w:after="283"/>
              <w:jc w:val="right"/>
              <w:rPr/>
            </w:pPr>
            <w:r>
              <w:rPr/>
              <w:t xml:space="preserve">1.2451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59" w:type="dxa"/>
            <w:tcBorders/>
            <w:shd w:fill="FFFFFF" w:val="clear"/>
            <w:vAlign w:val="center"/>
          </w:tcPr>
          <w:p>
            <w:pPr>
              <w:pStyle w:val="TableContents"/>
              <w:bidi w:val="0"/>
              <w:spacing w:before="0" w:after="283"/>
              <w:jc w:val="right"/>
              <w:rPr/>
            </w:pPr>
            <w:r>
              <w:rPr/>
              <w:t xml:space="preserve">1.2040 </w:t>
            </w:r>
          </w:p>
        </w:tc>
        <w:tc>
          <w:tcPr>
            <w:tcW w:w="135" w:type="dxa"/>
            <w:tcBorders/>
            <w:shd w:fill="FFFFFF" w:val="clear"/>
            <w:vAlign w:val="center"/>
          </w:tcPr>
          <w:p>
            <w:pPr>
              <w:pStyle w:val="TableContents"/>
              <w:bidi w:val="0"/>
              <w:spacing w:before="0" w:after="283"/>
              <w:jc w:val="left"/>
              <w:rPr/>
            </w:pPr>
            <w:r>
              <w:rPr/>
              <w:t xml:space="preserve">  </w:t>
            </w:r>
          </w:p>
        </w:tc>
      </w:tr>
      <w:tr>
        <w:trPr/>
        <w:tc>
          <w:tcPr>
            <w:tcW w:w="905" w:type="dxa"/>
            <w:tcBorders/>
            <w:shd w:fill="CCEEFF" w:val="clear"/>
            <w:vAlign w:val="center"/>
          </w:tcPr>
          <w:p>
            <w:pPr>
              <w:pStyle w:val="TableContents"/>
              <w:bidi w:val="0"/>
              <w:spacing w:before="0" w:after="283"/>
              <w:jc w:val="left"/>
              <w:rPr/>
            </w:pPr>
            <w:r>
              <w:rPr/>
              <w:t xml:space="preserve">Average </w:t>
            </w:r>
          </w:p>
        </w:tc>
        <w:tc>
          <w:tcPr>
            <w:tcW w:w="120" w:type="dxa"/>
            <w:tcBorders/>
            <w:shd w:fill="CCEEFF" w:val="clear"/>
            <w:vAlign w:val="center"/>
          </w:tcPr>
          <w:p>
            <w:pPr>
              <w:pStyle w:val="TableContents"/>
              <w:bidi w:val="0"/>
              <w:spacing w:before="0" w:after="283"/>
              <w:jc w:val="left"/>
              <w:rPr/>
            </w:pPr>
            <w:r>
              <w:rPr/>
              <w:t xml:space="preserve">  </w:t>
            </w:r>
          </w:p>
        </w:tc>
        <w:tc>
          <w:tcPr>
            <w:tcW w:w="225" w:type="dxa"/>
            <w:tcBorders/>
            <w:shd w:fill="CCEEFF" w:val="clear"/>
            <w:vAlign w:val="center"/>
          </w:tcPr>
          <w:p>
            <w:pPr>
              <w:pStyle w:val="TableContents"/>
              <w:bidi w:val="0"/>
              <w:spacing w:before="0" w:after="283"/>
              <w:jc w:val="left"/>
              <w:rPr/>
            </w:pPr>
            <w:r>
              <w:rPr/>
              <w:t xml:space="preserve">  </w:t>
            </w:r>
          </w:p>
        </w:tc>
        <w:tc>
          <w:tcPr>
            <w:tcW w:w="1924" w:type="dxa"/>
            <w:tcBorders/>
            <w:shd w:fill="CCEEFF" w:val="clear"/>
            <w:vAlign w:val="center"/>
          </w:tcPr>
          <w:p>
            <w:pPr>
              <w:pStyle w:val="TableContents"/>
              <w:bidi w:val="0"/>
              <w:spacing w:before="0" w:after="283"/>
              <w:jc w:val="right"/>
              <w:rPr/>
            </w:pPr>
            <w:r>
              <w:rPr/>
              <w:t xml:space="preserve">1.3414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25" w:type="dxa"/>
            <w:tcBorders/>
            <w:shd w:fill="CCEEFF" w:val="clear"/>
            <w:vAlign w:val="center"/>
          </w:tcPr>
          <w:p>
            <w:pPr>
              <w:pStyle w:val="TableContents"/>
              <w:bidi w:val="0"/>
              <w:spacing w:before="0" w:after="283"/>
              <w:jc w:val="left"/>
              <w:rPr/>
            </w:pPr>
            <w:r>
              <w:rPr/>
              <w:t xml:space="preserve">  </w:t>
            </w:r>
          </w:p>
        </w:tc>
        <w:tc>
          <w:tcPr>
            <w:tcW w:w="1924" w:type="dxa"/>
            <w:tcBorders/>
            <w:shd w:fill="CCEEFF" w:val="clear"/>
            <w:vAlign w:val="center"/>
          </w:tcPr>
          <w:p>
            <w:pPr>
              <w:pStyle w:val="TableContents"/>
              <w:bidi w:val="0"/>
              <w:spacing w:before="0" w:after="283"/>
              <w:jc w:val="right"/>
              <w:rPr/>
            </w:pPr>
            <w:r>
              <w:rPr/>
              <w:t xml:space="preserve">1.3056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59" w:type="dxa"/>
            <w:tcBorders/>
            <w:shd w:fill="CCEEFF" w:val="clear"/>
            <w:vAlign w:val="center"/>
          </w:tcPr>
          <w:p>
            <w:pPr>
              <w:pStyle w:val="TableContents"/>
              <w:bidi w:val="0"/>
              <w:spacing w:before="0" w:after="283"/>
              <w:jc w:val="right"/>
              <w:rPr/>
            </w:pPr>
            <w:r>
              <w:rPr/>
              <w:t xml:space="preserve">1.3013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59" w:type="dxa"/>
            <w:tcBorders/>
            <w:shd w:fill="CCEEFF" w:val="clear"/>
            <w:vAlign w:val="center"/>
          </w:tcPr>
          <w:p>
            <w:pPr>
              <w:pStyle w:val="TableContents"/>
              <w:bidi w:val="0"/>
              <w:spacing w:before="0" w:after="283"/>
              <w:jc w:val="right"/>
              <w:rPr/>
            </w:pPr>
            <w:r>
              <w:rPr/>
              <w:t xml:space="preserve">1.2535 </w:t>
            </w:r>
          </w:p>
        </w:tc>
        <w:tc>
          <w:tcPr>
            <w:tcW w:w="135" w:type="dxa"/>
            <w:tcBorders/>
            <w:shd w:fill="CCEEFF" w:val="clear"/>
            <w:vAlign w:val="center"/>
          </w:tcPr>
          <w:p>
            <w:pPr>
              <w:pStyle w:val="TableContents"/>
              <w:bidi w:val="0"/>
              <w:spacing w:before="0" w:after="283"/>
              <w:jc w:val="left"/>
              <w:rPr/>
            </w:pPr>
            <w:r>
              <w:rPr/>
              <w:t xml:space="preserve">  </w:t>
            </w:r>
          </w:p>
        </w:tc>
      </w:tr>
      <w:tr>
        <w:trPr/>
        <w:tc>
          <w:tcPr>
            <w:tcW w:w="905" w:type="dxa"/>
            <w:tcBorders/>
            <w:shd w:fill="FFFFFF" w:val="clear"/>
            <w:vAlign w:val="center"/>
          </w:tcPr>
          <w:p>
            <w:pPr>
              <w:pStyle w:val="TableContents"/>
              <w:bidi w:val="0"/>
              <w:spacing w:before="0" w:after="283"/>
              <w:jc w:val="left"/>
              <w:rPr/>
            </w:pPr>
            <w:r>
              <w:rPr/>
              <w:t xml:space="preserve">Closing </w:t>
            </w:r>
          </w:p>
        </w:tc>
        <w:tc>
          <w:tcPr>
            <w:tcW w:w="120" w:type="dxa"/>
            <w:tcBorders/>
            <w:shd w:fill="FFFFFF" w:val="clear"/>
            <w:vAlign w:val="center"/>
          </w:tcPr>
          <w:p>
            <w:pPr>
              <w:pStyle w:val="TableContents"/>
              <w:bidi w:val="0"/>
              <w:spacing w:before="0" w:after="283"/>
              <w:jc w:val="left"/>
              <w:rPr/>
            </w:pPr>
            <w:r>
              <w:rPr/>
              <w:t xml:space="preserve">  </w:t>
            </w:r>
          </w:p>
        </w:tc>
        <w:tc>
          <w:tcPr>
            <w:tcW w:w="225" w:type="dxa"/>
            <w:tcBorders/>
            <w:shd w:fill="FFFFFF" w:val="clear"/>
            <w:vAlign w:val="center"/>
          </w:tcPr>
          <w:p>
            <w:pPr>
              <w:pStyle w:val="TableContents"/>
              <w:bidi w:val="0"/>
              <w:spacing w:before="0" w:after="283"/>
              <w:jc w:val="left"/>
              <w:rPr/>
            </w:pPr>
            <w:r>
              <w:rPr/>
              <w:t xml:space="preserve">  </w:t>
            </w:r>
          </w:p>
        </w:tc>
        <w:tc>
          <w:tcPr>
            <w:tcW w:w="1924" w:type="dxa"/>
            <w:tcBorders/>
            <w:shd w:fill="FFFFFF" w:val="clear"/>
            <w:vAlign w:val="center"/>
          </w:tcPr>
          <w:p>
            <w:pPr>
              <w:pStyle w:val="TableContents"/>
              <w:bidi w:val="0"/>
              <w:spacing w:before="0" w:after="283"/>
              <w:jc w:val="right"/>
              <w:rPr/>
            </w:pPr>
            <w:r>
              <w:rPr/>
              <w:t xml:space="preserve">1.3520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25" w:type="dxa"/>
            <w:tcBorders/>
            <w:shd w:fill="FFFFFF" w:val="clear"/>
            <w:vAlign w:val="center"/>
          </w:tcPr>
          <w:p>
            <w:pPr>
              <w:pStyle w:val="TableContents"/>
              <w:bidi w:val="0"/>
              <w:spacing w:before="0" w:after="283"/>
              <w:jc w:val="left"/>
              <w:rPr/>
            </w:pPr>
            <w:r>
              <w:rPr/>
              <w:t xml:space="preserve">  </w:t>
            </w:r>
          </w:p>
        </w:tc>
        <w:tc>
          <w:tcPr>
            <w:tcW w:w="1924" w:type="dxa"/>
            <w:tcBorders/>
            <w:shd w:fill="FFFFFF" w:val="clear"/>
            <w:vAlign w:val="center"/>
          </w:tcPr>
          <w:p>
            <w:pPr>
              <w:pStyle w:val="TableContents"/>
              <w:bidi w:val="0"/>
              <w:spacing w:before="0" w:after="283"/>
              <w:jc w:val="right"/>
              <w:rPr/>
            </w:pPr>
            <w:r>
              <w:rPr/>
              <w:t xml:space="preserve">1.3707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59" w:type="dxa"/>
            <w:tcBorders/>
            <w:shd w:fill="FFFFFF" w:val="clear"/>
            <w:vAlign w:val="center"/>
          </w:tcPr>
          <w:p>
            <w:pPr>
              <w:pStyle w:val="TableContents"/>
              <w:bidi w:val="0"/>
              <w:spacing w:before="0" w:after="283"/>
              <w:jc w:val="right"/>
              <w:rPr/>
            </w:pPr>
            <w:r>
              <w:rPr/>
              <w:t xml:space="preserve">1.3544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59" w:type="dxa"/>
            <w:tcBorders/>
            <w:shd w:fill="FFFFFF" w:val="clear"/>
            <w:vAlign w:val="center"/>
          </w:tcPr>
          <w:p>
            <w:pPr>
              <w:pStyle w:val="TableContents"/>
              <w:bidi w:val="0"/>
              <w:spacing w:before="0" w:after="283"/>
              <w:jc w:val="right"/>
              <w:rPr/>
            </w:pPr>
            <w:r>
              <w:rPr/>
              <w:t xml:space="preserve">1.2678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9, 2023, the daily exchange rate for the U.S. dollar in terms of Canadian dollars, as quoted by the Bank of Canada, was $1.00 = C$1.3781.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DOCUMENTS FILED AS PART OF THE REGISTRATION STATEMENT</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have been, or will be, filed with the SEC as part of the Registration Statement, of which this prospectus forms a part: (1) the documents listed under “</w:t>
      </w:r>
      <w:r>
        <w:rPr>
          <w:rFonts w:ascii="Times New Roman;Times;Serif" w:hAnsi="Times New Roman;Times;Serif"/>
          <w:b w:val="false"/>
          <w:i/>
          <w:caps w:val="false"/>
          <w:smallCaps w:val="false"/>
          <w:sz w:val="20"/>
        </w:rPr>
        <w:t>DOCUMENTS INCORPORATED BY REFERENCE</w:t>
      </w:r>
      <w:r>
        <w:rPr>
          <w:rFonts w:ascii="Times New Roman;Times;Serif" w:hAnsi="Times New Roman;Times;Serif"/>
          <w:b w:val="false"/>
          <w:i w:val="false"/>
          <w:caps w:val="false"/>
          <w:smallCaps w:val="false"/>
          <w:sz w:val="20"/>
        </w:rPr>
        <w:t>”; (2) the consent of PricewaterhouseCoopers LLP; (3) powers of attorney from certain of the Company’s directors and officers; and (4) the forms of senior and subordinated indenture relating to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AVAILABLE INFORMATION</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40" w:right="0" w:hanging="0"/>
        <w:jc w:val="center"/>
        <w:rPr>
          <w:rFonts w:ascii="Times New Roman;Times;Serif" w:hAnsi="Times New Roman;Times;Serif"/>
          <w:b/>
          <w:i w:val="false"/>
          <w:caps w:val="false"/>
          <w:smallCaps w:val="false"/>
          <w:sz w:val="20"/>
          <w:bdr w:val="single" w:sz="12" w:space="3" w:color="000000"/>
        </w:rPr>
      </w:pPr>
      <w:bookmarkStart w:id="8" w:name="a_007"/>
      <w:bookmarkEnd w:id="8"/>
      <w:r>
        <w:rPr>
          <w:rFonts w:ascii="Times New Roman;Times;Serif" w:hAnsi="Times New Roman;Times;Serif"/>
          <w:b/>
          <w:i w:val="false"/>
          <w:caps w:val="false"/>
          <w:smallCaps w:val="false"/>
          <w:sz w:val="20"/>
          <w:bdr w:val="single" w:sz="12" w:space="3" w:color="000000"/>
        </w:rPr>
        <w:t>THE COMPANY</w:t>
      </w:r>
    </w:p>
    <w:p>
      <w:pPr>
        <w:pStyle w:val="TextBody"/>
        <w:bidi w:val="0"/>
        <w:spacing w:before="0" w:after="0"/>
        <w:ind w:left="40" w:right="0" w:hanging="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Times;Serif" w:hAnsi="Times New Roman;Times;Serif"/>
          <w:b w:val="false"/>
          <w:i/>
          <w:caps w:val="false"/>
          <w:smallCaps w:val="false"/>
          <w:sz w:val="20"/>
          <w:bdr w:val="single" w:sz="12" w:space="3" w:color="000000"/>
        </w:rPr>
        <w:t>RISK FACTORS</w:t>
      </w:r>
      <w:r>
        <w:rPr>
          <w:rFonts w:ascii="Times New Roman;Times;Serif" w:hAnsi="Times New Roman;Times;Serif"/>
          <w:b w:val="false"/>
          <w:i w:val="false"/>
          <w:caps w:val="false"/>
          <w:smallCaps w:val="false"/>
          <w:sz w:val="20"/>
          <w:bdr w:val="single" w:sz="12" w:space="3" w:color="000000"/>
        </w:rPr>
        <w:t>”, as well as the documents incorporated by reference into this prospectus and the applicable prospectus supplement, before making an investment decision.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Name, Address and Incorporation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was incorporated under the </w:t>
      </w:r>
      <w:r>
        <w:rPr>
          <w:rFonts w:ascii="Times New Roman;Times;Serif" w:hAnsi="Times New Roman;Times;Serif"/>
          <w:b w:val="false"/>
          <w:i/>
          <w:caps w:val="false"/>
          <w:smallCaps w:val="false"/>
          <w:sz w:val="20"/>
          <w:bdr w:val="single" w:sz="12" w:space="3" w:color="000000"/>
        </w:rPr>
        <w:t>Canada Business Corporations Act</w:t>
      </w:r>
      <w:r>
        <w:rPr>
          <w:rFonts w:ascii="Times New Roman;Times;Serif" w:hAnsi="Times New Roman;Times;Serif"/>
          <w:b w:val="false"/>
          <w:i w:val="false"/>
          <w:caps w:val="false"/>
          <w:smallCaps w:val="false"/>
          <w:sz w:val="20"/>
          <w:bdr w:val="single" w:sz="12" w:space="3" w:color="000000"/>
        </w:rPr>
        <w:t xml:space="preserve"> on October 11, 2018, and continued under the </w:t>
      </w:r>
      <w:r>
        <w:rPr>
          <w:rFonts w:ascii="Times New Roman;Times;Serif" w:hAnsi="Times New Roman;Times;Serif"/>
          <w:b w:val="false"/>
          <w:i/>
          <w:caps w:val="false"/>
          <w:smallCaps w:val="false"/>
          <w:sz w:val="20"/>
          <w:bdr w:val="single" w:sz="12" w:space="3" w:color="000000"/>
        </w:rPr>
        <w:t>Business Corporations Act</w:t>
      </w:r>
      <w:r>
        <w:rPr>
          <w:rFonts w:ascii="Times New Roman;Times;Serif" w:hAnsi="Times New Roman;Times;Serif"/>
          <w:b w:val="false"/>
          <w:i w:val="false"/>
          <w:caps w:val="false"/>
          <w:smallCaps w:val="false"/>
          <w:sz w:val="20"/>
          <w:bdr w:val="single" w:sz="12" w:space="3" w:color="000000"/>
        </w:rPr>
        <w:t xml:space="preserve"> (Ontario) on August 27, 2021. The Company has its registered and head office located at 110 Yonge Street, Suite 1601, Toronto, ON M5C 1T4. The Company’s Common Shares are listed for trading on the Nasdaq and on the TSX under the trading symbol “BITF”.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Subsidiaries</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table below lists the principal material subsidiaries of the Company as of the date hereof.</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28" w:type="dxa"/>
          <w:right w:w="0" w:type="dxa"/>
        </w:tblCellMar>
      </w:tblPr>
      <w:tblGrid>
        <w:gridCol w:w="4188"/>
        <w:gridCol w:w="91"/>
        <w:gridCol w:w="1103"/>
        <w:gridCol w:w="91"/>
        <w:gridCol w:w="4732"/>
      </w:tblGrid>
      <w:tr>
        <w:trPr/>
        <w:tc>
          <w:tcPr>
            <w:tcW w:w="4188"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Name</w:t>
            </w:r>
            <w:r>
              <w:rPr/>
              <w:t xml:space="preserve"> </w:t>
            </w:r>
          </w:p>
        </w:tc>
        <w:tc>
          <w:tcPr>
            <w:tcW w:w="91" w:type="dxa"/>
            <w:tcBorders/>
            <w:tcMar>
              <w:bottom w:w="0" w:type="dxa"/>
            </w:tcMar>
            <w:vAlign w:val="center"/>
          </w:tcPr>
          <w:p>
            <w:pPr>
              <w:pStyle w:val="TableContents"/>
              <w:bidi w:val="0"/>
              <w:spacing w:before="0" w:after="283"/>
              <w:jc w:val="left"/>
              <w:rPr/>
            </w:pPr>
            <w:r>
              <w:rPr/>
              <w:t xml:space="preserve">  </w:t>
            </w:r>
          </w:p>
        </w:tc>
        <w:tc>
          <w:tcPr>
            <w:tcW w:w="1103"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Jurisdiction</w:t>
            </w:r>
            <w:r>
              <w:rPr/>
              <w:t xml:space="preserve"> </w:t>
            </w:r>
          </w:p>
        </w:tc>
        <w:tc>
          <w:tcPr>
            <w:tcW w:w="91" w:type="dxa"/>
            <w:tcBorders/>
            <w:tcMar>
              <w:bottom w:w="0" w:type="dxa"/>
            </w:tcMar>
            <w:vAlign w:val="center"/>
          </w:tcPr>
          <w:p>
            <w:pPr>
              <w:pStyle w:val="TableContents"/>
              <w:bidi w:val="0"/>
              <w:spacing w:before="0" w:after="283"/>
              <w:jc w:val="left"/>
              <w:rPr/>
            </w:pPr>
            <w:r>
              <w:rPr/>
              <w:t xml:space="preserve">  </w:t>
            </w:r>
          </w:p>
        </w:tc>
        <w:tc>
          <w:tcPr>
            <w:tcW w:w="4732"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Assets Held</w:t>
            </w:r>
            <w:r>
              <w:rPr/>
              <w:t xml:space="preserve"> </w:t>
            </w:r>
          </w:p>
        </w:tc>
      </w:tr>
      <w:tr>
        <w:trPr/>
        <w:tc>
          <w:tcPr>
            <w:tcW w:w="418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Bitfarms Ltd. (Israel)</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110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Israel</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473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Holding company</w:t>
            </w:r>
            <w:r>
              <w:rPr/>
              <w:t xml:space="preserve"> </w:t>
            </w:r>
          </w:p>
        </w:tc>
      </w:tr>
      <w:tr>
        <w:trPr/>
        <w:tc>
          <w:tcPr>
            <w:tcW w:w="41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Backbone Hosting Solutions Inc.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110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Canada</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47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Computer equipment, cryptocurrency</w:t>
            </w:r>
            <w:r>
              <w:rPr/>
              <w:t xml:space="preserve"> </w:t>
            </w:r>
          </w:p>
        </w:tc>
      </w:tr>
      <w:tr>
        <w:trPr/>
        <w:tc>
          <w:tcPr>
            <w:tcW w:w="418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Backbone Hosting Solutions SAU</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110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Argentina</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473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Computer equipment</w:t>
            </w:r>
            <w:r>
              <w:rPr/>
              <w:t xml:space="preserve"> </w:t>
            </w:r>
          </w:p>
        </w:tc>
      </w:tr>
      <w:tr>
        <w:trPr/>
        <w:tc>
          <w:tcPr>
            <w:tcW w:w="418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Backbone Hosting Solutions Paraguay SA</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110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Paraguay</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47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Computer equipment</w:t>
            </w:r>
            <w:r>
              <w:rPr/>
              <w:t xml:space="preserve"> </w:t>
            </w:r>
          </w:p>
        </w:tc>
      </w:tr>
      <w:tr>
        <w:trPr/>
        <w:tc>
          <w:tcPr>
            <w:tcW w:w="418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Backbone Mining Solutions LLC</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110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United States</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4732" w:type="dxa"/>
            <w:tcBorders/>
            <w:shd w:fill="CCEEFF" w:val="clear"/>
            <w:tcMar>
              <w:bottom w:w="0" w:type="dxa"/>
            </w:tcMar>
            <w:vAlign w:val="center"/>
          </w:tcPr>
          <w:p>
            <w:pPr>
              <w:pStyle w:val="TableContents"/>
              <w:bidi w:val="0"/>
              <w:spacing w:before="0" w:after="283"/>
              <w:ind w:left="0" w:right="0" w:hanging="180"/>
              <w:jc w:val="left"/>
              <w:rPr/>
            </w:pPr>
            <w:r>
              <w:rPr>
                <w:rFonts w:ascii="Times New Roman;Times;Serif" w:hAnsi="Times New Roman;Times;Serif"/>
                <w:sz w:val="20"/>
              </w:rPr>
              <w:t>Computer equipment</w:t>
            </w:r>
            <w:r>
              <w:rPr/>
              <w:t xml:space="preserve"> </w:t>
            </w:r>
          </w:p>
        </w:tc>
      </w:tr>
      <w:tr>
        <w:trPr/>
        <w:tc>
          <w:tcPr>
            <w:tcW w:w="418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9159-9290 Québec Inc. (operating under the name “Volta Électrique Inc.”)(“</w:t>
            </w:r>
            <w:r>
              <w:rPr>
                <w:rFonts w:ascii="Times New Roman;Times;Serif" w:hAnsi="Times New Roman;Times;Serif"/>
                <w:b/>
                <w:sz w:val="20"/>
              </w:rPr>
              <w:t>Volta</w:t>
            </w:r>
            <w:r>
              <w:rPr>
                <w:rFonts w:ascii="Times New Roman;Times;Serif" w:hAnsi="Times New Roman;Times;Serif"/>
                <w:sz w:val="20"/>
              </w:rPr>
              <w:t>”)</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110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Quebec</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4732" w:type="dxa"/>
            <w:tcBorders/>
            <w:shd w:fill="FFFFFF" w:val="clear"/>
            <w:tcMar>
              <w:bottom w:w="0" w:type="dxa"/>
            </w:tcMar>
            <w:vAlign w:val="center"/>
          </w:tcPr>
          <w:p>
            <w:pPr>
              <w:pStyle w:val="TableContents"/>
              <w:bidi w:val="0"/>
              <w:spacing w:before="0" w:after="283"/>
              <w:ind w:left="0" w:right="0" w:hanging="180"/>
              <w:jc w:val="left"/>
              <w:rPr/>
            </w:pPr>
            <w:r>
              <w:rPr>
                <w:rFonts w:ascii="Times New Roman;Times;Serif" w:hAnsi="Times New Roman;Times;Serif"/>
                <w:sz w:val="20"/>
              </w:rPr>
              <w:t>Provides professional electrical services to Backbone Hosting Solutions Inc. and outside customers</w:t>
            </w:r>
            <w:r>
              <w:rPr/>
              <w:t xml:space="preserve"> </w:t>
            </w:r>
          </w:p>
        </w:tc>
      </w:tr>
      <w:tr>
        <w:trPr/>
        <w:tc>
          <w:tcPr>
            <w:tcW w:w="418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Orion Constellation Technologies Inc.</w:t>
            </w:r>
            <w:r>
              <w:rPr/>
              <w:t xml:space="preserve">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110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Quebec </w:t>
            </w:r>
          </w:p>
        </w:tc>
        <w:tc>
          <w:tcPr>
            <w:tcW w:w="91" w:type="dxa"/>
            <w:tcBorders/>
            <w:shd w:fill="CCEEFF" w:val="clear"/>
            <w:tcMar>
              <w:bottom w:w="0" w:type="dxa"/>
            </w:tcMar>
            <w:vAlign w:val="center"/>
          </w:tcPr>
          <w:p>
            <w:pPr>
              <w:pStyle w:val="TableContents"/>
              <w:bidi w:val="0"/>
              <w:spacing w:before="0" w:after="283"/>
              <w:jc w:val="left"/>
              <w:rPr/>
            </w:pPr>
            <w:r>
              <w:rPr/>
              <w:t xml:space="preserve">  </w:t>
            </w:r>
          </w:p>
        </w:tc>
        <w:tc>
          <w:tcPr>
            <w:tcW w:w="4732" w:type="dxa"/>
            <w:tcBorders/>
            <w:shd w:fill="CCEEFF" w:val="clear"/>
            <w:tcMar>
              <w:bottom w:w="0" w:type="dxa"/>
            </w:tcM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Computer equipment </w:t>
            </w:r>
          </w:p>
        </w:tc>
      </w:tr>
      <w:tr>
        <w:trPr/>
        <w:tc>
          <w:tcPr>
            <w:tcW w:w="418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D&amp;N Ingenieria SA</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110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Paraguay</w:t>
            </w:r>
            <w:r>
              <w:rPr/>
              <w:t xml:space="preserve"> </w:t>
            </w:r>
          </w:p>
        </w:tc>
        <w:tc>
          <w:tcPr>
            <w:tcW w:w="91" w:type="dxa"/>
            <w:tcBorders/>
            <w:shd w:fill="FFFFFF" w:val="clear"/>
            <w:tcMar>
              <w:bottom w:w="0" w:type="dxa"/>
            </w:tcMar>
            <w:vAlign w:val="center"/>
          </w:tcPr>
          <w:p>
            <w:pPr>
              <w:pStyle w:val="TableContents"/>
              <w:bidi w:val="0"/>
              <w:spacing w:before="0" w:after="283"/>
              <w:jc w:val="left"/>
              <w:rPr/>
            </w:pPr>
            <w:r>
              <w:rPr/>
              <w:t xml:space="preserve">  </w:t>
            </w:r>
          </w:p>
        </w:tc>
        <w:tc>
          <w:tcPr>
            <w:tcW w:w="47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Computer equipment</w:t>
            </w:r>
            <w:r>
              <w:rPr/>
              <w:t xml:space="preserve"> </w:t>
            </w:r>
          </w:p>
        </w:tc>
      </w:tr>
    </w:tbl>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Summary Description of the Business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Company’s primary business is the mining of cryptocurrency. Through its subsidiaries, the Company owns and operates server farms, composed of computers (referred to as “</w:t>
      </w:r>
      <w:r>
        <w:rPr>
          <w:rFonts w:ascii="Times New Roman;Times;Serif" w:hAnsi="Times New Roman;Times;Serif"/>
          <w:b/>
          <w:i w:val="false"/>
          <w:caps w:val="false"/>
          <w:smallCaps w:val="false"/>
          <w:sz w:val="20"/>
          <w:bdr w:val="single" w:sz="12" w:space="3" w:color="000000"/>
        </w:rPr>
        <w:t>Miners</w:t>
      </w:r>
      <w:r>
        <w:rPr>
          <w:rFonts w:ascii="Times New Roman;Times;Serif" w:hAnsi="Times New Roman;Times;Serif"/>
          <w:b w:val="false"/>
          <w:i w:val="false"/>
          <w:caps w:val="false"/>
          <w:smallCaps w:val="false"/>
          <w:sz w:val="20"/>
          <w:bdr w:val="single" w:sz="12" w:space="3" w:color="000000"/>
        </w:rPr>
        <w:t>”) designed for the purpose of validating transactions on the Bitcoin Blockchain (referred to as “</w:t>
      </w:r>
      <w:r>
        <w:rPr>
          <w:rFonts w:ascii="Times New Roman;Times;Serif" w:hAnsi="Times New Roman;Times;Serif"/>
          <w:b/>
          <w:i w:val="false"/>
          <w:caps w:val="false"/>
          <w:smallCaps w:val="false"/>
          <w:sz w:val="20"/>
          <w:bdr w:val="single" w:sz="12" w:space="3" w:color="000000"/>
        </w:rPr>
        <w:t>Mining</w:t>
      </w:r>
      <w:r>
        <w:rPr>
          <w:rFonts w:ascii="Times New Roman;Times;Serif" w:hAnsi="Times New Roman;Times;Serif"/>
          <w:b w:val="false"/>
          <w:i w:val="false"/>
          <w:caps w:val="false"/>
          <w:smallCaps w:val="false"/>
          <w:sz w:val="20"/>
          <w:bdr w:val="single" w:sz="12" w:space="3" w:color="000000"/>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Times;Serif" w:hAnsi="Times New Roman;Times;Serif"/>
          <w:b/>
          <w:i w:val="false"/>
          <w:caps w:val="false"/>
          <w:smallCaps w:val="false"/>
          <w:sz w:val="20"/>
          <w:bdr w:val="single" w:sz="12" w:space="3" w:color="000000"/>
        </w:rPr>
        <w:t>FPPS</w:t>
      </w:r>
      <w:r>
        <w:rPr>
          <w:rFonts w:ascii="Times New Roman;Times;Serif" w:hAnsi="Times New Roman;Times;Serif"/>
          <w:b w:val="false"/>
          <w:i w:val="false"/>
          <w:caps w:val="false"/>
          <w:smallCaps w:val="false"/>
          <w:sz w:val="20"/>
          <w:bdr w:val="single" w:sz="12" w:space="3" w:color="000000"/>
        </w:rPr>
        <w:t>”). For more information regarding the Company’s Mining Pool arrangements, see “</w:t>
      </w:r>
      <w:r>
        <w:rPr>
          <w:rFonts w:ascii="Times New Roman;Times;Serif" w:hAnsi="Times New Roman;Times;Serif"/>
          <w:b w:val="false"/>
          <w:i/>
          <w:caps w:val="false"/>
          <w:smallCaps w:val="false"/>
          <w:sz w:val="20"/>
          <w:bdr w:val="single" w:sz="12" w:space="3" w:color="000000"/>
        </w:rPr>
        <w:t xml:space="preserve">THE COMPANY – Summary Description of the Business – </w:t>
      </w:r>
      <w:r>
        <w:rPr>
          <w:rFonts w:ascii="Times New Roman;Times;Serif" w:hAnsi="Times New Roman;Times;Serif"/>
          <w:b w:val="false"/>
          <w:i w:val="false"/>
          <w:caps w:val="false"/>
          <w:smallCaps w:val="false"/>
          <w:sz w:val="20"/>
          <w:bdr w:val="single" w:sz="12" w:space="3" w:color="000000"/>
        </w:rPr>
        <w:t>Mining Pool Participation”. For more information regarding the business of the Company, see the 2022 AIF under the heading “</w:t>
      </w:r>
      <w:r>
        <w:rPr>
          <w:rFonts w:ascii="Times New Roman;Times;Serif" w:hAnsi="Times New Roman;Times;Serif"/>
          <w:b w:val="false"/>
          <w:i/>
          <w:caps w:val="false"/>
          <w:smallCaps w:val="false"/>
          <w:sz w:val="20"/>
          <w:bdr w:val="single" w:sz="12" w:space="3" w:color="000000"/>
        </w:rPr>
        <w:t>DESCRIPTION OF BUSINESS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In the description of the business of the Company in this short form base shelf prospectus: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Bitcoin</w:t>
      </w:r>
      <w:r>
        <w:rPr>
          <w:rFonts w:ascii="Times New Roman;Times;Serif" w:hAnsi="Times New Roman;Times;Serif"/>
          <w:b w:val="false"/>
          <w:i w:val="false"/>
          <w:caps w:val="false"/>
          <w:smallCaps w:val="false"/>
          <w:sz w:val="20"/>
          <w:bdr w:val="single" w:sz="12" w:space="3" w:color="000000"/>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Block Reward”</w:t>
      </w:r>
      <w:r>
        <w:rPr>
          <w:rFonts w:ascii="Times New Roman;Times;Serif" w:hAnsi="Times New Roman;Times;Serif"/>
          <w:b w:val="false"/>
          <w:i w:val="false"/>
          <w:caps w:val="false"/>
          <w:smallCaps w:val="false"/>
          <w:sz w:val="20"/>
          <w:bdr w:val="single" w:sz="12" w:space="3" w:color="000000"/>
        </w:rPr>
        <w:t xml:space="preserve"> shall refer to the new bitcoins that are awarded by the Blockchain network to eligible cryptocurrency Miners for each block they successfully mine. The current block reward is 6.25 Bitcoin per block;</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 xml:space="preserve">Blockchain” </w:t>
      </w:r>
      <w:r>
        <w:rPr>
          <w:rFonts w:ascii="Times New Roman;Times;Serif" w:hAnsi="Times New Roman;Times;Serif"/>
          <w:b w:val="false"/>
          <w:i w:val="false"/>
          <w:caps w:val="false"/>
          <w:smallCaps w:val="false"/>
          <w:sz w:val="20"/>
          <w:bdr w:val="single" w:sz="12" w:space="3" w:color="000000"/>
        </w:rPr>
        <w:t>shall refer to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Hash”</w:t>
      </w:r>
      <w:r>
        <w:rPr>
          <w:rFonts w:ascii="Times New Roman;Times;Serif" w:hAnsi="Times New Roman;Times;Serif"/>
          <w:b w:val="false"/>
          <w:i w:val="false"/>
          <w:caps w:val="false"/>
          <w:smallCaps w:val="false"/>
          <w:sz w:val="20"/>
          <w:bdr w:val="single" w:sz="12" w:space="3" w:color="000000"/>
        </w:rPr>
        <w:t xml:space="preserve"> shall refer to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Hashrate”</w:t>
      </w:r>
      <w:r>
        <w:rPr>
          <w:rFonts w:ascii="Times New Roman;Times;Serif" w:hAnsi="Times New Roman;Times;Serif"/>
          <w:b w:val="false"/>
          <w:i w:val="false"/>
          <w:caps w:val="false"/>
          <w:smallCaps w:val="false"/>
          <w:sz w:val="20"/>
          <w:bdr w:val="single" w:sz="12" w:space="3" w:color="000000"/>
        </w:rPr>
        <w:t xml:space="preserve"> shall refer to the number of Hash operations performed per second and is a measure of computing power in Mining cryptocurrency;</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Mining Pool</w:t>
      </w:r>
      <w:r>
        <w:rPr>
          <w:rFonts w:ascii="Times New Roman;Times;Serif" w:hAnsi="Times New Roman;Times;Serif"/>
          <w:b w:val="false"/>
          <w:i w:val="false"/>
          <w:caps w:val="false"/>
          <w:smallCaps w:val="false"/>
          <w:sz w:val="20"/>
          <w:bdr w:val="single" w:sz="12" w:space="3" w:color="000000"/>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w:t>
      </w:r>
      <w:r>
        <w:rPr>
          <w:rFonts w:ascii="Times New Roman;Times;Serif" w:hAnsi="Times New Roman;Times;Serif"/>
          <w:b/>
          <w:i w:val="false"/>
          <w:caps w:val="false"/>
          <w:smallCaps w:val="false"/>
          <w:sz w:val="20"/>
          <w:bdr w:val="single" w:sz="12" w:space="3" w:color="000000"/>
        </w:rPr>
        <w:t>MW</w:t>
      </w:r>
      <w:r>
        <w:rPr>
          <w:rFonts w:ascii="Times New Roman;Times;Serif" w:hAnsi="Times New Roman;Times;Serif"/>
          <w:b w:val="false"/>
          <w:i w:val="false"/>
          <w:caps w:val="false"/>
          <w:smallCaps w:val="false"/>
          <w:sz w:val="20"/>
          <w:bdr w:val="single" w:sz="12" w:space="3" w:color="000000"/>
        </w:rPr>
        <w:t>” shall refer to a megawatt, which is 1,000 kilowatts of electricity and, in the industry of cryptocurrency mining, is typically a reference to the number of megawatts of electricity that is available for use.</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Times New Roman;Times;Serif" w:hAnsi="Times New Roman;Times;Serif"/>
          <w:b w:val="false"/>
          <w:i/>
          <w:caps w:val="false"/>
          <w:smallCaps w:val="false"/>
          <w:sz w:val="20"/>
          <w:bdr w:val="single" w:sz="12" w:space="3" w:color="000000"/>
        </w:rPr>
        <w:t>DESCRIPTION OF BUSINESS - Principal Market Overview – Digital Asset Management Program</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Volta provides electrician services to both commercial and residential customers in Québec, while assisting Bitfarms in building and maintaining its server farms in Quebec.</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Operations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Times;Serif" w:hAnsi="Times New Roman;Times;Serif"/>
          <w:b w:val="false"/>
          <w:i/>
          <w:caps w:val="false"/>
          <w:smallCaps w:val="false"/>
          <w:sz w:val="20"/>
          <w:bdr w:val="single" w:sz="12" w:space="3" w:color="000000"/>
        </w:rPr>
        <w:t>USE OF PROCEEDS”</w:t>
      </w:r>
      <w:r>
        <w:rPr>
          <w:rFonts w:ascii="Times New Roman;Times;Serif" w:hAnsi="Times New Roman;Times;Serif"/>
          <w:b w:val="false"/>
          <w:i w:val="false"/>
          <w:caps w:val="false"/>
          <w:smallCaps w:val="false"/>
          <w:sz w:val="20"/>
          <w:bdr w:val="single" w:sz="12" w:space="3" w:color="000000"/>
        </w:rPr>
        <w:t>,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Times;Serif" w:hAnsi="Times New Roman;Times;Serif"/>
          <w:b w:val="false"/>
          <w:i/>
          <w:caps w:val="false"/>
          <w:smallCaps w:val="false"/>
          <w:sz w:val="20"/>
          <w:bdr w:val="single" w:sz="12" w:space="3" w:color="000000"/>
        </w:rPr>
        <w:t>USE OF PROCEEDS – Business Objectives and Milestones”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More detailed information regarding the business of the Company as well as its mining operations can be found in the 2022 AIF under the heading “</w:t>
      </w:r>
      <w:r>
        <w:rPr>
          <w:rFonts w:ascii="Times New Roman;Times;Serif" w:hAnsi="Times New Roman;Times;Serif"/>
          <w:b w:val="false"/>
          <w:i/>
          <w:caps w:val="false"/>
          <w:smallCaps w:val="false"/>
          <w:sz w:val="20"/>
          <w:bdr w:val="single" w:sz="12" w:space="3" w:color="000000"/>
        </w:rPr>
        <w:t>DESCRIPTION OF THE BUSINESS – Description of the Busines</w:t>
      </w:r>
      <w:r>
        <w:rPr>
          <w:rFonts w:ascii="Times New Roman;Times;Serif" w:hAnsi="Times New Roman;Times;Serif"/>
          <w:b w:val="false"/>
          <w:i w:val="false"/>
          <w:caps w:val="false"/>
          <w:smallCaps w:val="false"/>
          <w:sz w:val="20"/>
          <w:bdr w:val="single" w:sz="12" w:space="3" w:color="000000"/>
        </w:rPr>
        <w:t>s”, the 2022 MD&amp;A and the Interim MD&amp;A, all of which are incorporated by reference herein.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Mining Profitability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Times New Roman;Times;Serif" w:hAnsi="Times New Roman;Times;Serif"/>
          <w:b w:val="false"/>
          <w:i/>
          <w:caps w:val="false"/>
          <w:smallCaps w:val="false"/>
          <w:sz w:val="20"/>
          <w:bdr w:val="single" w:sz="12" w:space="3" w:color="000000"/>
        </w:rPr>
        <w:t>RISK FACTORS – Cryptocurrency Network Difficulty and Impact of Increased Global Computing Power”.</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Mining Pool Participation</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Times New Roman;Times;Serif" w:hAnsi="Times New Roman;Times;Serif"/>
          <w:b/>
          <w:i w:val="false"/>
          <w:caps w:val="false"/>
          <w:smallCaps w:val="false"/>
          <w:sz w:val="20"/>
          <w:bdr w:val="single" w:sz="12" w:space="3" w:color="000000"/>
        </w:rPr>
        <w:t>Foundry Pool</w:t>
      </w:r>
      <w:r>
        <w:rPr>
          <w:rFonts w:ascii="Times New Roman;Times;Serif" w:hAnsi="Times New Roman;Times;Serif"/>
          <w:b w:val="false"/>
          <w:i w:val="false"/>
          <w:caps w:val="false"/>
          <w:smallCaps w:val="false"/>
          <w:sz w:val="20"/>
          <w:bdr w:val="single" w:sz="12" w:space="3" w:color="000000"/>
        </w:rPr>
        <w:t xml:space="preserve">”).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Times New Roman;Times;Serif" w:hAnsi="Times New Roman;Times;Serif"/>
          <w:b w:val="false"/>
          <w:i/>
          <w:caps w:val="false"/>
          <w:smallCaps w:val="false"/>
          <w:sz w:val="20"/>
          <w:bdr w:val="single" w:sz="12" w:space="3" w:color="000000"/>
        </w:rPr>
        <w:t>their</w:t>
      </w:r>
      <w:r>
        <w:rPr>
          <w:rFonts w:ascii="Times New Roman;Times;Serif" w:hAnsi="Times New Roman;Times;Serif"/>
          <w:b w:val="false"/>
          <w:i w:val="false"/>
          <w:caps w:val="false"/>
          <w:smallCaps w:val="false"/>
          <w:sz w:val="20"/>
          <w:bdr w:val="single" w:sz="12" w:space="3" w:color="000000"/>
        </w:rPr>
        <w:t xml:space="preserve"> Miners Hashrate to Foundry Pool with URL address(es) that are unique to </w:t>
      </w:r>
      <w:r>
        <w:rPr>
          <w:rFonts w:ascii="Times New Roman;Times;Serif" w:hAnsi="Times New Roman;Times;Serif"/>
          <w:b w:val="false"/>
          <w:i/>
          <w:caps w:val="false"/>
          <w:smallCaps w:val="false"/>
          <w:sz w:val="20"/>
          <w:bdr w:val="single" w:sz="12" w:space="3" w:color="000000"/>
        </w:rPr>
        <w:t>those</w:t>
      </w:r>
      <w:r>
        <w:rPr>
          <w:rFonts w:ascii="Times New Roman;Times;Serif" w:hAnsi="Times New Roman;Times;Serif"/>
          <w:b w:val="false"/>
          <w:i w:val="false"/>
          <w:caps w:val="false"/>
          <w:smallCaps w:val="false"/>
          <w:sz w:val="20"/>
          <w:bdr w:val="single" w:sz="12" w:space="3" w:color="000000"/>
        </w:rPr>
        <w:t xml:space="preserve"> members.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payout formula that Foundry Pool pays to Bitfarms (not including transaction fees) is as follows: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drawing>
          <wp:inline distT="0" distB="0" distL="0" distR="0">
            <wp:extent cx="43243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24350" cy="361950"/>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where Subaccount FPPS Payout Amount is the amount of payment (in Bitcoin) that the Company actual receives; Daily PPS Base per Subaccount is the amount of Bitcoin earned by the Company </w:t>
      </w:r>
      <w:r>
        <w:rPr>
          <w:rFonts w:ascii="Times New Roman;Times;Serif" w:hAnsi="Times New Roman;Times;Serif"/>
          <w:b w:val="false"/>
          <w:i/>
          <w:caps w:val="false"/>
          <w:smallCaps w:val="false"/>
          <w:sz w:val="20"/>
          <w:bdr w:val="single" w:sz="12" w:space="3" w:color="000000"/>
        </w:rPr>
        <w:t>based on the block subsidy</w:t>
      </w:r>
      <w:r>
        <w:rPr>
          <w:rFonts w:ascii="Times New Roman;Times;Serif" w:hAnsi="Times New Roman;Times;Serif"/>
          <w:b w:val="false"/>
          <w:i w:val="false"/>
          <w:caps w:val="false"/>
          <w:smallCaps w:val="false"/>
          <w:sz w:val="20"/>
          <w:bdr w:val="single" w:sz="12" w:space="3" w:color="000000"/>
        </w:rPr>
        <w:t xml:space="preserve"> that is paid to Bitcoin Miners for solving a block (the “</w:t>
      </w:r>
      <w:r>
        <w:rPr>
          <w:rFonts w:ascii="Times New Roman;Times;Serif" w:hAnsi="Times New Roman;Times;Serif"/>
          <w:b/>
          <w:i w:val="false"/>
          <w:caps w:val="false"/>
          <w:smallCaps w:val="false"/>
          <w:sz w:val="20"/>
          <w:bdr w:val="single" w:sz="12" w:space="3" w:color="000000"/>
        </w:rPr>
        <w:t>Reward Component</w:t>
      </w:r>
      <w:r>
        <w:rPr>
          <w:rFonts w:ascii="Times New Roman;Times;Serif" w:hAnsi="Times New Roman;Times;Serif"/>
          <w:b w:val="false"/>
          <w:i w:val="false"/>
          <w:caps w:val="false"/>
          <w:smallCaps w:val="false"/>
          <w:sz w:val="20"/>
          <w:bdr w:val="single" w:sz="12" w:space="3" w:color="000000"/>
        </w:rPr>
        <w:t xml:space="preserve">”);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Daily PPS Base per Subaccount is calculated as follows: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drawing>
          <wp:inline distT="0" distB="0" distL="0" distR="0">
            <wp:extent cx="4324350"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24350" cy="800100"/>
                    </a:xfrm>
                    <a:prstGeom prst="rect">
                      <a:avLst/>
                    </a:prstGeom>
                  </pic:spPr>
                </pic:pic>
              </a:graphicData>
            </a:graphic>
          </wp:inline>
        </w:drawing>
      </w:r>
      <w:r>
        <w:rPr>
          <w:caps w:val="false"/>
          <w:smallCaps w:val="false"/>
          <w:bdr w:val="single" w:sz="12" w:space="3" w:color="000000"/>
        </w:rPr>
        <w:t>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where worker is the number of Miners (or groups of Miners), </w:t>
      </w:r>
      <w:r>
        <w:rPr>
          <w:rFonts w:ascii="Times New Roman;Times;Serif" w:hAnsi="Times New Roman;Times;Serif"/>
          <w:b w:val="false"/>
          <w:i/>
          <w:caps w:val="false"/>
          <w:smallCaps w:val="false"/>
          <w:sz w:val="20"/>
          <w:bdr w:val="single" w:sz="12" w:space="3" w:color="000000"/>
        </w:rPr>
        <w:t>shares</w:t>
      </w:r>
      <w:r>
        <w:rPr>
          <w:rFonts w:ascii="Times New Roman;Times;Serif" w:hAnsi="Times New Roman;Times;Serif"/>
          <w:b w:val="false"/>
          <w:i w:val="false"/>
          <w:caps w:val="false"/>
          <w:smallCaps w:val="false"/>
          <w:sz w:val="20"/>
          <w:bdr w:val="single" w:sz="12" w:space="3" w:color="000000"/>
        </w:rPr>
        <w:t xml:space="preserve"> equals a number equal to the aggregate Hashrate of a worker divided by sets equal to the size of the </w:t>
      </w:r>
      <w:r>
        <w:rPr>
          <w:rFonts w:ascii="Times New Roman;Times;Serif" w:hAnsi="Times New Roman;Times;Serif"/>
          <w:b w:val="false"/>
          <w:i/>
          <w:caps w:val="false"/>
          <w:smallCaps w:val="false"/>
          <w:sz w:val="20"/>
          <w:bdr w:val="single" w:sz="12" w:space="3" w:color="000000"/>
        </w:rPr>
        <w:t>share difficulty</w:t>
      </w:r>
      <w:r>
        <w:rPr>
          <w:rFonts w:ascii="Times New Roman;Times;Serif" w:hAnsi="Times New Roman;Times;Serif"/>
          <w:b w:val="false"/>
          <w:i w:val="false"/>
          <w:caps w:val="false"/>
          <w:smallCaps w:val="false"/>
          <w:sz w:val="20"/>
          <w:bdr w:val="single" w:sz="12" w:space="3" w:color="000000"/>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Times New Roman;Times;Serif" w:hAnsi="Times New Roman;Times;Serif"/>
          <w:b/>
          <w:i w:val="false"/>
          <w:caps w:val="false"/>
          <w:smallCaps w:val="false"/>
          <w:sz w:val="20"/>
          <w:bdr w:val="single" w:sz="12" w:space="3" w:color="000000"/>
        </w:rPr>
        <w:t>2024 Halving</w:t>
      </w:r>
      <w:r>
        <w:rPr>
          <w:rFonts w:ascii="Times New Roman;Times;Serif" w:hAnsi="Times New Roman;Times;Serif"/>
          <w:b w:val="false"/>
          <w:i w:val="false"/>
          <w:caps w:val="false"/>
          <w:smallCaps w:val="false"/>
          <w:sz w:val="20"/>
          <w:bdr w:val="single" w:sz="12" w:space="3" w:color="000000"/>
        </w:rPr>
        <w:t xml:space="preserve">”)), and network difficulty is the Bitcoin network difficulty.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FPPS Rate is calculated as follows: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drawing>
          <wp:inline distT="0" distB="0" distL="0" distR="0">
            <wp:extent cx="432435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24350" cy="485775"/>
                    </a:xfrm>
                    <a:prstGeom prst="rect">
                      <a:avLst/>
                    </a:prstGeom>
                  </pic:spPr>
                </pic:pic>
              </a:graphicData>
            </a:graphic>
          </wp:inline>
        </w:drawing>
      </w: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 xml:space="preserve">Emerging Market </w:t>
      </w:r>
    </w:p>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See “</w:t>
      </w:r>
      <w:r>
        <w:rPr>
          <w:rFonts w:ascii="Times New Roman;Times;Serif" w:hAnsi="Times New Roman;Times;Serif"/>
          <w:b w:val="false"/>
          <w:i/>
          <w:caps w:val="false"/>
          <w:smallCaps w:val="false"/>
          <w:sz w:val="20"/>
          <w:bdr w:val="single" w:sz="12" w:space="3" w:color="000000"/>
        </w:rPr>
        <w:t>RISK FACTORS - Risks Related to Emerging Markets</w:t>
      </w:r>
      <w:r>
        <w:rPr>
          <w:rFonts w:ascii="Times New Roman;Times;Serif" w:hAnsi="Times New Roman;Times;Serif"/>
          <w:b w:val="false"/>
          <w:i w:val="false"/>
          <w:caps w:val="false"/>
          <w:smallCaps w:val="false"/>
          <w:sz w:val="20"/>
          <w:bdr w:val="single" w:sz="12" w:space="3" w:color="000000"/>
        </w:rPr>
        <w:t>”.</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Argentina</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Paraguay</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In August 2023, the Company placed orders using vendor credits for eight 2.4 MW hydro containers and approximately 1,900 Miners capable of producing approximately 675 PH/s once installed.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Non-IFRS Measures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 </w:t>
      </w:r>
    </w:p>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Regulatory Compliance</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Québec, Canada</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operates a total of eight server farms with an aggregate power capacity of 158 MW located in the Province of Québec, Canada. See the Interim MD&amp;A under the heading </w:t>
      </w:r>
      <w:r>
        <w:rPr>
          <w:rFonts w:ascii="Times New Roman;Times;Serif" w:hAnsi="Times New Roman;Times;Serif"/>
          <w:b w:val="false"/>
          <w:i/>
          <w:caps w:val="false"/>
          <w:smallCaps w:val="false"/>
          <w:sz w:val="20"/>
          <w:bdr w:val="single" w:sz="12" w:space="3" w:color="000000"/>
        </w:rPr>
        <w:t xml:space="preserve">EXPANSION PROJECTS – Baie-Comeau (Canada) Expansion and </w:t>
      </w:r>
      <w:r>
        <w:rPr>
          <w:rFonts w:ascii="Times New Roman;Times;Serif" w:hAnsi="Times New Roman;Times;Serif"/>
          <w:b w:val="false"/>
          <w:i w:val="false"/>
          <w:caps w:val="false"/>
          <w:smallCaps w:val="false"/>
          <w:sz w:val="20"/>
          <w:bdr w:val="single" w:sz="12" w:space="3" w:color="000000"/>
        </w:rPr>
        <w:t>the 2022 AIF under the heading “</w:t>
      </w:r>
      <w:r>
        <w:rPr>
          <w:rFonts w:ascii="Times New Roman;Times;Serif" w:hAnsi="Times New Roman;Times;Serif"/>
          <w:b w:val="false"/>
          <w:i/>
          <w:caps w:val="false"/>
          <w:smallCaps w:val="false"/>
          <w:sz w:val="20"/>
          <w:bdr w:val="single" w:sz="12" w:space="3" w:color="000000"/>
        </w:rPr>
        <w:t>DESCRIPTION OF BUSINESS – Recently Completed Development and Future Growth Plans – Sherbrooke Expansion</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Washington, United Status</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operates one 18 MW server farm located in the State of Washington in the United States. See the Interim MD&amp;A under the heading “</w:t>
      </w:r>
      <w:r>
        <w:rPr>
          <w:rFonts w:ascii="Times New Roman;Times;Serif" w:hAnsi="Times New Roman;Times;Serif"/>
          <w:b w:val="false"/>
          <w:i/>
          <w:caps w:val="false"/>
          <w:smallCaps w:val="false"/>
          <w:sz w:val="20"/>
          <w:bdr w:val="single" w:sz="12" w:space="3" w:color="000000"/>
        </w:rPr>
        <w:t>EXPANSION PROJECTS – Washington Expansion</w:t>
      </w:r>
      <w:r>
        <w:rPr>
          <w:rFonts w:ascii="Times New Roman;Times;Serif" w:hAnsi="Times New Roman;Times;Serif"/>
          <w:b w:val="false"/>
          <w:i w:val="false"/>
          <w:caps w:val="false"/>
          <w:smallCaps w:val="false"/>
          <w:sz w:val="20"/>
          <w:bdr w:val="single" w:sz="12" w:space="3" w:color="000000"/>
        </w:rPr>
        <w:t>” and the 2022 AIF under the heading “</w:t>
      </w:r>
      <w:r>
        <w:rPr>
          <w:rFonts w:ascii="Times New Roman;Times;Serif" w:hAnsi="Times New Roman;Times;Serif"/>
          <w:b w:val="false"/>
          <w:i/>
          <w:caps w:val="false"/>
          <w:smallCaps w:val="false"/>
          <w:sz w:val="20"/>
          <w:bdr w:val="single" w:sz="12" w:space="3" w:color="000000"/>
        </w:rPr>
        <w:t>DESCRIPTION OF BUSINESS – Recently Completed Development and Future Growth Plans – The State of Washington in the United States Expansion</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pStyle w:val="TextBody"/>
        <w:bidi w:val="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Argentina</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operates one 54 MW server farm located in Córdoba, Argentina (with an electrical infrastructure capacity of 55 MW). See the Interim MD&amp;A under the heading “</w:t>
      </w:r>
      <w:r>
        <w:rPr>
          <w:rFonts w:ascii="Times New Roman;Times;Serif" w:hAnsi="Times New Roman;Times;Serif"/>
          <w:b w:val="false"/>
          <w:i/>
          <w:caps w:val="false"/>
          <w:smallCaps w:val="false"/>
          <w:sz w:val="20"/>
          <w:bdr w:val="single" w:sz="12" w:space="3" w:color="000000"/>
        </w:rPr>
        <w:t>EXPANSION PROJECTS – Argentina Expansion</w:t>
      </w:r>
      <w:r>
        <w:rPr>
          <w:rFonts w:ascii="Times New Roman;Times;Serif" w:hAnsi="Times New Roman;Times;Serif"/>
          <w:b w:val="false"/>
          <w:i w:val="false"/>
          <w:caps w:val="false"/>
          <w:smallCaps w:val="false"/>
          <w:sz w:val="20"/>
          <w:bdr w:val="single" w:sz="12" w:space="3" w:color="000000"/>
        </w:rPr>
        <w:t>” and see the 2022 AIF under the heading “</w:t>
      </w:r>
      <w:r>
        <w:rPr>
          <w:rFonts w:ascii="Times New Roman;Times;Serif" w:hAnsi="Times New Roman;Times;Serif"/>
          <w:b w:val="false"/>
          <w:i/>
          <w:caps w:val="false"/>
          <w:smallCaps w:val="false"/>
          <w:sz w:val="20"/>
          <w:bdr w:val="single" w:sz="12" w:space="3" w:color="000000"/>
        </w:rPr>
        <w:t>DESCRIPTION OF BUSINESS – Recently Completed Development and Future Growth Plans – Argentina Expansion</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pStyle w:val="TextBody"/>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Paraguay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operates one 10 MW server farm located in Villarrica, Paraguay. See the Interim MD&amp;A under the heading “</w:t>
      </w:r>
      <w:r>
        <w:rPr>
          <w:rFonts w:ascii="Times New Roman;Times;Serif" w:hAnsi="Times New Roman;Times;Serif"/>
          <w:b w:val="false"/>
          <w:i/>
          <w:caps w:val="false"/>
          <w:smallCaps w:val="false"/>
          <w:sz w:val="20"/>
          <w:bdr w:val="single" w:sz="12" w:space="3" w:color="000000"/>
        </w:rPr>
        <w:t>EXPANSION PROJECTS – Paraguay Expansion</w:t>
      </w:r>
      <w:r>
        <w:rPr>
          <w:rFonts w:ascii="Times New Roman;Times;Serif" w:hAnsi="Times New Roman;Times;Serif"/>
          <w:b w:val="false"/>
          <w:i w:val="false"/>
          <w:caps w:val="false"/>
          <w:smallCaps w:val="false"/>
          <w:sz w:val="20"/>
          <w:bdr w:val="single" w:sz="12" w:space="3" w:color="000000"/>
        </w:rPr>
        <w:t>” and see the 2022 AIF under the heading “</w:t>
      </w:r>
      <w:r>
        <w:rPr>
          <w:rFonts w:ascii="Times New Roman;Times;Serif" w:hAnsi="Times New Roman;Times;Serif"/>
          <w:b w:val="false"/>
          <w:i/>
          <w:caps w:val="false"/>
          <w:smallCaps w:val="false"/>
          <w:sz w:val="20"/>
          <w:bdr w:val="single" w:sz="12" w:space="3" w:color="000000"/>
        </w:rPr>
        <w:t>DESCRIPTION OF BUSINESS – Recently Completed Development and Future Growth Plans – Paraguay Expansion</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Custody of Cryptocurrency Assets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Times New Roman;Times;Serif" w:hAnsi="Times New Roman;Times;Serif"/>
          <w:b/>
          <w:i w:val="false"/>
          <w:caps w:val="false"/>
          <w:smallCaps w:val="false"/>
          <w:sz w:val="20"/>
          <w:bdr w:val="single" w:sz="12" w:space="3" w:color="000000"/>
        </w:rPr>
        <w:t>Coinbase Custody</w:t>
      </w:r>
      <w:r>
        <w:rPr>
          <w:rFonts w:ascii="Times New Roman;Times;Serif" w:hAnsi="Times New Roman;Times;Serif"/>
          <w:b w:val="false"/>
          <w:i w:val="false"/>
          <w:caps w:val="false"/>
          <w:smallCaps w:val="false"/>
          <w:sz w:val="20"/>
          <w:bdr w:val="single" w:sz="12" w:space="3" w:color="000000"/>
        </w:rPr>
        <w:t>”) and Anchorage Digital Bank National Association (“</w:t>
      </w:r>
      <w:r>
        <w:rPr>
          <w:rFonts w:ascii="Times New Roman;Times;Serif" w:hAnsi="Times New Roman;Times;Serif"/>
          <w:b/>
          <w:i w:val="false"/>
          <w:caps w:val="false"/>
          <w:smallCaps w:val="false"/>
          <w:sz w:val="20"/>
          <w:bdr w:val="single" w:sz="12" w:space="3" w:color="000000"/>
        </w:rPr>
        <w:t>Anchorage Digital</w:t>
      </w:r>
      <w:r>
        <w:rPr>
          <w:rFonts w:ascii="Times New Roman;Times;Serif" w:hAnsi="Times New Roman;Times;Serif"/>
          <w:b w:val="false"/>
          <w:i w:val="false"/>
          <w:caps w:val="false"/>
          <w:smallCaps w:val="false"/>
          <w:sz w:val="20"/>
          <w:bdr w:val="single" w:sz="12" w:space="3" w:color="000000"/>
        </w:rPr>
        <w:t xml:space="preserve">”).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Regardless of efforts made by the Company to securely store and safeguard assets, there can be no assurance that cryptocurrency assets will not be defalcated through hacking or other forms of theft. See “</w:t>
      </w:r>
      <w:r>
        <w:rPr>
          <w:rFonts w:ascii="Times New Roman;Times;Serif" w:hAnsi="Times New Roman;Times;Serif"/>
          <w:b w:val="false"/>
          <w:i/>
          <w:caps w:val="false"/>
          <w:smallCaps w:val="false"/>
          <w:sz w:val="20"/>
          <w:bdr w:val="single" w:sz="12" w:space="3" w:color="000000"/>
        </w:rPr>
        <w:t>RISK FACTORS</w:t>
      </w:r>
      <w:r>
        <w:rPr>
          <w:rFonts w:ascii="Times New Roman;Times;Serif" w:hAnsi="Times New Roman;Times;Serif"/>
          <w:b w:val="false"/>
          <w:i w:val="false"/>
          <w:caps w:val="false"/>
          <w:smallCaps w:val="false"/>
          <w:sz w:val="20"/>
          <w:bdr w:val="single" w:sz="12" w:space="3" w:color="000000"/>
        </w:rPr>
        <w:t>”.</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2021 At-the-Market Offering</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previously entered into an at-the-market offering agreement dated August 16, 2021 (the “</w:t>
      </w:r>
      <w:r>
        <w:rPr>
          <w:rFonts w:ascii="Times New Roman;Times;Serif" w:hAnsi="Times New Roman;Times;Serif"/>
          <w:b/>
          <w:i w:val="false"/>
          <w:caps w:val="false"/>
          <w:smallCaps w:val="false"/>
          <w:sz w:val="20"/>
          <w:bdr w:val="single" w:sz="12" w:space="3" w:color="000000"/>
        </w:rPr>
        <w:t>ATM Agreement</w:t>
      </w:r>
      <w:r>
        <w:rPr>
          <w:rFonts w:ascii="Times New Roman;Times;Serif" w:hAnsi="Times New Roman;Times;Serif"/>
          <w:b w:val="false"/>
          <w:i w:val="false"/>
          <w:caps w:val="false"/>
          <w:smallCaps w:val="false"/>
          <w:sz w:val="20"/>
          <w:bdr w:val="single" w:sz="12" w:space="3" w:color="000000"/>
        </w:rPr>
        <w:t>”) with H.C. Wainwright &amp; Co., LLC (“</w:t>
      </w:r>
      <w:r>
        <w:rPr>
          <w:rFonts w:ascii="Times New Roman;Times;Serif" w:hAnsi="Times New Roman;Times;Serif"/>
          <w:b/>
          <w:i w:val="false"/>
          <w:caps w:val="false"/>
          <w:smallCaps w:val="false"/>
          <w:sz w:val="20"/>
          <w:bdr w:val="single" w:sz="12" w:space="3" w:color="000000"/>
        </w:rPr>
        <w:t>HCW</w:t>
      </w:r>
      <w:r>
        <w:rPr>
          <w:rFonts w:ascii="Times New Roman;Times;Serif" w:hAnsi="Times New Roman;Times;Serif"/>
          <w:b w:val="false"/>
          <w:i w:val="false"/>
          <w:caps w:val="false"/>
          <w:smallCaps w:val="false"/>
          <w:sz w:val="20"/>
          <w:bdr w:val="single" w:sz="12" w:space="3" w:color="000000"/>
        </w:rPr>
        <w:t>”) as agent, pursuant to which the Company established an at-the-market equity program (the “</w:t>
      </w:r>
      <w:r>
        <w:rPr>
          <w:rFonts w:ascii="Times New Roman;Times;Serif" w:hAnsi="Times New Roman;Times;Serif"/>
          <w:b/>
          <w:i w:val="false"/>
          <w:caps w:val="false"/>
          <w:smallCaps w:val="false"/>
          <w:sz w:val="20"/>
          <w:bdr w:val="single" w:sz="12" w:space="3" w:color="000000"/>
        </w:rPr>
        <w:t>ATM Program</w:t>
      </w:r>
      <w:r>
        <w:rPr>
          <w:rFonts w:ascii="Times New Roman;Times;Serif" w:hAnsi="Times New Roman;Times;Serif"/>
          <w:b w:val="false"/>
          <w:i w:val="false"/>
          <w:caps w:val="false"/>
          <w:smallCaps w:val="false"/>
          <w:sz w:val="20"/>
          <w:bdr w:val="single" w:sz="12" w:space="3" w:color="000000"/>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Digital Asset Management Program</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See the 2022 AIF under the heading “</w:t>
      </w:r>
      <w:r>
        <w:rPr>
          <w:rFonts w:ascii="Times New Roman;Times;Serif" w:hAnsi="Times New Roman;Times;Serif"/>
          <w:b w:val="false"/>
          <w:i/>
          <w:caps w:val="false"/>
          <w:smallCaps w:val="false"/>
          <w:sz w:val="20"/>
          <w:bdr w:val="single" w:sz="12" w:space="3" w:color="000000"/>
        </w:rPr>
        <w:t>DESCRIPTION OF BUSINESS - Business and Strategy - Digital Asset Management Program</w:t>
      </w:r>
      <w:r>
        <w:rPr>
          <w:rFonts w:ascii="Times New Roman;Times;Serif" w:hAnsi="Times New Roman;Times;Serif"/>
          <w:b w:val="false"/>
          <w:i w:val="false"/>
          <w:caps w:val="false"/>
          <w:smallCaps w:val="false"/>
          <w:sz w:val="20"/>
          <w:bdr w:val="single" w:sz="12" w:space="3" w:color="000000"/>
        </w:rPr>
        <w:t>”.</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Baie-Comeau Expansion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Times New Roman;Times;Serif" w:hAnsi="Times New Roman;Times;Serif"/>
          <w:b/>
          <w:i w:val="false"/>
          <w:caps w:val="false"/>
          <w:smallCaps w:val="false"/>
          <w:sz w:val="20"/>
          <w:bdr w:val="single" w:sz="12" w:space="3" w:color="000000"/>
        </w:rPr>
        <w:t>Baie-Comeau Expansion</w:t>
      </w:r>
      <w:r>
        <w:rPr>
          <w:rFonts w:ascii="Times New Roman;Times;Serif" w:hAnsi="Times New Roman;Times;Serif"/>
          <w:b w:val="false"/>
          <w:i w:val="false"/>
          <w:caps w:val="false"/>
          <w:smallCaps w:val="false"/>
          <w:sz w:val="20"/>
          <w:bdr w:val="single" w:sz="12" w:space="3" w:color="000000"/>
        </w:rPr>
        <w:t xml:space="preserve">”). In connection with the Baie-Comeau Expansion, on July 5, 2023, the Company issued an aggregate of 820,837 Common Shares to 12790963 Canada Inc. See “RISK FACTORS – General Risk Factors – </w:t>
      </w:r>
      <w:r>
        <w:rPr>
          <w:rFonts w:ascii="Times New Roman;Times;Serif" w:hAnsi="Times New Roman;Times;Serif"/>
          <w:b w:val="false"/>
          <w:i/>
          <w:caps w:val="false"/>
          <w:smallCaps w:val="false"/>
          <w:sz w:val="20"/>
          <w:bdr w:val="single" w:sz="12" w:space="3" w:color="000000"/>
        </w:rPr>
        <w:t>Economic Dependence on Regulated Terms of Service and Electricity Rates Risks.”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Consolidation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On May 24, 2023, the shareholders of the Company approved a consolidation (the “</w:t>
      </w:r>
      <w:r>
        <w:rPr>
          <w:rFonts w:ascii="Times New Roman;Times;Serif" w:hAnsi="Times New Roman;Times;Serif"/>
          <w:b/>
          <w:i w:val="false"/>
          <w:caps w:val="false"/>
          <w:smallCaps w:val="false"/>
          <w:sz w:val="20"/>
          <w:bdr w:val="single" w:sz="12" w:space="3" w:color="000000"/>
        </w:rPr>
        <w:t>Consolidation</w:t>
      </w:r>
      <w:r>
        <w:rPr>
          <w:rFonts w:ascii="Times New Roman;Times;Serif" w:hAnsi="Times New Roman;Times;Serif"/>
          <w:b w:val="false"/>
          <w:i w:val="false"/>
          <w:caps w:val="false"/>
          <w:smallCaps w:val="false"/>
          <w:sz w:val="20"/>
          <w:bdr w:val="single" w:sz="12" w:space="3" w:color="000000"/>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Audit Committee Composition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40" w:right="0" w:hanging="0"/>
        <w:jc w:val="center"/>
        <w:rPr>
          <w:rFonts w:ascii="Times New Roman;Times;Serif" w:hAnsi="Times New Roman;Times;Serif"/>
          <w:b/>
          <w:i w:val="false"/>
          <w:caps w:val="false"/>
          <w:smallCaps w:val="false"/>
          <w:sz w:val="20"/>
          <w:bdr w:val="single" w:sz="12" w:space="3" w:color="000000"/>
        </w:rPr>
      </w:pPr>
      <w:bookmarkStart w:id="9" w:name="a_007a"/>
      <w:bookmarkEnd w:id="9"/>
      <w:r>
        <w:rPr>
          <w:rFonts w:ascii="Times New Roman;Times;Serif" w:hAnsi="Times New Roman;Times;Serif"/>
          <w:b/>
          <w:i w:val="false"/>
          <w:caps w:val="false"/>
          <w:smallCaps w:val="false"/>
          <w:sz w:val="20"/>
          <w:bdr w:val="single" w:sz="12" w:space="3" w:color="000000"/>
        </w:rPr>
        <w:t>PROMOTERS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following table sets forth the promoters (“</w:t>
      </w:r>
      <w:r>
        <w:rPr>
          <w:rFonts w:ascii="Times New Roman;Times;Serif" w:hAnsi="Times New Roman;Times;Serif"/>
          <w:b/>
          <w:i w:val="false"/>
          <w:caps w:val="false"/>
          <w:smallCaps w:val="false"/>
          <w:sz w:val="20"/>
          <w:bdr w:val="single" w:sz="12" w:space="3" w:color="000000"/>
        </w:rPr>
        <w:t>Promoters</w:t>
      </w:r>
      <w:r>
        <w:rPr>
          <w:rFonts w:ascii="Times New Roman;Times;Serif" w:hAnsi="Times New Roman;Times;Serif"/>
          <w:b w:val="false"/>
          <w:i w:val="false"/>
          <w:caps w:val="false"/>
          <w:smallCaps w:val="false"/>
          <w:sz w:val="20"/>
          <w:bdr w:val="single" w:sz="12" w:space="3" w:color="000000"/>
        </w:rPr>
        <w:t>”) of the Company: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7629" w:type="dxa"/>
        <w:jc w:val="left"/>
        <w:tblInd w:w="0" w:type="dxa"/>
        <w:tblLayout w:type="fixed"/>
        <w:tblCellMar>
          <w:top w:w="0" w:type="dxa"/>
          <w:left w:w="0" w:type="dxa"/>
          <w:bottom w:w="28" w:type="dxa"/>
          <w:right w:w="0" w:type="dxa"/>
        </w:tblCellMar>
      </w:tblPr>
      <w:tblGrid>
        <w:gridCol w:w="2135"/>
        <w:gridCol w:w="120"/>
        <w:gridCol w:w="2705"/>
        <w:gridCol w:w="120"/>
        <w:gridCol w:w="120"/>
        <w:gridCol w:w="1160"/>
        <w:gridCol w:w="120"/>
        <w:gridCol w:w="120"/>
        <w:gridCol w:w="156"/>
        <w:gridCol w:w="583"/>
        <w:gridCol w:w="290"/>
      </w:tblGrid>
      <w:tr>
        <w:trPr/>
        <w:tc>
          <w:tcPr>
            <w:tcW w:w="213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705" w:type="dxa"/>
            <w:tcBorders>
              <w:bottom w:val="single" w:sz="12" w:space="0" w:color="000000"/>
            </w:tcBorders>
            <w:vAlign w:val="center"/>
          </w:tcPr>
          <w:p>
            <w:pPr>
              <w:pStyle w:val="TableContents"/>
              <w:bidi w:val="0"/>
              <w:spacing w:before="0" w:after="283"/>
              <w:jc w:val="center"/>
              <w:rPr>
                <w:b/>
              </w:rPr>
            </w:pPr>
            <w:r>
              <w:rPr>
                <w:b/>
              </w:rPr>
              <w:t xml:space="preserve">Class of Securities Owned </w:t>
            </w:r>
          </w:p>
        </w:tc>
        <w:tc>
          <w:tcPr>
            <w:tcW w:w="120" w:type="dxa"/>
            <w:tcBorders/>
            <w:tcMar>
              <w:bottom w:w="0" w:type="dxa"/>
            </w:tcMar>
            <w:vAlign w:val="center"/>
          </w:tcPr>
          <w:p>
            <w:pPr>
              <w:pStyle w:val="TableContents"/>
              <w:bidi w:val="0"/>
              <w:spacing w:before="0" w:after="283"/>
              <w:jc w:val="left"/>
              <w:rPr/>
            </w:pPr>
            <w:r>
              <w:rPr/>
              <w:t xml:space="preserve">  </w:t>
            </w:r>
          </w:p>
        </w:tc>
        <w:tc>
          <w:tcPr>
            <w:tcW w:w="1280" w:type="dxa"/>
            <w:gridSpan w:val="2"/>
            <w:tcBorders>
              <w:bottom w:val="single" w:sz="12" w:space="0" w:color="000000"/>
            </w:tcBorders>
            <w:vAlign w:val="center"/>
          </w:tcPr>
          <w:p>
            <w:pPr>
              <w:pStyle w:val="TableContents"/>
              <w:bidi w:val="0"/>
              <w:spacing w:before="0" w:after="283"/>
              <w:jc w:val="center"/>
              <w:rPr>
                <w:b/>
              </w:rPr>
            </w:pPr>
            <w:r>
              <w:rPr>
                <w:b/>
              </w:rPr>
              <w:t>Quantity of</w:t>
              <w:br/>
              <w:t>Securities</w:t>
              <w:br/>
              <w:t xml:space="preserve">Owned </w:t>
            </w:r>
          </w:p>
        </w:tc>
        <w:tc>
          <w:tcPr>
            <w:tcW w:w="12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739" w:type="dxa"/>
            <w:gridSpan w:val="2"/>
            <w:tcBorders>
              <w:bottom w:val="single" w:sz="12" w:space="0" w:color="000000"/>
            </w:tcBorders>
            <w:vAlign w:val="center"/>
          </w:tcPr>
          <w:p>
            <w:pPr>
              <w:pStyle w:val="TableContents"/>
              <w:bidi w:val="0"/>
              <w:spacing w:before="0" w:after="283"/>
              <w:jc w:val="center"/>
              <w:rPr>
                <w:b/>
              </w:rPr>
            </w:pPr>
            <w:r>
              <w:rPr>
                <w:b/>
                <w:sz w:val="20"/>
              </w:rPr>
              <w:t>% of</w:t>
              <w:br/>
              <w:t>Class</w:t>
            </w:r>
            <w:r>
              <w:rPr>
                <w:b/>
                <w:position w:val="7"/>
                <w:sz w:val="16"/>
                <w:sz w:val="20"/>
              </w:rPr>
              <w:t>(3)</w:t>
            </w:r>
            <w:r>
              <w:rPr>
                <w:b/>
              </w:rPr>
              <w:t xml:space="preserve"> </w:t>
            </w:r>
          </w:p>
        </w:tc>
        <w:tc>
          <w:tcPr>
            <w:tcW w:w="290" w:type="dxa"/>
            <w:tcBorders/>
            <w:tcMar>
              <w:bottom w:w="0" w:type="dxa"/>
            </w:tcMar>
            <w:vAlign w:val="center"/>
          </w:tcPr>
          <w:p>
            <w:pPr>
              <w:pStyle w:val="TableContents"/>
              <w:bidi w:val="0"/>
              <w:spacing w:before="0" w:after="283"/>
              <w:jc w:val="left"/>
              <w:rPr/>
            </w:pPr>
            <w:r>
              <w:rPr/>
              <w:t xml:space="preserve">  </w:t>
            </w:r>
          </w:p>
        </w:tc>
      </w:tr>
      <w:tr>
        <w:trPr/>
        <w:tc>
          <w:tcPr>
            <w:tcW w:w="2135" w:type="dxa"/>
            <w:tcBorders/>
            <w:shd w:fill="CCEEFF" w:val="clear"/>
            <w:tcMar>
              <w:bottom w:w="0" w:type="dxa"/>
            </w:tcMar>
            <w:vAlign w:val="center"/>
          </w:tcPr>
          <w:p>
            <w:pPr>
              <w:pStyle w:val="TableContents"/>
              <w:bidi w:val="0"/>
              <w:spacing w:before="0" w:after="283"/>
              <w:jc w:val="left"/>
              <w:rPr/>
            </w:pPr>
            <w:r>
              <w:rPr>
                <w:sz w:val="20"/>
              </w:rPr>
              <w:t>Emiliano Joel Grodzki</w:t>
            </w:r>
            <w:r>
              <w:rPr>
                <w:position w:val="7"/>
                <w:sz w:val="16"/>
                <w:sz w:val="20"/>
              </w:rPr>
              <w:t>(1)</w:t>
            </w: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705" w:type="dxa"/>
            <w:tcBorders/>
            <w:shd w:fill="CCEEFF" w:val="clear"/>
            <w:tcMar>
              <w:bottom w:w="0" w:type="dxa"/>
            </w:tcMar>
            <w:vAlign w:val="center"/>
          </w:tcPr>
          <w:p>
            <w:pPr>
              <w:pStyle w:val="TableContents"/>
              <w:bidi w:val="0"/>
              <w:spacing w:before="0" w:after="283"/>
              <w:jc w:val="left"/>
              <w:rPr/>
            </w:pPr>
            <w:r>
              <w:rPr/>
              <w:t xml:space="preserve">Common Shares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160" w:type="dxa"/>
            <w:tcBorders/>
            <w:shd w:fill="CCEEFF" w:val="clear"/>
            <w:tcMar>
              <w:bottom w:w="0" w:type="dxa"/>
            </w:tcMar>
            <w:vAlign w:val="center"/>
          </w:tcPr>
          <w:p>
            <w:pPr>
              <w:pStyle w:val="TableContents"/>
              <w:bidi w:val="0"/>
              <w:spacing w:before="0" w:after="283"/>
              <w:jc w:val="right"/>
              <w:rPr/>
            </w:pPr>
            <w:r>
              <w:rPr/>
              <w:t xml:space="preserve">6,698,443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56" w:type="dxa"/>
            <w:tcBorders/>
            <w:shd w:fill="CCEEFF" w:val="clear"/>
            <w:tcMar>
              <w:bottom w:w="0" w:type="dxa"/>
            </w:tcMar>
            <w:vAlign w:val="center"/>
          </w:tcPr>
          <w:p>
            <w:pPr>
              <w:pStyle w:val="TableContents"/>
              <w:bidi w:val="0"/>
              <w:spacing w:before="0" w:after="283"/>
              <w:jc w:val="left"/>
              <w:rPr/>
            </w:pPr>
            <w:r>
              <w:rPr/>
              <w:t xml:space="preserve">  </w:t>
            </w:r>
          </w:p>
        </w:tc>
        <w:tc>
          <w:tcPr>
            <w:tcW w:w="583" w:type="dxa"/>
            <w:tcBorders/>
            <w:shd w:fill="CCEEFF" w:val="clear"/>
            <w:tcMar>
              <w:bottom w:w="0" w:type="dxa"/>
            </w:tcMar>
            <w:vAlign w:val="center"/>
          </w:tcPr>
          <w:p>
            <w:pPr>
              <w:pStyle w:val="TableContents"/>
              <w:bidi w:val="0"/>
              <w:spacing w:before="0" w:after="283"/>
              <w:jc w:val="right"/>
              <w:rPr/>
            </w:pPr>
            <w:r>
              <w:rPr/>
              <w:t xml:space="preserve">2.4 </w:t>
            </w:r>
          </w:p>
        </w:tc>
        <w:tc>
          <w:tcPr>
            <w:tcW w:w="290" w:type="dxa"/>
            <w:tcBorders/>
            <w:shd w:fill="CCEEFF" w:val="clear"/>
            <w:tcMar>
              <w:bottom w:w="0" w:type="dxa"/>
            </w:tcMar>
            <w:vAlign w:val="center"/>
          </w:tcPr>
          <w:p>
            <w:pPr>
              <w:pStyle w:val="TableContents"/>
              <w:bidi w:val="0"/>
              <w:spacing w:before="0" w:after="283"/>
              <w:jc w:val="left"/>
              <w:rPr/>
            </w:pPr>
            <w:r>
              <w:rPr/>
              <w:t xml:space="preserve">% </w:t>
            </w:r>
          </w:p>
        </w:tc>
      </w:tr>
      <w:tr>
        <w:trPr/>
        <w:tc>
          <w:tcPr>
            <w:tcW w:w="2135" w:type="dxa"/>
            <w:tcBorders/>
            <w:shd w:fill="FFFFFF" w:val="clear"/>
            <w:tcMar>
              <w:bottom w:w="0" w:type="dxa"/>
            </w:tcMar>
            <w:vAlign w:val="center"/>
          </w:tcPr>
          <w:p>
            <w:pPr>
              <w:pStyle w:val="TableContents"/>
              <w:bidi w:val="0"/>
              <w:spacing w:before="0" w:after="283"/>
              <w:jc w:val="left"/>
              <w:rPr/>
            </w:pPr>
            <w:r>
              <w:rPr>
                <w:sz w:val="20"/>
              </w:rPr>
              <w:t>Nicolas Bonta</w:t>
            </w:r>
            <w:r>
              <w:rPr>
                <w:position w:val="7"/>
                <w:sz w:val="16"/>
                <w:sz w:val="20"/>
              </w:rPr>
              <w:t>(2)</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705" w:type="dxa"/>
            <w:tcBorders/>
            <w:shd w:fill="FFFFFF" w:val="clear"/>
            <w:tcMar>
              <w:bottom w:w="0" w:type="dxa"/>
            </w:tcMar>
            <w:vAlign w:val="center"/>
          </w:tcPr>
          <w:p>
            <w:pPr>
              <w:pStyle w:val="TableContents"/>
              <w:bidi w:val="0"/>
              <w:spacing w:before="0" w:after="283"/>
              <w:jc w:val="left"/>
              <w:rPr/>
            </w:pPr>
            <w:r>
              <w:rPr/>
              <w:t xml:space="preserve">Common Shares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bottom w:val="single" w:sz="12" w:space="0" w:color="000000"/>
            </w:tcBorders>
            <w:shd w:fill="FFFFFF" w:val="clear"/>
            <w:vAlign w:val="center"/>
          </w:tcPr>
          <w:p>
            <w:pPr>
              <w:pStyle w:val="TableContents"/>
              <w:bidi w:val="0"/>
              <w:spacing w:before="0" w:after="283"/>
              <w:jc w:val="left"/>
              <w:rPr/>
            </w:pPr>
            <w:r>
              <w:rPr/>
              <w:t xml:space="preserve">  </w:t>
            </w:r>
          </w:p>
        </w:tc>
        <w:tc>
          <w:tcPr>
            <w:tcW w:w="1160" w:type="dxa"/>
            <w:tcBorders>
              <w:bottom w:val="single" w:sz="12" w:space="0" w:color="000000"/>
            </w:tcBorders>
            <w:shd w:fill="FFFFFF" w:val="clear"/>
            <w:vAlign w:val="center"/>
          </w:tcPr>
          <w:p>
            <w:pPr>
              <w:pStyle w:val="TableContents"/>
              <w:bidi w:val="0"/>
              <w:spacing w:before="0" w:after="283"/>
              <w:jc w:val="right"/>
              <w:rPr/>
            </w:pPr>
            <w:r>
              <w:rPr/>
              <w:t xml:space="preserve">8,542,118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56" w:type="dxa"/>
            <w:tcBorders>
              <w:bottom w:val="single" w:sz="12" w:space="0" w:color="000000"/>
            </w:tcBorders>
            <w:shd w:fill="FFFFFF" w:val="clear"/>
            <w:vAlign w:val="center"/>
          </w:tcPr>
          <w:p>
            <w:pPr>
              <w:pStyle w:val="TableContents"/>
              <w:bidi w:val="0"/>
              <w:spacing w:before="0" w:after="283"/>
              <w:jc w:val="left"/>
              <w:rPr/>
            </w:pPr>
            <w:r>
              <w:rPr/>
              <w:t xml:space="preserve">  </w:t>
            </w:r>
          </w:p>
        </w:tc>
        <w:tc>
          <w:tcPr>
            <w:tcW w:w="583" w:type="dxa"/>
            <w:tcBorders>
              <w:bottom w:val="single" w:sz="12" w:space="0" w:color="000000"/>
            </w:tcBorders>
            <w:shd w:fill="FFFFFF" w:val="clear"/>
            <w:vAlign w:val="center"/>
          </w:tcPr>
          <w:p>
            <w:pPr>
              <w:pStyle w:val="TableContents"/>
              <w:bidi w:val="0"/>
              <w:spacing w:before="0" w:after="283"/>
              <w:jc w:val="right"/>
              <w:rPr/>
            </w:pPr>
            <w:r>
              <w:rPr/>
              <w:t xml:space="preserve">3.1 </w:t>
            </w:r>
          </w:p>
        </w:tc>
        <w:tc>
          <w:tcPr>
            <w:tcW w:w="290" w:type="dxa"/>
            <w:tcBorders/>
            <w:shd w:fill="FFFFFF" w:val="clear"/>
            <w:tcMar>
              <w:bottom w:w="0" w:type="dxa"/>
            </w:tcMar>
            <w:vAlign w:val="center"/>
          </w:tcPr>
          <w:p>
            <w:pPr>
              <w:pStyle w:val="TableContents"/>
              <w:bidi w:val="0"/>
              <w:spacing w:before="0" w:after="283"/>
              <w:jc w:val="left"/>
              <w:rPr/>
            </w:pPr>
            <w:r>
              <w:rPr/>
              <w:t xml:space="preserve">% </w:t>
            </w:r>
          </w:p>
        </w:tc>
      </w:tr>
      <w:tr>
        <w:trPr/>
        <w:tc>
          <w:tcPr>
            <w:tcW w:w="2135" w:type="dxa"/>
            <w:tcBorders/>
            <w:shd w:fill="CCEEFF" w:val="clear"/>
            <w:tcMar>
              <w:bottom w:w="0" w:type="dxa"/>
            </w:tcMar>
            <w:vAlign w:val="center"/>
          </w:tcPr>
          <w:p>
            <w:pPr>
              <w:pStyle w:val="TableContents"/>
              <w:bidi w:val="0"/>
              <w:spacing w:before="0" w:after="283"/>
              <w:jc w:val="left"/>
              <w:rPr/>
            </w:pPr>
            <w:r>
              <w:rPr/>
              <w:t xml:space="preserve">Total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705"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vAlign w:val="center"/>
          </w:tcPr>
          <w:p>
            <w:pPr>
              <w:pStyle w:val="TableContents"/>
              <w:bidi w:val="0"/>
              <w:spacing w:before="0" w:after="283"/>
              <w:jc w:val="left"/>
              <w:rPr/>
            </w:pPr>
            <w:r>
              <w:rPr/>
              <w:t xml:space="preserve">  </w:t>
            </w:r>
          </w:p>
        </w:tc>
        <w:tc>
          <w:tcPr>
            <w:tcW w:w="1160" w:type="dxa"/>
            <w:tcBorders>
              <w:bottom w:val="double" w:sz="10" w:space="0" w:color="000000"/>
            </w:tcBorders>
            <w:shd w:fill="CCEEFF" w:val="clear"/>
            <w:vAlign w:val="center"/>
          </w:tcPr>
          <w:p>
            <w:pPr>
              <w:pStyle w:val="TableContents"/>
              <w:bidi w:val="0"/>
              <w:spacing w:before="0" w:after="283"/>
              <w:jc w:val="right"/>
              <w:rPr/>
            </w:pPr>
            <w:r>
              <w:rPr/>
              <w:t xml:space="preserve">15,240,561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56" w:type="dxa"/>
            <w:tcBorders>
              <w:bottom w:val="double" w:sz="10" w:space="0" w:color="000000"/>
            </w:tcBorders>
            <w:shd w:fill="CCEEFF" w:val="clear"/>
            <w:vAlign w:val="center"/>
          </w:tcPr>
          <w:p>
            <w:pPr>
              <w:pStyle w:val="TableContents"/>
              <w:bidi w:val="0"/>
              <w:spacing w:before="0" w:after="283"/>
              <w:jc w:val="left"/>
              <w:rPr/>
            </w:pPr>
            <w:r>
              <w:rPr/>
              <w:t xml:space="preserve">  </w:t>
            </w:r>
          </w:p>
        </w:tc>
        <w:tc>
          <w:tcPr>
            <w:tcW w:w="583" w:type="dxa"/>
            <w:tcBorders>
              <w:bottom w:val="double" w:sz="10" w:space="0" w:color="000000"/>
            </w:tcBorders>
            <w:shd w:fill="CCEEFF" w:val="clear"/>
            <w:vAlign w:val="center"/>
          </w:tcPr>
          <w:p>
            <w:pPr>
              <w:pStyle w:val="TableContents"/>
              <w:bidi w:val="0"/>
              <w:spacing w:before="0" w:after="283"/>
              <w:jc w:val="right"/>
              <w:rPr/>
            </w:pPr>
            <w:r>
              <w:rPr/>
              <w:t xml:space="preserve">5.5 </w:t>
            </w:r>
          </w:p>
        </w:tc>
        <w:tc>
          <w:tcPr>
            <w:tcW w:w="290"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u w:val="single"/>
          <w:bdr w:val="single" w:sz="12" w:space="3" w:color="000000"/>
        </w:rPr>
        <w:t>Notes</w:t>
      </w:r>
      <w:r>
        <w:rPr>
          <w:rFonts w:ascii="Times New Roman;Times;Serif" w:hAnsi="Times New Roman;Times;Serif"/>
          <w:b w:val="false"/>
          <w:i w:val="false"/>
          <w:caps w:val="false"/>
          <w:smallCaps w:val="false"/>
          <w:sz w:val="20"/>
          <w:bdr w:val="single" w:sz="12" w:space="3" w:color="000000"/>
        </w:rPr>
        <w:t>:</w:t>
      </w:r>
    </w:p>
    <w:p>
      <w:pPr>
        <w:pStyle w:val="TextBody"/>
        <w:bidi w:val="0"/>
        <w:jc w:val="left"/>
        <w:rPr>
          <w:bdr w:val="single" w:sz="12" w:space="3" w:color="000000"/>
        </w:rPr>
      </w:pPr>
      <w:r>
        <w:rPr>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the Bitfarms Canada Shares noted in the table above, Mr. Grodzki holds 2,214,900 options to purchase Bitfarms Canada Shares at an average price of C$2.05 per Bitfarms Canada Share and 100,000RSUs (as defined below).</w:t>
            </w:r>
          </w:p>
        </w:tc>
      </w:tr>
    </w:tbl>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 xml:space="preserve">(2) </w:t>
            </w:r>
          </w:p>
        </w:tc>
        <w:tc>
          <w:tcPr>
            <w:tcW w:w="9891" w:type="dxa"/>
            <w:tcBorders/>
            <w:vAlign w:val="center"/>
          </w:tcPr>
          <w:p>
            <w:pPr>
              <w:pStyle w:val="TableContents"/>
              <w:bidi w:val="0"/>
              <w:spacing w:before="0" w:after="283"/>
              <w:jc w:val="both"/>
              <w:rPr/>
            </w:pPr>
            <w:r>
              <w:rPr/>
              <w:t xml:space="preserve">In addition to the Bitfarms Canada Shares noted in the table above, Mr. Bonta holds 2,214,900 options to purchase Bitfarms Canada Shares at an average price of C$2.05 per Bitfarms Canada Share and 100,000 RSUs. </w:t>
            </w:r>
          </w:p>
        </w:tc>
      </w:tr>
    </w:tbl>
    <w:tbl>
      <w:tblPr>
        <w:tblW w:w="9558" w:type="dxa"/>
        <w:jc w:val="left"/>
        <w:tblInd w:w="0" w:type="dxa"/>
        <w:tblLayout w:type="fixed"/>
        <w:tblCellMar>
          <w:top w:w="0" w:type="dxa"/>
          <w:left w:w="0" w:type="dxa"/>
          <w:bottom w:w="0" w:type="dxa"/>
          <w:right w:w="0" w:type="dxa"/>
        </w:tblCellMar>
      </w:tblPr>
      <w:tblGrid>
        <w:gridCol w:w="38"/>
        <w:gridCol w:w="35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(3) </w:t>
            </w:r>
          </w:p>
        </w:tc>
        <w:tc>
          <w:tcPr>
            <w:tcW w:w="9170" w:type="dxa"/>
            <w:tcBorders/>
            <w:vAlign w:val="center"/>
          </w:tcPr>
          <w:p>
            <w:pPr>
              <w:pStyle w:val="TableContents"/>
              <w:bidi w:val="0"/>
              <w:spacing w:before="0" w:after="283"/>
              <w:jc w:val="both"/>
              <w:rPr/>
            </w:pPr>
            <w:r>
              <w:rPr/>
              <w:t xml:space="preserve">A total of 277,684,000 Bitfarms Canada Shares are issued and outstanding as of the date hereof. </w:t>
            </w:r>
          </w:p>
        </w:tc>
      </w:tr>
    </w:tbl>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40" w:right="0" w:hanging="0"/>
        <w:jc w:val="center"/>
        <w:rPr>
          <w:rFonts w:ascii="Times New Roman;Times;Serif" w:hAnsi="Times New Roman;Times;Serif"/>
          <w:b/>
          <w:i w:val="false"/>
          <w:caps w:val="false"/>
          <w:smallCaps w:val="false"/>
          <w:sz w:val="20"/>
          <w:bdr w:val="single" w:sz="12" w:space="3" w:color="000000"/>
        </w:rPr>
      </w:pPr>
      <w:bookmarkStart w:id="10" w:name="a_008"/>
      <w:bookmarkEnd w:id="10"/>
      <w:r>
        <w:rPr>
          <w:rFonts w:ascii="Times New Roman;Times;Serif" w:hAnsi="Times New Roman;Times;Serif"/>
          <w:b/>
          <w:i w:val="false"/>
          <w:caps w:val="false"/>
          <w:smallCaps w:val="false"/>
          <w:sz w:val="20"/>
          <w:bdr w:val="single" w:sz="12" w:space="3" w:color="000000"/>
        </w:rPr>
        <w:t>SECONDARY OFFERING BY SELLING SECURITYHOLDERS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pStyle w:val="TextBody"/>
        <w:bidi w:val="0"/>
        <w:spacing w:before="0" w:after="0"/>
        <w:ind w:left="720" w:right="0" w:hanging="360"/>
        <w:jc w:val="left"/>
        <w:rPr>
          <w:caps w:val="false"/>
          <w:smallCaps w:val="false"/>
          <w:bdr w:val="single" w:sz="12" w:space="3" w:color="000000"/>
        </w:rPr>
      </w:pPr>
      <w:r>
        <w:rPr>
          <w:caps w:val="false"/>
          <w:smallCaps w:val="false"/>
          <w:bdr w:val="single" w:sz="12" w:space="3" w:color="000000"/>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the Selling Securityholders;</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amount of Securities owned, controlled or directed by each Selling Securityholder;</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amount of Securities being distributed for the account of each Selling Securityholder;</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amount of Securities to be owned, controlled or directed by the Selling Securityholders after the distribution and the percentage that number or amount represents of the total number of the Company’s outstanding Securities;</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Securities are owned by the Selling Securityholders both of record and beneficially, of record only, or beneficially only;</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Securityholder purchased any of the Securities in the 24 months preceding the date of the applicable prospectus supplement, the date or dates the Selling Securityholder acquired the Securities;</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Securityholder acquired any of the Securities in the 12 months preceding the date of the applicable prospectus supplement, the cost thereof to the Selling Securityholder in aggregate and on an average-cost-per-security basis;</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disclosure required by item 1.11 of Form 41-101F1, and if applicable, the Selling Securityholders will file a non-issuer’s submission to jurisdiction form with the corresponding prospectus supplement; and</w:t>
            </w:r>
          </w:p>
        </w:tc>
      </w:tr>
    </w:tbl>
    <w:p>
      <w:pPr>
        <w:pStyle w:val="TextBody"/>
        <w:bidi w:val="0"/>
        <w:spacing w:before="0" w:after="0"/>
        <w:ind w:left="720" w:right="0" w:hanging="360"/>
        <w:jc w:val="both"/>
        <w:rPr>
          <w:caps w:val="false"/>
          <w:smallCaps w:val="false"/>
          <w:bdr w:val="single" w:sz="12" w:space="3" w:color="000000"/>
        </w:rPr>
      </w:pPr>
      <w:r>
        <w:rPr>
          <w:caps w:val="false"/>
          <w:smallCaps w:val="false"/>
          <w:bdr w:val="single" w:sz="12" w:space="3" w:color="000000"/>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information that is required to be included in the applicable prospectus supplement.</w:t>
            </w:r>
          </w:p>
        </w:tc>
      </w:tr>
    </w:tbl>
    <w:p>
      <w:pPr>
        <w:pStyle w:val="TextBody"/>
        <w:bidi w:val="0"/>
        <w:spacing w:before="0" w:after="0"/>
        <w:ind w:left="720" w:right="0" w:hanging="36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of growth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Currency Exchange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losses incurred by the Company for which insurance coverage is not available or has not been obtained could adversely impact the Company, including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Halving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and Price Volatility of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Price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pStyle w:val="TextBody"/>
        <w:bidi w:val="0"/>
        <w:spacing w:before="0" w:after="0"/>
        <w:ind w:left="720" w:right="0" w:hanging="36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Company’s financial results or those of companies that are perceived to be similar to the Company;</w:t>
            </w:r>
          </w:p>
        </w:tc>
      </w:tr>
    </w:tbl>
    <w:p>
      <w:pPr>
        <w:pStyle w:val="TextBody"/>
        <w:bidi w:val="0"/>
        <w:spacing w:before="0" w:after="0"/>
        <w:ind w:left="720" w:right="0" w:hanging="360"/>
        <w:jc w:val="left"/>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Company or its competitors, such as acquisitions, bankruptcies or restructurings;</w:t>
            </w:r>
          </w:p>
        </w:tc>
      </w:tr>
    </w:tbl>
    <w:p>
      <w:pPr>
        <w:pStyle w:val="TextBody"/>
        <w:bidi w:val="0"/>
        <w:spacing w:before="0" w:after="0"/>
        <w:ind w:left="720" w:right="0" w:hanging="36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management personnel;</w:t>
            </w:r>
          </w:p>
        </w:tc>
      </w:tr>
    </w:tbl>
    <w:p>
      <w:pPr>
        <w:pStyle w:val="TextBody"/>
        <w:bidi w:val="0"/>
        <w:spacing w:before="0" w:after="0"/>
        <w:ind w:left="720" w:right="0" w:hanging="36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involving the Company, the cryptocurrency industry, or both;</w:t>
            </w:r>
          </w:p>
        </w:tc>
      </w:tr>
    </w:tbl>
    <w:p>
      <w:pPr>
        <w:pStyle w:val="TextBody"/>
        <w:bidi w:val="0"/>
        <w:spacing w:before="0" w:after="0"/>
        <w:ind w:left="720" w:right="0" w:hanging="36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or regulatory actions;</w:t>
            </w:r>
          </w:p>
        </w:tc>
      </w:tr>
    </w:tbl>
    <w:p>
      <w:pPr>
        <w:pStyle w:val="TextBody"/>
        <w:bidi w:val="0"/>
        <w:spacing w:before="0" w:after="0"/>
        <w:ind w:left="720" w:right="0" w:hanging="36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companies similar to the Company;</w:t>
            </w:r>
          </w:p>
        </w:tc>
      </w:tr>
    </w:tbl>
    <w:p>
      <w:pPr>
        <w:pStyle w:val="TextBody"/>
        <w:bidi w:val="0"/>
        <w:spacing w:before="0" w:after="0"/>
        <w:ind w:left="720" w:right="0" w:hanging="36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prospects of and changes affecting participants in the cryptocurrency industry;</w:t>
            </w:r>
          </w:p>
        </w:tc>
      </w:tr>
    </w:tbl>
    <w:p>
      <w:pPr>
        <w:pStyle w:val="TextBody"/>
        <w:bidi w:val="0"/>
        <w:spacing w:before="0" w:after="0"/>
        <w:ind w:left="720" w:right="0" w:hanging="36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Company’s shareholders;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or reports by the press or investment community with respect to the Company or the cryptocurrency industry in general;</w:t>
            </w:r>
          </w:p>
        </w:tc>
      </w:tr>
    </w:tbl>
    <w:p>
      <w:pPr>
        <w:pStyle w:val="TextBody"/>
        <w:bidi w:val="0"/>
        <w:spacing w:before="0" w:after="0"/>
        <w:ind w:left="720" w:right="0" w:hanging="36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pricing or availability of hydroelectricity, natural gas and other sources of energy;</w:t>
            </w:r>
          </w:p>
        </w:tc>
      </w:tr>
    </w:tbl>
    <w:p>
      <w:pPr>
        <w:pStyle w:val="TextBody"/>
        <w:bidi w:val="0"/>
        <w:spacing w:before="0" w:after="0"/>
        <w:ind w:left="720" w:right="0" w:hanging="36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regulatory, market and political conditions; and</w:t>
            </w:r>
          </w:p>
        </w:tc>
      </w:tr>
    </w:tbl>
    <w:p>
      <w:pPr>
        <w:pStyle w:val="TextBody"/>
        <w:bidi w:val="0"/>
        <w:spacing w:before="0" w:after="0"/>
        <w:ind w:left="720" w:right="0" w:hanging="36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uncertainties and factors described in these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Capital Needs, Uncertainty of Additional Financing and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agreements governing the Company’s debt obligations may contain financial covenants and covenants that restrict the Company’s and its subsidiaries’ ability to:</w:t>
      </w:r>
    </w:p>
    <w:p>
      <w:pPr>
        <w:pStyle w:val="TextBody"/>
        <w:bidi w:val="0"/>
        <w:spacing w:before="0" w:after="0"/>
        <w:ind w:left="720" w:right="0" w:hanging="36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 or issue equity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 on the Company’s assets;</w:t>
            </w:r>
          </w:p>
        </w:tc>
      </w:tr>
    </w:tbl>
    <w:p>
      <w:pPr>
        <w:pStyle w:val="TextBody"/>
        <w:bidi w:val="0"/>
        <w:spacing w:before="0" w:after="0"/>
        <w:ind w:left="720" w:right="0" w:hanging="36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make other equity distributions;</w:t>
            </w:r>
          </w:p>
        </w:tc>
      </w:tr>
    </w:tbl>
    <w:p>
      <w:pPr>
        <w:pStyle w:val="TextBody"/>
        <w:bidi w:val="0"/>
        <w:spacing w:before="0" w:after="0"/>
        <w:ind w:left="720" w:right="0" w:hanging="36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the Company’s equity securities;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p>
      <w:pPr>
        <w:pStyle w:val="TextBody"/>
        <w:bidi w:val="0"/>
        <w:spacing w:before="0" w:after="0"/>
        <w:ind w:left="720" w:right="0" w:hanging="36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assets; and</w:t>
            </w:r>
          </w:p>
        </w:tc>
      </w:tr>
    </w:tbl>
    <w:p>
      <w:pPr>
        <w:pStyle w:val="TextBody"/>
        <w:bidi w:val="0"/>
        <w:spacing w:before="0" w:after="0"/>
        <w:ind w:left="720" w:right="0" w:hanging="36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merge, sell or otherwise dispose of all or substantially all of the Company’s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Possibility of Bitcoin Mining Algorithms Transitioning to Proof of Stake Validation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the Company’s long-term debt contain restrictive covenants that could limit its discretion with respect to certain business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Operating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Retention 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Threats and Hacking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History of De-centralized Financial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Related to Technological Obsolescence and Difficulty in Obtaining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Network Difficulty and Impact of Increased Global Computing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Dependence on Regulated Terms of Service and Electricity Rates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pStyle w:val="TextBody"/>
        <w:bidi w:val="0"/>
        <w:spacing w:before="0" w:after="0"/>
        <w:ind w:left="85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79"/>
        <w:gridCol w:w="9688"/>
      </w:tblGrid>
      <w:tr>
        <w:trPr/>
        <w:tc>
          <w:tcPr>
            <w:tcW w:w="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Step 1:</w:t>
            </w:r>
          </w:p>
        </w:tc>
        <w:tc>
          <w:tcPr>
            <w:tcW w:w="9688" w:type="dxa"/>
            <w:tcBorders/>
            <w:vAlign w:val="center"/>
          </w:tcPr>
          <w:p>
            <w:pPr>
              <w:pStyle w:val="TableContents"/>
              <w:bidi w:val="0"/>
              <w:spacing w:before="0" w:after="283"/>
              <w:jc w:val="both"/>
              <w:rPr/>
            </w:pPr>
            <w:r>
              <w:rPr/>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tc>
      </w:tr>
    </w:tbl>
    <w:p>
      <w:pPr>
        <w:pStyle w:val="TextBody"/>
        <w:bidi w:val="0"/>
        <w:spacing w:before="0" w:after="0"/>
        <w:ind w:left="851" w:right="0" w:hanging="56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2"/>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 2:</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tc>
      </w:tr>
    </w:tbl>
    <w:p>
      <w:pPr>
        <w:pStyle w:val="TextBody"/>
        <w:bidi w:val="0"/>
        <w:spacing w:before="0" w:after="0"/>
        <w:ind w:left="85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8"/>
        <w:gridCol w:w="9629"/>
      </w:tblGrid>
      <w:tr>
        <w:trPr/>
        <w:tc>
          <w:tcPr>
            <w:tcW w:w="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 3:</w:t>
            </w:r>
          </w:p>
        </w:tc>
        <w:tc>
          <w:tcPr>
            <w:tcW w:w="96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clients, such as the Company, have already executed agreements with municipal electricity networks with non-firm service (without financial compensation) for at least 300 hours per year;</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b)</w:t>
            </w:r>
          </w:p>
        </w:tc>
        <w:tc>
          <w:tcPr>
            <w:tcW w:w="9995" w:type="dxa"/>
            <w:tcBorders/>
            <w:vAlign w:val="center"/>
          </w:tcPr>
          <w:p>
            <w:pPr>
              <w:pStyle w:val="TableContents"/>
              <w:bidi w:val="0"/>
              <w:spacing w:before="0" w:after="283"/>
              <w:jc w:val="both"/>
              <w:rPr/>
            </w:pPr>
            <w:r>
              <w:rPr/>
              <w:t>new clients entering the market through the call for tenders’ process will be subject to non-firm service without financial compensation. The treatment of those new clients must be fair and equitable with existing clients;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load shedding for 300 hours represents only 3.4% of the 8,760 hours in a year. The Régie does not consider this request unreasonable considering the risks that cryptocurrency clients represent for Hydro-Québec.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2022, the Régie rendered a decision confirming the decision rendered in Step 3, resulting in the application of the non-firm service to the Company’s facilities in Quebec.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Hydro-Quebec responded to the Company’s administrative complaint confirming that the allocation process of the 300 MW Block would be opened in September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are two ongoing files before the Régie regarding the allocation process of additional power to crypto-miners: (1) the supply plan hearing (number R-4210-2022)(the “</w:t>
      </w:r>
      <w:r>
        <w:rPr>
          <w:rFonts w:ascii="Times New Roman;Times;Serif" w:hAnsi="Times New Roman;Times;Serif"/>
          <w:b/>
          <w:i w:val="false"/>
          <w:caps w:val="false"/>
          <w:smallCaps w:val="false"/>
          <w:sz w:val="20"/>
        </w:rPr>
        <w:t>Supply Plan Hearing</w:t>
      </w:r>
      <w:r>
        <w:rPr>
          <w:rFonts w:ascii="Times New Roman;Times;Serif" w:hAnsi="Times New Roman;Times;Serif"/>
          <w:b w:val="false"/>
          <w:i w:val="false"/>
          <w:caps w:val="false"/>
          <w:smallCaps w:val="false"/>
          <w:sz w:val="20"/>
        </w:rPr>
        <w:t>”); and (2) the Company’s complaint against Hydro-Quebec (the “</w:t>
      </w:r>
      <w:r>
        <w:rPr>
          <w:rFonts w:ascii="Times New Roman;Times;Serif" w:hAnsi="Times New Roman;Times;Serif"/>
          <w:b/>
          <w:i w:val="false"/>
          <w:caps w:val="false"/>
          <w:smallCaps w:val="false"/>
          <w:sz w:val="20"/>
        </w:rPr>
        <w:t>Complaint</w:t>
      </w:r>
      <w:r>
        <w:rPr>
          <w:rFonts w:ascii="Times New Roman;Times;Serif" w:hAnsi="Times New Roman;Times;Serif"/>
          <w:b w:val="false"/>
          <w:i w:val="false"/>
          <w:caps w:val="false"/>
          <w:smallCaps w:val="false"/>
          <w:sz w:val="20"/>
        </w:rPr>
        <w:t>”) regarding the opening of the “guichet unique”.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Times New Roman;Times;Serif" w:hAnsi="Times New Roman;Times;Serif"/>
          <w:b w:val="false"/>
          <w:i/>
          <w:caps w:val="false"/>
          <w:smallCaps w:val="false"/>
          <w:sz w:val="20"/>
        </w:rPr>
        <w:t>Conditions of Service for Cryptographic Use Applied to Blockchains</w:t>
      </w:r>
      <w:r>
        <w:rPr>
          <w:rFonts w:ascii="Times New Roman;Times;Serif" w:hAnsi="Times New Roman;Times;Serif"/>
          <w:b w:val="false"/>
          <w:i w:val="false"/>
          <w:caps w:val="false"/>
          <w:smallCaps w:val="false"/>
          <w:sz w:val="20"/>
        </w:rPr>
        <w:t xml:space="preserve"> and propose a new process for the eventual reallocation of the MW that could become available from the 32.6 MW reserved block. Hydro-Quebec requested, and the Régie accepted that such new process be presented on, or before, January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 </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completed the acquisition of a cryptocurrency Mining facility in Washington State. The facility is powered by the Grant County Power Utility District (“</w:t>
      </w:r>
      <w:r>
        <w:rPr>
          <w:rFonts w:ascii="Times New Roman;Times;Serif" w:hAnsi="Times New Roman;Times;Serif"/>
          <w:b/>
          <w:i w:val="false"/>
          <w:caps w:val="false"/>
          <w:smallCaps w:val="false"/>
          <w:sz w:val="20"/>
        </w:rPr>
        <w:t>Grant PUD</w:t>
      </w:r>
      <w:r>
        <w:rPr>
          <w:rFonts w:ascii="Times New Roman;Times;Serif" w:hAnsi="Times New Roman;Times;Serif"/>
          <w:b w:val="false"/>
          <w:i w:val="false"/>
          <w:caps w:val="false"/>
          <w:smallCaps w:val="false"/>
          <w:sz w:val="20"/>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PUD may adjust the rate pricing with approval from its Board of Commissioners. An increase in the rates applicable to the Company’s electricity consumption may adversely impact its profitability.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completed construction of the 10 MW Villarrica Facility. The facility is powered by Compañía Luz y Fuerza S.A. (“</w:t>
      </w:r>
      <w:r>
        <w:rPr>
          <w:rFonts w:ascii="Times New Roman;Times;Serif" w:hAnsi="Times New Roman;Times;Serif"/>
          <w:b/>
          <w:i w:val="false"/>
          <w:caps w:val="false"/>
          <w:smallCaps w:val="false"/>
          <w:sz w:val="20"/>
        </w:rPr>
        <w:t>CLYFSA</w:t>
      </w:r>
      <w:r>
        <w:rPr>
          <w:rFonts w:ascii="Times New Roman;Times;Serif" w:hAnsi="Times New Roman;Times;Serif"/>
          <w:b w:val="false"/>
          <w:i w:val="false"/>
          <w:caps w:val="false"/>
          <w:smallCaps w:val="false"/>
          <w:sz w:val="20"/>
        </w:rPr>
        <w:t>”) an electricity distribution company located in the city of Villarrica, Paraguay. CLYFSA purchases energy from ANDE, the operator of Paraguay’s national electricity grid, and provides power to almost 15,000 residential and commercial customers in Villarrica.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entered into engineering, procurement and construction contracts and commenced construction of a facility in Argentina (Rio Cuarto - Cordoba) for up to 210 MW. The facility will receive electricity from Generacion Mediterranea S.A. (“</w:t>
      </w:r>
      <w:r>
        <w:rPr>
          <w:rFonts w:ascii="Times New Roman;Times;Serif" w:hAnsi="Times New Roman;Times;Serif"/>
          <w:b/>
          <w:i w:val="false"/>
          <w:caps w:val="false"/>
          <w:smallCaps w:val="false"/>
          <w:sz w:val="20"/>
        </w:rPr>
        <w:t>GMSA</w:t>
      </w:r>
      <w:r>
        <w:rPr>
          <w:rFonts w:ascii="Times New Roman;Times;Serif" w:hAnsi="Times New Roman;Times;Serif"/>
          <w:b w:val="false"/>
          <w:i w:val="false"/>
          <w:caps w:val="false"/>
          <w:smallCaps w:val="false"/>
          <w:sz w:val="20"/>
        </w:rPr>
        <w:t>”) one of the subsidiaries of Grupo Albanesi. Grupo Albanesi is an Argentine private corporate group focused on the energy market which provides natural gas and electrical energy to its clients from its multiple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intervention preventing GMSA from providing the Company with electricity, or directing GMSA to reroute its electricity to the wholesale market;</w:t>
            </w:r>
          </w:p>
        </w:tc>
      </w:tr>
    </w:tbl>
    <w:p>
      <w:pPr>
        <w:pStyle w:val="TextBody"/>
        <w:bidi w:val="0"/>
        <w:spacing w:before="0" w:after="0"/>
        <w:ind w:left="720" w:right="0" w:hanging="36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and unscheduled maintenance required to service the power plant or related equipment; and</w:t>
            </w:r>
          </w:p>
        </w:tc>
      </w:tr>
    </w:tbl>
    <w:p>
      <w:pPr>
        <w:pStyle w:val="TextBody"/>
        <w:bidi w:val="0"/>
        <w:spacing w:before="0" w:after="0"/>
        <w:ind w:left="720" w:right="0" w:hanging="36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intervention limiting GMSA’s supply of natural gas.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calculation or calculated using the defined formula in effect for the second four years of the contract, both primarily driven by natural gas prices and foreign currency rates, are not economically viable.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Commodity Prices or Reductions in the Availability of Such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Profits/Losses and Production Revenues/Expenses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Fraud and Failure of Cryptocurrency Exchanges, Custodians and Other Trading 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and similar events have had, and, in the future, may have, an adverse impact on the profitability of the Company’s Bitcoin Mining operations and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794"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Insolvency, Bankruptcy, or Cessation of Operations of Mining Pool Operator</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Times New Roman;Times;Serif" w:hAnsi="Times New Roman;Times;Serif"/>
          <w:b/>
          <w:i w:val="false"/>
          <w:caps w:val="false"/>
          <w:smallCaps w:val="false"/>
          <w:sz w:val="20"/>
        </w:rPr>
        <w:t>Genesis</w:t>
      </w:r>
      <w:r>
        <w:rPr>
          <w:rFonts w:ascii="Times New Roman;Times;Serif" w:hAnsi="Times New Roman;Times;Serif"/>
          <w:b w:val="false"/>
          <w:i w:val="false"/>
          <w:caps w:val="false"/>
          <w:smallCaps w:val="false"/>
          <w:sz w:val="20"/>
        </w:rPr>
        <w:t xml:space="preserve">”).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is unable to effect a switch of its operations in a timely manner and experience significant down time from mining operations, it may experience a material adverse change.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839" w:right="794"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Independent Mining Risks</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 the Company decides to cease participating in a Mining Pool and conduct Mining operations independently, it may be exposed to certain risks; however, it may achieve marginally greater revenues by doing so. See “</w:t>
      </w:r>
      <w:r>
        <w:rPr>
          <w:rFonts w:ascii="Times New Roman;Times;Serif" w:hAnsi="Times New Roman;Times;Serif"/>
          <w:b w:val="false"/>
          <w:i/>
          <w:caps w:val="false"/>
          <w:smallCaps w:val="false"/>
          <w:sz w:val="20"/>
        </w:rPr>
        <w:t>THE COMPANY – Summary Description of the Business – Mining Pool Participation</w:t>
      </w:r>
      <w:r>
        <w:rPr>
          <w:rFonts w:ascii="Times New Roman;Times;Serif" w:hAnsi="Times New Roman;Times;Serif"/>
          <w:b w:val="false"/>
          <w:i w:val="false"/>
          <w:caps w:val="false"/>
          <w:smallCaps w:val="false"/>
          <w:sz w:val="20"/>
        </w:rPr>
        <w:t xml:space="preserve">”. The primary risk of conducting independent Mining is that the Company could experience a protracted period of failing to solve any blocks, causing a disruption in its revenue stream. In such a circumstance, the Company may need to borrow capital to continue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June 2022, the Company entered into a master equipment finance agreement (the “</w:t>
      </w:r>
      <w:r>
        <w:rPr>
          <w:rFonts w:ascii="Times New Roman;Times;Serif" w:hAnsi="Times New Roman;Times;Serif"/>
          <w:b/>
          <w:i w:val="false"/>
          <w:caps w:val="false"/>
          <w:smallCaps w:val="false"/>
          <w:sz w:val="20"/>
        </w:rPr>
        <w:t>NYDIG Loan</w:t>
      </w:r>
      <w:r>
        <w:rPr>
          <w:rFonts w:ascii="Times New Roman;Times;Serif" w:hAnsi="Times New Roman;Times;Serif"/>
          <w:b w:val="false"/>
          <w:i w:val="false"/>
          <w:caps w:val="false"/>
          <w:smallCaps w:val="false"/>
          <w:sz w:val="20"/>
        </w:rPr>
        <w:t>”) between the Company and NYDIG ABL LLC (“</w:t>
      </w:r>
      <w:r>
        <w:rPr>
          <w:rFonts w:ascii="Times New Roman;Times;Serif" w:hAnsi="Times New Roman;Times;Serif"/>
          <w:b/>
          <w:i w:val="false"/>
          <w:caps w:val="false"/>
          <w:smallCaps w:val="false"/>
          <w:sz w:val="20"/>
        </w:rPr>
        <w:t>NYDIG</w:t>
      </w:r>
      <w:r>
        <w:rPr>
          <w:rFonts w:ascii="Times New Roman;Times;Serif" w:hAnsi="Times New Roman;Times;Serif"/>
          <w:b w:val="false"/>
          <w:i w:val="false"/>
          <w:caps w:val="false"/>
          <w:smallCaps w:val="false"/>
          <w:sz w:val="20"/>
        </w:rPr>
        <w:t xml:space="preserve">”),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either case, there can be no guarantee that the Company could obtain any such financing on commercially attractive terms, or at all, and consequently the Company could experience a material adverse change.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839" w:right="794"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Mining Pool</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839" w:right="794"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Reliance on Foreign Mining Pool Operator</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Times New Roman;Times;Serif" w:hAnsi="Times New Roman;Times;Serif"/>
          <w:b w:val="false"/>
          <w:i/>
          <w:caps w:val="false"/>
          <w:smallCaps w:val="false"/>
          <w:sz w:val="20"/>
        </w:rPr>
        <w:t>RISK FACTORS – General Risk Factors – Insolvency, Bankruptcy, or Cessation of Operations of Mining Pool Operator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839" w:right="794"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Mining Pool Agreements Governed by Foreign Laws</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and Regulatory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Times New Roman;Times;Serif" w:hAnsi="Times New Roman;Times;Serif"/>
          <w:b w:val="false"/>
          <w:i/>
          <w:caps w:val="false"/>
          <w:smallCaps w:val="false"/>
          <w:sz w:val="20"/>
        </w:rPr>
        <w:t>DESCRIPTION OF BUSINESS - Business and Strategy - Argentina Expansion</w:t>
      </w:r>
      <w:r>
        <w:rPr>
          <w:rFonts w:ascii="Times New Roman;Times;Serif" w:hAnsi="Times New Roman;Times;Serif"/>
          <w:b w:val="false"/>
          <w:i w:val="false"/>
          <w:caps w:val="false"/>
          <w:smallCaps w:val="false"/>
          <w:sz w:val="20"/>
        </w:rPr>
        <w:t>”,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Times New Roman;Times;Serif" w:hAnsi="Times New Roman;Times;Serif"/>
          <w:b w:val="false"/>
          <w:i/>
          <w:caps w:val="false"/>
          <w:smallCaps w:val="false"/>
          <w:sz w:val="20"/>
        </w:rPr>
        <w:t>RISK FACTORS – General Risk Factors - Insolvency, Bankruptcy, or Cessation of Operations of Mining Pool Operator</w:t>
      </w:r>
      <w:r>
        <w:rPr>
          <w:rFonts w:ascii="Times New Roman;Times;Serif" w:hAnsi="Times New Roman;Times;Serif"/>
          <w:b w:val="false"/>
          <w:i w:val="false"/>
          <w:caps w:val="false"/>
          <w:smallCaps w:val="false"/>
          <w:sz w:val="20"/>
        </w:rPr>
        <w:t xml:space="preserve">”, “ – </w:t>
      </w:r>
      <w:r>
        <w:rPr>
          <w:rFonts w:ascii="Times New Roman;Times;Serif" w:hAnsi="Times New Roman;Times;Serif"/>
          <w:b w:val="false"/>
          <w:i/>
          <w:caps w:val="false"/>
          <w:smallCaps w:val="false"/>
          <w:sz w:val="20"/>
        </w:rPr>
        <w:t>Independent Mining Risks</w:t>
      </w:r>
      <w:r>
        <w:rPr>
          <w:rFonts w:ascii="Times New Roman;Times;Serif" w:hAnsi="Times New Roman;Times;Serif"/>
          <w:b w:val="false"/>
          <w:i w:val="false"/>
          <w:caps w:val="false"/>
          <w:smallCaps w:val="false"/>
          <w:sz w:val="20"/>
        </w:rPr>
        <w:t xml:space="preserve">”, “ – </w:t>
      </w:r>
      <w:r>
        <w:rPr>
          <w:rFonts w:ascii="Times New Roman;Times;Serif" w:hAnsi="Times New Roman;Times;Serif"/>
          <w:b w:val="false"/>
          <w:i/>
          <w:caps w:val="false"/>
          <w:smallCaps w:val="false"/>
          <w:sz w:val="20"/>
        </w:rPr>
        <w:t>Indemnification of Mining Pool</w:t>
      </w:r>
      <w:r>
        <w:rPr>
          <w:rFonts w:ascii="Times New Roman;Times;Serif" w:hAnsi="Times New Roman;Times;Serif"/>
          <w:b w:val="false"/>
          <w:i w:val="false"/>
          <w:caps w:val="false"/>
          <w:smallCaps w:val="false"/>
          <w:sz w:val="20"/>
        </w:rPr>
        <w:t xml:space="preserve">”, “ – </w:t>
      </w:r>
      <w:r>
        <w:rPr>
          <w:rFonts w:ascii="Times New Roman;Times;Serif" w:hAnsi="Times New Roman;Times;Serif"/>
          <w:b w:val="false"/>
          <w:i/>
          <w:caps w:val="false"/>
          <w:smallCaps w:val="false"/>
          <w:sz w:val="20"/>
        </w:rPr>
        <w:t>Reliance on Foreign Mining Pool Operator</w:t>
      </w:r>
      <w:r>
        <w:rPr>
          <w:rFonts w:ascii="Times New Roman;Times;Serif" w:hAnsi="Times New Roman;Times;Serif"/>
          <w:b w:val="false"/>
          <w:i w:val="false"/>
          <w:caps w:val="false"/>
          <w:smallCaps w:val="false"/>
          <w:sz w:val="20"/>
        </w:rPr>
        <w:t xml:space="preserve">”, and “ – </w:t>
      </w:r>
      <w:r>
        <w:rPr>
          <w:rFonts w:ascii="Times New Roman;Times;Serif" w:hAnsi="Times New Roman;Times;Serif"/>
          <w:b w:val="false"/>
          <w:i/>
          <w:caps w:val="false"/>
          <w:smallCaps w:val="false"/>
          <w:sz w:val="20"/>
        </w:rPr>
        <w:t>Mining Pool Agreements Governed by Foreign Laws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Reliance on Manufacturing in Foreign Countries and the Importation of Equipment to the Jurisdictions in Which the Company Operates</w:t>
      </w:r>
      <w:r>
        <w:rPr>
          <w:rFonts w:ascii="Times New Roman;Times;Serif" w:hAnsi="Times New Roman;Times;Serif"/>
          <w:b w:val="false"/>
          <w:i w:val="false"/>
          <w:caps w:val="false"/>
          <w:smallCaps w:val="false"/>
          <w:sz w:val="20"/>
        </w:rPr>
        <w:t xml:space="preserve"> </w:t>
      </w:r>
    </w:p>
    <w:p>
      <w:pPr>
        <w:pStyle w:val="TextBody"/>
        <w:bidi w:val="0"/>
        <w:spacing w:before="0" w:after="0"/>
        <w:ind w:left="839" w:right="794"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Permits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Server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Erroneous Transactions and Human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development and acceptance of the cryptographic and algorithmic protocols governing the issuance of and transactions in cryptocurrencies is subject to a variety of factors that are difficult to evaluate.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worldwide growth in the adoption and use of cryptocurrencies;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quasi-governmental regulation of cryptocurrencies and their use, or restrictions on or regulation of access to and operation of the network or similar cryptocurrency systems;</w:t>
            </w:r>
          </w:p>
        </w:tc>
      </w:tr>
    </w:tbl>
    <w:p>
      <w:pPr>
        <w:pStyle w:val="TextBody"/>
        <w:bidi w:val="0"/>
        <w:spacing w:before="0" w:after="0"/>
        <w:ind w:left="720" w:right="0" w:hanging="36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demographics and public tastes and preferences;</w:t>
            </w:r>
          </w:p>
        </w:tc>
      </w:tr>
    </w:tbl>
    <w:p>
      <w:pPr>
        <w:pStyle w:val="TextBody"/>
        <w:bidi w:val="0"/>
        <w:spacing w:before="0" w:after="0"/>
        <w:ind w:left="720" w:right="0" w:hanging="36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open-source software protocol of the network;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or methods of buying and selling goods and services, including new means of using fiat 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environment relating to digital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consumer sentiment and perception of Bitcoin specifically and cryptocurrencies generally.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Facility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xml:space="preserve">”, for a discussion of the status of the Company’s various development efforts in jurisdictions including, in particular, Argentina and Baie-Comeau.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Acceptance and/or Widespread Use of Cryptocurrency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Hazards Associated with High-voltage Electricity Transmission and Industrial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Adoption of ESG Practices and the Impacts of Climate 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across many industries, including cryptocurrency Mining, are facing scrutiny related to their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Foreign Corrupt Practices Act and Similar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Instability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Third-party Supplier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of Bitfarms Being Classified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Pandemic and Infectious Disease Risk (including 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Economic Volatility and other Challenges in Argentina and / or Paraguay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Vulnerability of Argentina and Paraguay Economies to External Shocks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Weak, flat or negative economic growth or changes in international trade policy of the major trading partners of Argentina and Paraguay could adversely affect its balance of payments and, consequently, its economic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Impacts of Corruption and Anti-Corruption Laws in Operating Jurisdictions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Unpredictability of Tax Rates, Capital Controls and Foreign Exchange Restrictions in Argentina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Discretion Over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Absence of a Public Market for Certain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Unsecured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Changes in Interest Rates on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Fluctuations in Foreign Currency Markets on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Price of Common Shares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the Company’s financial results or those of companies that are perceived to be similar to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by the Company or its competitors, such as acquisitions, bankruptcies or restructurings;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management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proceedings involving the Company, the cryptocurrency industry, or both;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or regulatory 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market valuations of companies similar to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prospects of and changes affecting participants in the cryptocurrency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98"/>
        <w:gridCol w:w="9596"/>
      </w:tblGrid>
      <w:tr>
        <w:trPr/>
        <w:tc>
          <w:tcPr>
            <w:tcW w:w="1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w:t>
            </w:r>
          </w:p>
        </w:tc>
        <w:tc>
          <w:tcPr>
            <w:tcW w:w="95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by the Company’s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speculation or reports by the press or investment community with respect to the Company or the cryptocurrency industry in general;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pricing or availability of hydro-electricity, natural gas and other sources of energy;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regulatory, market and political conditions;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uncertainties and factors described in these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Times;Serif" w:hAnsi="Times New Roman;Times;Serif"/>
          <w:b w:val="false"/>
          <w:i/>
          <w:caps w:val="false"/>
          <w:smallCaps w:val="false"/>
          <w:sz w:val="20"/>
        </w:rPr>
        <w:t>Short Form Prospectus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Form 44-101F1</w:t>
      </w:r>
      <w:r>
        <w:rPr>
          <w:rFonts w:ascii="Times New Roman;Times;Serif" w:hAnsi="Times New Roman;Times;Serif"/>
          <w:b w:val="false"/>
          <w:i w:val="false"/>
          <w:caps w:val="false"/>
          <w:smallCaps w:val="false"/>
          <w:sz w:val="20"/>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Times New Roman;Times;Serif" w:hAnsi="Times New Roman;Times;Serif"/>
          <w:b/>
          <w:i w:val="false"/>
          <w:caps w:val="false"/>
          <w:smallCaps w:val="false"/>
          <w:sz w:val="20"/>
        </w:rPr>
        <w:t>EH/s</w:t>
      </w:r>
      <w:r>
        <w:rPr>
          <w:rFonts w:ascii="Times New Roman;Times;Serif" w:hAnsi="Times New Roman;Times;Serif"/>
          <w:b w:val="false"/>
          <w:i w:val="false"/>
          <w:caps w:val="false"/>
          <w:smallCaps w:val="false"/>
          <w:sz w:val="20"/>
        </w:rPr>
        <w:t>”) as well as future growth, performance, and efficiency objectives.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achieve the Company’s stated hashrate goal of 7.0 EH/s, the Company expects that it will be necessary to complete the installation of the 20 MW of hydro containers and procure Miners for those containers at the Paso Pe facility in Paraguay.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operating and financing strategy, the Company plans to continue to retain some or all of the Bitcoin it earns throughout 2023 and 2024. See “</w:t>
      </w:r>
      <w:r>
        <w:rPr>
          <w:rFonts w:ascii="Times New Roman;Times;Serif" w:hAnsi="Times New Roman;Times;Serif"/>
          <w:b w:val="false"/>
          <w:i/>
          <w:caps w:val="false"/>
          <w:smallCaps w:val="false"/>
          <w:sz w:val="20"/>
        </w:rPr>
        <w:t>CONSOLIDATED CAPITALIZATION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RISK FACTORS – Risks Related to the Offering of Securities – Discretion over use of proceeds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Objectives and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pStyle w:val="TextBody"/>
        <w:bidi w:val="0"/>
        <w:spacing w:before="0" w:after="0"/>
        <w:ind w:left="1004"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 xml:space="preserve">● </w:t>
            </w:r>
          </w:p>
        </w:tc>
        <w:tc>
          <w:tcPr>
            <w:tcW w:w="9981" w:type="dxa"/>
            <w:tcBorders/>
            <w:vAlign w:val="center"/>
          </w:tcPr>
          <w:p>
            <w:pPr>
              <w:pStyle w:val="TableContents"/>
              <w:bidi w:val="0"/>
              <w:spacing w:before="0" w:after="283"/>
              <w:jc w:val="both"/>
              <w:rPr/>
            </w:pPr>
            <w:r>
              <w:rPr/>
              <w:t xml:space="preserve">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xml:space="preserve">● </w:t>
            </w:r>
          </w:p>
        </w:tc>
        <w:tc>
          <w:tcPr>
            <w:tcW w:w="9982" w:type="dxa"/>
            <w:tcBorders/>
            <w:vAlign w:val="center"/>
          </w:tcPr>
          <w:p>
            <w:pPr>
              <w:pStyle w:val="TableContents"/>
              <w:bidi w:val="0"/>
              <w:spacing w:before="0" w:after="283"/>
              <w:jc w:val="both"/>
              <w:rPr/>
            </w:pPr>
            <w:r>
              <w:rPr/>
              <w:t xml:space="preserve">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 xml:space="preserve">● </w:t>
            </w:r>
          </w:p>
        </w:tc>
        <w:tc>
          <w:tcPr>
            <w:tcW w:w="9981" w:type="dxa"/>
            <w:tcBorders/>
            <w:vAlign w:val="center"/>
          </w:tcPr>
          <w:p>
            <w:pPr>
              <w:pStyle w:val="TableContents"/>
              <w:bidi w:val="0"/>
              <w:spacing w:before="0" w:after="283"/>
              <w:jc w:val="both"/>
              <w:rPr/>
            </w:pPr>
            <w:r>
              <w:rPr/>
              <w:t xml:space="preserve">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 xml:space="preserve">● </w:t>
            </w:r>
          </w:p>
        </w:tc>
        <w:tc>
          <w:tcPr>
            <w:tcW w:w="9989" w:type="dxa"/>
            <w:tcBorders/>
            <w:vAlign w:val="center"/>
          </w:tcPr>
          <w:p>
            <w:pPr>
              <w:pStyle w:val="TableContents"/>
              <w:bidi w:val="0"/>
              <w:spacing w:before="0" w:after="283"/>
              <w:jc w:val="both"/>
              <w:rPr/>
            </w:pPr>
            <w:r>
              <w:rPr/>
              <w:t xml:space="preserve">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9"/>
        <w:gridCol w:w="63"/>
        <w:gridCol w:w="1332"/>
        <w:gridCol w:w="63"/>
        <w:gridCol w:w="1694"/>
        <w:gridCol w:w="63"/>
        <w:gridCol w:w="1676"/>
        <w:gridCol w:w="63"/>
        <w:gridCol w:w="1241"/>
        <w:gridCol w:w="63"/>
        <w:gridCol w:w="1390"/>
        <w:gridCol w:w="63"/>
        <w:gridCol w:w="1095"/>
      </w:tblGrid>
      <w:tr>
        <w:trPr/>
        <w:tc>
          <w:tcPr>
            <w:tcW w:w="1399"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Objective</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332"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Description</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694"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Plan</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676"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Current Status</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241"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Expen-ditures to Date</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39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Anticipated</w:t>
              <w:br/>
              <w:t>Future</w:t>
              <w:br/>
              <w:t>Expenditures</w:t>
            </w:r>
            <w:r>
              <w:rPr/>
              <w:t xml:space="preserve"> </w:t>
            </w:r>
          </w:p>
        </w:tc>
        <w:tc>
          <w:tcPr>
            <w:tcW w:w="63" w:type="dxa"/>
            <w:tcBorders/>
            <w:tcMar>
              <w:bottom w:w="0" w:type="dxa"/>
            </w:tcMar>
            <w:vAlign w:val="center"/>
          </w:tcPr>
          <w:p>
            <w:pPr>
              <w:pStyle w:val="TableContents"/>
              <w:bidi w:val="0"/>
              <w:spacing w:before="0" w:after="283"/>
              <w:jc w:val="center"/>
              <w:rPr/>
            </w:pPr>
            <w:r>
              <w:rPr/>
              <w:t xml:space="preserve">  </w:t>
            </w:r>
          </w:p>
        </w:tc>
        <w:tc>
          <w:tcPr>
            <w:tcW w:w="109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Anticipated</w:t>
              <w:br/>
              <w:t>Timing of</w:t>
              <w:br/>
              <w:t>Completion</w:t>
            </w:r>
            <w:r>
              <w:rPr/>
              <w:t xml:space="preserve"> </w:t>
            </w:r>
          </w:p>
        </w:tc>
      </w:tr>
      <w:tr>
        <w:trPr/>
        <w:tc>
          <w:tcPr>
            <w:tcW w:w="1399"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Operationalize Baie-Comeau</w:t>
            </w:r>
            <w:r>
              <w:rPr>
                <w:rFonts w:ascii="Times New Roman;Times;Serif" w:hAnsi="Times New Roman;Times;Serif"/>
                <w:position w:val="7"/>
                <w:sz w:val="16"/>
                <w:sz w:val="20"/>
              </w:rPr>
              <w:t>(1)</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3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Acquisition and buildout of Baie-Comeau facility</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94"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Operationalize 11 MW in the second half of 2024 for 22 MW total</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Not started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Nil</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9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$15 million</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09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Second half of 2024</w:t>
            </w:r>
            <w:r>
              <w:rPr/>
              <w:t xml:space="preserve"> </w:t>
            </w:r>
          </w:p>
        </w:tc>
      </w:tr>
      <w:tr>
        <w:trPr/>
        <w:tc>
          <w:tcPr>
            <w:tcW w:w="1399"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Develop Second 55 MW facility in Argentina</w:t>
            </w:r>
            <w:r>
              <w:rPr>
                <w:rFonts w:ascii="Times New Roman;Times;Serif" w:hAnsi="Times New Roman;Times;Serif"/>
                <w:position w:val="7"/>
                <w:sz w:val="16"/>
                <w:sz w:val="20"/>
              </w:rPr>
              <w:t>(2)</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Procurement of miners and buildout of facility</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94"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Buildout the infrastructure and acquire Miners to fully utilize 55 MW facility</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76"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On pause pending further assessment in light of recent national political and economic developments and impact of the Bitcoin Halving</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24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Nil</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9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$46 million</w:t>
              <w:br/>
              <w:t>(infrastructure and mining hardware)</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09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During or after 2024</w:t>
            </w:r>
            <w:r>
              <w:rPr/>
              <w:t xml:space="preserve"> </w:t>
            </w:r>
          </w:p>
        </w:tc>
      </w:tr>
      <w:tr>
        <w:trPr/>
        <w:tc>
          <w:tcPr>
            <w:tcW w:w="1399"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Third and fourth 50 MW facilities in Argentina</w:t>
            </w:r>
            <w:r>
              <w:rPr>
                <w:rFonts w:ascii="Times New Roman;Times;Serif" w:hAnsi="Times New Roman;Times;Serif"/>
                <w:position w:val="7"/>
                <w:sz w:val="16"/>
                <w:sz w:val="20"/>
              </w:rPr>
              <w:t>(2)</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3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Procurement of miners and buildout of facility</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94"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Buildout the infrastructure and acquire Miners to fully utilize both 50-55 MW facilities</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7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Not started</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Nil</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9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$100 million</w:t>
              <w:br/>
              <w:t>(infrastructure and mining hardware)</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09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During or after 2024</w:t>
            </w:r>
            <w:r>
              <w:rPr/>
              <w:t xml:space="preserve"> </w:t>
            </w:r>
          </w:p>
        </w:tc>
      </w:tr>
      <w:tr>
        <w:trPr/>
        <w:tc>
          <w:tcPr>
            <w:tcW w:w="1399"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Paso Pe facility in Paraguay</w:t>
            </w:r>
            <w:r>
              <w:rPr>
                <w:rFonts w:ascii="Times New Roman;Times;Serif" w:hAnsi="Times New Roman;Times;Serif"/>
                <w:position w:val="7"/>
                <w:sz w:val="16"/>
                <w:sz w:val="20"/>
              </w:rPr>
              <w:t>(2)</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Buildout of facility</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94"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Buildout of the infrastructure for 50 MW to 70 MW facility to utilize hydro containers and miners ordered using vendor credits</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76"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In progress</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24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$6 million</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9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$81 million (infrastructure, miners and electricity deposit)</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09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During first quarter of 2024</w:t>
            </w:r>
            <w:r>
              <w:rPr/>
              <w:t xml:space="preserve"> </w:t>
            </w:r>
          </w:p>
        </w:tc>
      </w:tr>
      <w:tr>
        <w:trPr/>
        <w:tc>
          <w:tcPr>
            <w:tcW w:w="1399"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Yguazu facility in Paraguay</w:t>
            </w:r>
            <w:r>
              <w:rPr>
                <w:rFonts w:ascii="Times New Roman;Times;Serif" w:hAnsi="Times New Roman;Times;Serif"/>
                <w:position w:val="7"/>
                <w:sz w:val="16"/>
                <w:sz w:val="20"/>
              </w:rPr>
              <w:t>(2)</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3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Procurement of miners and buildout of facility</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94"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Buildout the infrastructure and acquire Miners to fully utilize 80 MW to 150 MW facility</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67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Not started</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$0.5 million</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39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$114 million to $213 million</w:t>
              <w:br/>
              <w:t>(infrastructure, mining hardware, and electricity deposit)</w:t>
            </w:r>
            <w:r>
              <w:rPr/>
              <w:t xml:space="preserve"> </w:t>
            </w:r>
          </w:p>
        </w:tc>
        <w:tc>
          <w:tcPr>
            <w:tcW w:w="63" w:type="dxa"/>
            <w:tcBorders/>
            <w:shd w:fill="CCEEFF" w:val="clear"/>
            <w:tcMar>
              <w:bottom w:w="0" w:type="dxa"/>
            </w:tcMar>
            <w:vAlign w:val="center"/>
          </w:tcPr>
          <w:p>
            <w:pPr>
              <w:pStyle w:val="TableContents"/>
              <w:bidi w:val="0"/>
              <w:spacing w:before="0" w:after="283"/>
              <w:jc w:val="left"/>
              <w:rPr/>
            </w:pPr>
            <w:r>
              <w:rPr/>
              <w:t xml:space="preserve">  </w:t>
            </w:r>
          </w:p>
        </w:tc>
        <w:tc>
          <w:tcPr>
            <w:tcW w:w="109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During or after 2024</w:t>
            </w:r>
            <w:r>
              <w:rPr/>
              <w:t xml:space="preserve"> </w:t>
            </w:r>
          </w:p>
        </w:tc>
      </w:tr>
      <w:tr>
        <w:trPr/>
        <w:tc>
          <w:tcPr>
            <w:tcW w:w="1399"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Expansion in Canada, US, Paraguay and elsewhere</w:t>
            </w:r>
            <w:r>
              <w:rPr>
                <w:rFonts w:ascii="Times New Roman;Times;Serif" w:hAnsi="Times New Roman;Times;Serif"/>
                <w:position w:val="7"/>
                <w:sz w:val="16"/>
                <w:sz w:val="20"/>
              </w:rPr>
              <w:t>(2)</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32"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Acquisition, procurement of Miners and buildout of facilities</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94"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Evaluate opportunities to expand the Company’s hashrate</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676"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Exploratory and assessment phase</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24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Nil</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39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$100 million</w:t>
              <w:br/>
              <w:t>(infrastructure and mining hardware)</w:t>
            </w:r>
            <w:r>
              <w:rPr/>
              <w:t xml:space="preserve"> </w:t>
            </w:r>
          </w:p>
        </w:tc>
        <w:tc>
          <w:tcPr>
            <w:tcW w:w="63" w:type="dxa"/>
            <w:tcBorders/>
            <w:shd w:fill="FFFFFF" w:val="clear"/>
            <w:tcMar>
              <w:bottom w:w="0" w:type="dxa"/>
            </w:tcMar>
            <w:vAlign w:val="center"/>
          </w:tcPr>
          <w:p>
            <w:pPr>
              <w:pStyle w:val="TableContents"/>
              <w:bidi w:val="0"/>
              <w:spacing w:before="0" w:after="283"/>
              <w:jc w:val="left"/>
              <w:rPr/>
            </w:pPr>
            <w:r>
              <w:rPr/>
              <w:t xml:space="preserve">  </w:t>
            </w:r>
          </w:p>
        </w:tc>
        <w:tc>
          <w:tcPr>
            <w:tcW w:w="109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During or after 2024</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anticipates being able to accomplish this milestone without additional financing. A significant decrease in Bitcoin price may impact the Company’s ability to accomplish this milestone whether the Company obtains additional financing or not.</w:t>
            </w:r>
          </w:p>
        </w:tc>
      </w:tr>
      <w:tr>
        <w:trPr/>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anticipates requiring additional financing to complete this milestone in addition to the funds raised under this Prospectus to complete the milestone. The Company will only complete this milestone if and when additional financing has been obtained.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Business Objectives and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0"/>
        <w:gridCol w:w="66"/>
        <w:gridCol w:w="3226"/>
        <w:gridCol w:w="66"/>
        <w:gridCol w:w="1270"/>
        <w:gridCol w:w="66"/>
        <w:gridCol w:w="1851"/>
      </w:tblGrid>
      <w:tr>
        <w:trPr/>
        <w:tc>
          <w:tcPr>
            <w:tcW w:w="366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Business Objective</w:t>
            </w:r>
            <w:r>
              <w:rPr/>
              <w:t xml:space="preserve"> </w:t>
            </w:r>
          </w:p>
        </w:tc>
        <w:tc>
          <w:tcPr>
            <w:tcW w:w="66" w:type="dxa"/>
            <w:tcBorders/>
            <w:tcMar>
              <w:bottom w:w="0" w:type="dxa"/>
            </w:tcMar>
            <w:vAlign w:val="center"/>
          </w:tcPr>
          <w:p>
            <w:pPr>
              <w:pStyle w:val="TableContents"/>
              <w:bidi w:val="0"/>
              <w:spacing w:before="0" w:after="283"/>
              <w:jc w:val="center"/>
              <w:rPr/>
            </w:pPr>
            <w:r>
              <w:rPr/>
              <w:t xml:space="preserve">  </w:t>
            </w:r>
          </w:p>
        </w:tc>
        <w:tc>
          <w:tcPr>
            <w:tcW w:w="3226"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Current status</w:t>
            </w:r>
            <w:r>
              <w:rPr/>
              <w:t xml:space="preserve"> </w:t>
            </w:r>
          </w:p>
        </w:tc>
        <w:tc>
          <w:tcPr>
            <w:tcW w:w="66" w:type="dxa"/>
            <w:tcBorders/>
            <w:tcMar>
              <w:bottom w:w="0" w:type="dxa"/>
            </w:tcMar>
            <w:vAlign w:val="center"/>
          </w:tcPr>
          <w:p>
            <w:pPr>
              <w:pStyle w:val="TableContents"/>
              <w:bidi w:val="0"/>
              <w:spacing w:before="0" w:after="283"/>
              <w:jc w:val="center"/>
              <w:rPr/>
            </w:pPr>
            <w:r>
              <w:rPr/>
              <w:t xml:space="preserve">  </w:t>
            </w:r>
          </w:p>
        </w:tc>
        <w:tc>
          <w:tcPr>
            <w:tcW w:w="127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Original estimated costs</w:t>
            </w:r>
            <w:r>
              <w:rPr/>
              <w:t xml:space="preserve"> </w:t>
            </w:r>
          </w:p>
        </w:tc>
        <w:tc>
          <w:tcPr>
            <w:tcW w:w="66" w:type="dxa"/>
            <w:tcBorders/>
            <w:tcMar>
              <w:bottom w:w="0" w:type="dxa"/>
            </w:tcMar>
            <w:vAlign w:val="center"/>
          </w:tcPr>
          <w:p>
            <w:pPr>
              <w:pStyle w:val="TableContents"/>
              <w:bidi w:val="0"/>
              <w:spacing w:before="0" w:after="283"/>
              <w:jc w:val="center"/>
              <w:rPr/>
            </w:pPr>
            <w:r>
              <w:rPr/>
              <w:t xml:space="preserve">  </w:t>
            </w:r>
          </w:p>
        </w:tc>
        <w:tc>
          <w:tcPr>
            <w:tcW w:w="1851"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Proceeds used as of September 30, 2023</w:t>
            </w:r>
            <w:r>
              <w:rPr/>
              <w:t xml:space="preserve"> </w:t>
            </w:r>
          </w:p>
        </w:tc>
      </w:tr>
      <w:tr>
        <w:trPr/>
        <w:tc>
          <w:tcPr>
            <w:tcW w:w="3660"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Buildout of additional 78 MW of electrical infrastructure in Quebec by the first quarter of 2022</w:t>
            </w:r>
            <w:r>
              <w:rPr/>
              <w:t xml:space="preserve">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3226"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Completed in Q4 2022</w:t>
            </w:r>
            <w:r>
              <w:rPr/>
              <w:t xml:space="preserve">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1270"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$10 million</w:t>
            </w:r>
            <w:r>
              <w:rPr/>
              <w:t xml:space="preserve"> </w:t>
            </w:r>
          </w:p>
        </w:tc>
        <w:tc>
          <w:tcPr>
            <w:tcW w:w="66" w:type="dxa"/>
            <w:tcBorders/>
            <w:shd w:fill="CCEEFF" w:val="clear"/>
            <w:tcMar>
              <w:bottom w:w="0" w:type="dxa"/>
            </w:tcMar>
            <w:vAlign w:val="center"/>
          </w:tcPr>
          <w:p>
            <w:pPr>
              <w:pStyle w:val="TableContents"/>
              <w:bidi w:val="0"/>
              <w:spacing w:before="0" w:after="283"/>
              <w:jc w:val="left"/>
              <w:rPr/>
            </w:pPr>
            <w:r>
              <w:rPr/>
              <w:t xml:space="preserve">  </w:t>
            </w:r>
          </w:p>
        </w:tc>
        <w:tc>
          <w:tcPr>
            <w:tcW w:w="18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Cowansville expansion (17 MW): $0.6 million </w:t>
              <w:br/>
              <w:t xml:space="preserve">B. Sherbrooke expansion (78 MW): $22.2 million </w:t>
            </w:r>
          </w:p>
        </w:tc>
      </w:tr>
      <w:tr>
        <w:trPr/>
        <w:tc>
          <w:tcPr>
            <w:tcW w:w="3660"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Acquire mining equipment to achieve 3 EH/s of computing power by the first quarter of 2022</w:t>
            </w:r>
            <w:r>
              <w:rPr/>
              <w:t xml:space="preserve"> </w:t>
            </w:r>
          </w:p>
        </w:tc>
        <w:tc>
          <w:tcPr>
            <w:tcW w:w="66" w:type="dxa"/>
            <w:tcBorders/>
            <w:shd w:fill="FFFFFF" w:val="clear"/>
            <w:tcMar>
              <w:bottom w:w="0" w:type="dxa"/>
            </w:tcMar>
            <w:vAlign w:val="center"/>
          </w:tcPr>
          <w:p>
            <w:pPr>
              <w:pStyle w:val="TableContents"/>
              <w:bidi w:val="0"/>
              <w:spacing w:before="0" w:after="283"/>
              <w:jc w:val="both"/>
              <w:rPr/>
            </w:pPr>
            <w:r>
              <w:rPr/>
              <w:t xml:space="preserve">  </w:t>
            </w:r>
          </w:p>
        </w:tc>
        <w:tc>
          <w:tcPr>
            <w:tcW w:w="3226"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Completed in Q2 2022</w:t>
            </w:r>
            <w:r>
              <w:rPr/>
              <w:t xml:space="preserve"> </w:t>
            </w:r>
          </w:p>
        </w:tc>
        <w:tc>
          <w:tcPr>
            <w:tcW w:w="66" w:type="dxa"/>
            <w:tcBorders/>
            <w:shd w:fill="FFFFFF" w:val="clear"/>
            <w:tcMar>
              <w:bottom w:w="0" w:type="dxa"/>
            </w:tcMar>
            <w:vAlign w:val="center"/>
          </w:tcPr>
          <w:p>
            <w:pPr>
              <w:pStyle w:val="TableContents"/>
              <w:bidi w:val="0"/>
              <w:spacing w:before="0" w:after="283"/>
              <w:jc w:val="both"/>
              <w:rPr/>
            </w:pPr>
            <w:r>
              <w:rPr/>
              <w:t xml:space="preserve">  </w:t>
            </w:r>
          </w:p>
        </w:tc>
        <w:tc>
          <w:tcPr>
            <w:tcW w:w="1270"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$45 million</w:t>
            </w:r>
            <w:r>
              <w:rPr/>
              <w:t xml:space="preserve"> </w:t>
            </w:r>
          </w:p>
        </w:tc>
        <w:tc>
          <w:tcPr>
            <w:tcW w:w="66" w:type="dxa"/>
            <w:tcBorders/>
            <w:shd w:fill="FFFFFF" w:val="clear"/>
            <w:tcMar>
              <w:bottom w:w="0" w:type="dxa"/>
            </w:tcMar>
            <w:vAlign w:val="center"/>
          </w:tcPr>
          <w:p>
            <w:pPr>
              <w:pStyle w:val="TableContents"/>
              <w:bidi w:val="0"/>
              <w:spacing w:before="0" w:after="283"/>
              <w:jc w:val="left"/>
              <w:rPr/>
            </w:pPr>
            <w:r>
              <w:rPr/>
              <w:t xml:space="preserve">  </w:t>
            </w:r>
          </w:p>
        </w:tc>
        <w:tc>
          <w:tcPr>
            <w:tcW w:w="185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A. MicroBT Miners: $126.3 million</w:t>
              <w:br/>
              <w:t>B. Bitmain Miners: $29.3 million</w:t>
            </w:r>
            <w:r>
              <w:rPr/>
              <w:t xml:space="preserve"> </w:t>
            </w:r>
          </w:p>
        </w:tc>
      </w:tr>
      <w:tr>
        <w:trPr/>
        <w:tc>
          <w:tcPr>
            <w:tcW w:w="36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Commence the engineering procurement and construction activity in the second half of 2021 with expected completion in 2022 of a major mining facility to exploit a 210 MW non-binding memorandum of understanding entered into with a South American energy producer, a portion of which is at $0.022/KwH.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3226"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First 55 MW facility constructed in Q3 2022 and completed in Q4 2023.</w:t>
            </w:r>
            <w:r>
              <w:rPr/>
              <w:t xml:space="preserve">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1270"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$55 million</w:t>
            </w:r>
            <w:r>
              <w:rPr/>
              <w:t xml:space="preserve"> </w:t>
            </w:r>
          </w:p>
        </w:tc>
        <w:tc>
          <w:tcPr>
            <w:tcW w:w="66" w:type="dxa"/>
            <w:tcBorders/>
            <w:shd w:fill="CCEEFF" w:val="clear"/>
            <w:tcMar>
              <w:bottom w:w="0" w:type="dxa"/>
            </w:tcMar>
            <w:vAlign w:val="center"/>
          </w:tcPr>
          <w:p>
            <w:pPr>
              <w:pStyle w:val="TableContents"/>
              <w:bidi w:val="0"/>
              <w:spacing w:before="0" w:after="283"/>
              <w:jc w:val="left"/>
              <w:rPr/>
            </w:pPr>
            <w:r>
              <w:rPr/>
              <w:t xml:space="preserve">  </w:t>
            </w:r>
          </w:p>
        </w:tc>
        <w:tc>
          <w:tcPr>
            <w:tcW w:w="18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Argentina expansion, net of gain on disposition of marketable securities (first 50 MW facility) $51.0 million</w:t>
            </w:r>
            <w:r>
              <w:rPr/>
              <w:t xml:space="preserve"> </w:t>
            </w:r>
          </w:p>
        </w:tc>
      </w:tr>
      <w:tr>
        <w:trPr/>
        <w:tc>
          <w:tcPr>
            <w:tcW w:w="3660"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Achieve the Company’s target of 8.0 EH/s by the end of 2022</w:t>
            </w:r>
            <w:r>
              <w:rPr/>
              <w:t xml:space="preserve"> </w:t>
            </w:r>
          </w:p>
        </w:tc>
        <w:tc>
          <w:tcPr>
            <w:tcW w:w="66" w:type="dxa"/>
            <w:tcBorders/>
            <w:shd w:fill="FFFFFF" w:val="clear"/>
            <w:tcMar>
              <w:bottom w:w="0" w:type="dxa"/>
            </w:tcMar>
            <w:vAlign w:val="center"/>
          </w:tcPr>
          <w:p>
            <w:pPr>
              <w:pStyle w:val="TableContents"/>
              <w:bidi w:val="0"/>
              <w:spacing w:before="0" w:after="283"/>
              <w:jc w:val="both"/>
              <w:rPr/>
            </w:pPr>
            <w:r>
              <w:rPr/>
              <w:t xml:space="preserve">  </w:t>
            </w:r>
          </w:p>
        </w:tc>
        <w:tc>
          <w:tcPr>
            <w:tcW w:w="322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revised this target to reach 7.0 EH/s by March 31, 2024. Without considering any outstanding deposit balances, the Company estimates that it would cost approximately $21 million per additional EH based on a current Miner cost of $15 per TH. </w:t>
            </w:r>
          </w:p>
        </w:tc>
        <w:tc>
          <w:tcPr>
            <w:tcW w:w="66" w:type="dxa"/>
            <w:tcBorders/>
            <w:shd w:fill="FFFFFF" w:val="clear"/>
            <w:tcMar>
              <w:bottom w:w="0" w:type="dxa"/>
            </w:tcMar>
            <w:vAlign w:val="center"/>
          </w:tcPr>
          <w:p>
            <w:pPr>
              <w:pStyle w:val="TableContents"/>
              <w:bidi w:val="0"/>
              <w:spacing w:before="0" w:after="283"/>
              <w:jc w:val="both"/>
              <w:rPr/>
            </w:pPr>
            <w:r>
              <w:rPr/>
              <w:t xml:space="preserve">  </w:t>
            </w:r>
          </w:p>
        </w:tc>
        <w:tc>
          <w:tcPr>
            <w:tcW w:w="1270"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Mining equipment: $215 million to $235 million</w:t>
            </w:r>
            <w:r>
              <w:rPr/>
              <w:t xml:space="preserve"> </w:t>
            </w:r>
          </w:p>
        </w:tc>
        <w:tc>
          <w:tcPr>
            <w:tcW w:w="66" w:type="dxa"/>
            <w:tcBorders/>
            <w:shd w:fill="FFFFFF" w:val="clear"/>
            <w:tcMar>
              <w:bottom w:w="0" w:type="dxa"/>
            </w:tcMar>
            <w:vAlign w:val="center"/>
          </w:tcPr>
          <w:p>
            <w:pPr>
              <w:pStyle w:val="TableContents"/>
              <w:bidi w:val="0"/>
              <w:spacing w:before="0" w:after="283"/>
              <w:jc w:val="left"/>
              <w:rPr/>
            </w:pPr>
            <w:r>
              <w:rPr/>
              <w:t xml:space="preserve">  </w:t>
            </w:r>
          </w:p>
        </w:tc>
        <w:tc>
          <w:tcPr>
            <w:tcW w:w="1851" w:type="dxa"/>
            <w:tcBorders/>
            <w:shd w:fill="FFFFFF" w:val="clear"/>
            <w:tcMar>
              <w:bottom w:w="0" w:type="dxa"/>
            </w:tcMar>
            <w:vAlign w:val="center"/>
          </w:tcPr>
          <w:p>
            <w:pPr>
              <w:pStyle w:val="TableContents"/>
              <w:bidi w:val="0"/>
              <w:spacing w:before="0" w:after="283"/>
              <w:jc w:val="left"/>
              <w:rPr/>
            </w:pPr>
            <w:r>
              <w:rPr/>
              <w:t xml:space="preserve">  </w:t>
            </w:r>
          </w:p>
        </w:tc>
      </w:tr>
      <w:tr>
        <w:trPr/>
        <w:tc>
          <w:tcPr>
            <w:tcW w:w="3660"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Engage with the Quebec government as well as other governmental and private sector energy suppliers to secure operating sites capable of housing a 50 MW or larger mining facility</w:t>
            </w:r>
            <w:r>
              <w:rPr/>
              <w:t xml:space="preserve">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3226"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Completed. However, the Company continues to look for opportunities to expand its mining operations</w:t>
            </w:r>
            <w:r>
              <w:rPr/>
              <w:t xml:space="preserve"> </w:t>
            </w:r>
          </w:p>
        </w:tc>
        <w:tc>
          <w:tcPr>
            <w:tcW w:w="66" w:type="dxa"/>
            <w:tcBorders/>
            <w:shd w:fill="CCEEFF" w:val="clear"/>
            <w:tcMar>
              <w:bottom w:w="0" w:type="dxa"/>
            </w:tcMar>
            <w:vAlign w:val="center"/>
          </w:tcPr>
          <w:p>
            <w:pPr>
              <w:pStyle w:val="TableContents"/>
              <w:bidi w:val="0"/>
              <w:spacing w:before="0" w:after="283"/>
              <w:jc w:val="both"/>
              <w:rPr/>
            </w:pPr>
            <w:r>
              <w:rPr/>
              <w:t xml:space="preserve">  </w:t>
            </w:r>
          </w:p>
        </w:tc>
        <w:tc>
          <w:tcPr>
            <w:tcW w:w="1270"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N/A</w:t>
            </w:r>
            <w:r>
              <w:rPr/>
              <w:t xml:space="preserve"> </w:t>
            </w:r>
          </w:p>
        </w:tc>
        <w:tc>
          <w:tcPr>
            <w:tcW w:w="66" w:type="dxa"/>
            <w:tcBorders/>
            <w:shd w:fill="CCEEFF" w:val="clear"/>
            <w:tcMar>
              <w:bottom w:w="0" w:type="dxa"/>
            </w:tcMar>
            <w:vAlign w:val="center"/>
          </w:tcPr>
          <w:p>
            <w:pPr>
              <w:pStyle w:val="TableContents"/>
              <w:bidi w:val="0"/>
              <w:spacing w:before="0" w:after="283"/>
              <w:jc w:val="left"/>
              <w:rPr/>
            </w:pPr>
            <w:r>
              <w:rPr/>
              <w:t xml:space="preserve">  </w:t>
            </w:r>
          </w:p>
        </w:tc>
        <w:tc>
          <w:tcPr>
            <w:tcW w:w="18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A. Washington expansion (20 MW): $27.2 million</w:t>
              <w:br/>
              <w:t>B. Paraguay expansion (10 MW): $3.2 million</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CONSOLIDATED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PRIOR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respect of the Company’s Common Shares that we issued within the previous twelve-month period, including Common Shares that we issued upon the exercise of stock options of the Company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will be provided as required in a prospectus supplement with respect to the issuance of securities pursuant to such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TRADING PRICE AND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listed and posted for trading on the Nasdaq and on the TSX under the symbol “</w:t>
      </w:r>
      <w:r>
        <w:rPr>
          <w:rFonts w:ascii="Times New Roman;Times;Serif" w:hAnsi="Times New Roman;Times;Serif"/>
          <w:b/>
          <w:i w:val="false"/>
          <w:caps w:val="false"/>
          <w:smallCaps w:val="false"/>
          <w:sz w:val="20"/>
        </w:rPr>
        <w:t>BITF</w:t>
      </w:r>
      <w:r>
        <w:rPr>
          <w:rFonts w:ascii="Times New Roman;Times;Serif" w:hAnsi="Times New Roman;Times;Serif"/>
          <w:b w:val="false"/>
          <w:i w:val="false"/>
          <w:caps w:val="false"/>
          <w:smallCaps w:val="false"/>
          <w:sz w:val="20"/>
        </w:rPr>
        <w:t>”. Trading price and volume information for the Company’s securities will be provided as required in each prospectus supplement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EARNINGS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authorized capital of the Company consists of an unlimited number of Common Shares without par value and an unlimited number of preferred shares without par value. As of the date hereof, there are 277,684,000 Common Shares and no preferred shares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were: (i) 19,000,000 Common Shares issuable upon the exercise of outstanding stock options of the Company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xml:space="preserve">”)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privileges, restrictions and conditions attached to the preferred shares of the Company, the holders of the Common Shares are entitled to receive any dividends declared by the Company in respect of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of the Company do not give the holders any right to receive notice of or vote at general or special meetings of the Company. As of the date of this prospectus, no preferred shares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describing the debt securities, the terms “Company” and “Bitfarms” refer only to Bitfarms Ltd. without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one or more indentures (each, a “</w:t>
      </w:r>
      <w:r>
        <w:rPr>
          <w:rFonts w:ascii="Times New Roman;Times;Serif" w:hAnsi="Times New Roman;Times;Serif"/>
          <w:b/>
          <w:i w:val="false"/>
          <w:caps w:val="false"/>
          <w:smallCaps w:val="false"/>
          <w:sz w:val="20"/>
        </w:rPr>
        <w:t>Trust Indenture</w:t>
      </w:r>
      <w:r>
        <w:rPr>
          <w:rFonts w:ascii="Times New Roman;Times;Serif" w:hAnsi="Times New Roman;Times;Serif"/>
          <w:b w:val="false"/>
          <w:i w:val="false"/>
          <w:caps w:val="false"/>
          <w:smallCaps w:val="false"/>
          <w:sz w:val="20"/>
        </w:rPr>
        <w:t>”), in each case between the Company and a financial institution or trust company organized under the laws of Canada or any province thereof and authorized to carry on business as a trustee (each, a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prospectus supplement for debt securities supplementing this prospectus will contain the specific terms and other information with respect to the debt securities being offered thereby, including, but not limited to, the following:</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designation, aggregate principal amount and authorized denominations of such debt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percentage of principal amount at which the debt securities will be issued;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payment on the debt securities will be senior or subordinated to other liabilities or obligations of the Company;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the Company will pay principal, premium, if any, and interest, if any, and the place or places where debt securities can be presented for registration of transfer or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Company will be obligated to redeem or repurchase the debt securities pursuant to any sinking or purchase fund or other provisions, or at the option of a holder, and the terms and conditions of such redemption;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both"/>
              <w:rPr/>
            </w:pPr>
            <w:r>
              <w:rPr/>
              <w:t>●</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Company may redeem the debt securities at its option and the terms and conditions of any such redemption;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pPr>
            <w:r>
              <w:rPr/>
              <w:t>●</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Company will issue any registered and unregistered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pPr>
            <w:r>
              <w:rPr/>
              <w:t>●</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payments on the debt securities will be payable with reference to any index or formula;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as global securities (defined below) and, if so, the identity of the depositary (defined below) for the global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as unregistered securities (with or without coupons), registered securities or both;</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periods within which and the terms and conditions, if any, upon which the Company may redeem the debt securities prior to maturity and the price or prices of which, and the currency or currency units in which, the debt securities are payable;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5"/>
        <w:gridCol w:w="9833"/>
      </w:tblGrid>
      <w:tr>
        <w:trPr/>
        <w:tc>
          <w:tcPr>
            <w:tcW w:w="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events of default or covenants applicable to the debt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terms under which debt securities may be defeased, whether at or prior to maturity;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holders of any series of debt securities have special rights if specified events occur;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8"/>
        <w:gridCol w:w="9890"/>
      </w:tblGrid>
      <w:tr>
        <w:trPr/>
        <w:tc>
          <w:tcPr>
            <w:tcW w:w="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mandatory or optional redemption or sinking fund or analogous provisions;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for any conversion or exchange of the debt securities for any other securities of the Company;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5"/>
        <w:gridCol w:w="9563"/>
      </w:tblGrid>
      <w:tr>
        <w:trPr/>
        <w:tc>
          <w:tcPr>
            <w:tcW w:w="1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w:t>
            </w:r>
          </w:p>
        </w:tc>
        <w:tc>
          <w:tcPr>
            <w:tcW w:w="9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any transfer restrictions;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if any, on a change of control;</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as to modification, amendment or variation of any rights or terms attaching to the debt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under the Trust Indenture pursuant to which the debt securities are to be issued; whether the Company will undertake to list the debt securities of the series on any securities exchange or automated interdealer quotation system;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 and Other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Debt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 in Book Entry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debt securities of any series may be issued in whole or in part in the form of one or more global securities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registered in the name of a designated clearing agency (a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Times;Serif" w:hAnsi="Times New Roman;Times;Serif"/>
          <w:b/>
          <w:i w:val="false"/>
          <w:caps w:val="false"/>
          <w:smallCaps w:val="false"/>
          <w:sz w:val="20"/>
        </w:rPr>
        <w:t>Participants</w:t>
      </w:r>
      <w:r>
        <w:rPr>
          <w:rFonts w:ascii="Times New Roman;Times;Serif" w:hAnsi="Times New Roman;Times;Serif"/>
          <w:b w:val="false"/>
          <w:i w:val="false"/>
          <w:caps w:val="false"/>
          <w:smallCaps w:val="false"/>
          <w:sz w:val="20"/>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the applicable prospectus supplement, CDS Clearing and Depository Services Inc. or its successor will act as Depositary for any debt securities represented by a Global Security.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that will apply to any warrants for the purchase of Common Shares, or equity warrants, or for the purchase of debt securities, or 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relating to any warrants that we offer will describe the particular terms of those warrants and include specific terms relating to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equity warrants will be described in the applicable prospectus supplement. This description will include, where applicable:</w:t>
      </w:r>
    </w:p>
    <w:p>
      <w:pPr>
        <w:pStyle w:val="TextBody"/>
        <w:bidi w:val="0"/>
        <w:spacing w:before="0" w:after="0"/>
        <w:ind w:left="720" w:right="0" w:hanging="36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designation and aggregate number of equity warrants;</w:t>
            </w:r>
          </w:p>
        </w:tc>
      </w:tr>
    </w:tbl>
    <w:p>
      <w:pPr>
        <w:pStyle w:val="TextBody"/>
        <w:bidi w:val="0"/>
        <w:spacing w:before="0" w:after="0"/>
        <w:ind w:left="720" w:right="0" w:hanging="36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price at which the equity warrants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the currency or currencies in which the equity warrants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the equity warrants will commence and the date on which the right will expire;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Common Shares that may be purchased upon exercise of each equity warrant and the price at which and currency or currencies in which the Common Shares may be purchased upon exercise of each equity warrant;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of any provisions allowing or providing for adjustments in (i) the number and/or class of shares that may be purchased, (ii) the exercise price per share or (iii) the expiry of the equity warrants;</w:t>
            </w:r>
          </w:p>
        </w:tc>
      </w:tr>
    </w:tbl>
    <w:p>
      <w:pPr>
        <w:pStyle w:val="TextBody"/>
        <w:bidi w:val="0"/>
        <w:spacing w:before="0" w:after="0"/>
        <w:ind w:left="720" w:right="0" w:hanging="36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whether we will issue fractional shares;</w:t>
            </w:r>
          </w:p>
        </w:tc>
      </w:tr>
    </w:tbl>
    <w:p>
      <w:pPr>
        <w:pStyle w:val="TextBody"/>
        <w:bidi w:val="0"/>
        <w:spacing w:before="0" w:after="0"/>
        <w:ind w:left="720" w:right="0" w:hanging="36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pPr>
            <w:r>
              <w:rPr/>
              <w:t>whether we have applied to list the equity warrants or the underlying shares on a stock exchange;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any securities with which the equity warrants will be offered, if any, and the number of the equity warrants that will be offered with each security;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if any, on or after which the equity warrants and the related securities will be transferable separately;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equity warrants will be subject to redemption or call and, if so, the terms of such redemption or call provisions;</w:t>
            </w:r>
          </w:p>
        </w:tc>
      </w:tr>
    </w:tbl>
    <w:p>
      <w:pPr>
        <w:pStyle w:val="TextBody"/>
        <w:bidi w:val="0"/>
        <w:spacing w:before="0" w:after="0"/>
        <w:ind w:left="720" w:right="0" w:hanging="36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material Canadian federal income tax consequences of owning the equity warrants;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terms, procedures and limitations relating to the transferability, exchange or exercise of the equity warrants; and</w:t>
            </w:r>
          </w:p>
        </w:tc>
      </w:tr>
    </w:tbl>
    <w:p>
      <w:pPr>
        <w:pStyle w:val="TextBody"/>
        <w:bidi w:val="0"/>
        <w:spacing w:before="0" w:after="0"/>
        <w:ind w:left="720" w:right="0" w:hanging="36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any other material terms or conditions of the equity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will be described in the related prospectus supplement. This description will include, where applicable: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7"/>
        <w:gridCol w:w="9818"/>
      </w:tblGrid>
      <w:tr>
        <w:trPr/>
        <w:tc>
          <w:tcPr>
            <w:tcW w:w="7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w:t>
            </w:r>
          </w:p>
        </w:tc>
        <w:tc>
          <w:tcPr>
            <w:tcW w:w="9818" w:type="dxa"/>
            <w:tcBorders/>
            <w:vAlign w:val="center"/>
          </w:tcPr>
          <w:p>
            <w:pPr>
              <w:pStyle w:val="TableContents"/>
              <w:bidi w:val="0"/>
              <w:spacing w:before="0" w:after="283"/>
              <w:jc w:val="both"/>
              <w:rPr/>
            </w:pPr>
            <w:r>
              <w:rPr/>
              <w:t>the designation and aggregate number of debt warrants;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the price at which the debt warrants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the currency or currencies in which the debt warrants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any securities with which the debt warrants are being offered, if any, and the number of the debt warrants that will be offered with each security;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or dates, if any, on or after which the debt warrants and the related securities will be transferable separately;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debt warrants will commence and the date on which the right will expire;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the minimum or maximum amount of debt warrants that may be exercised at any one time;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warrants will be subject to redemption or call, and, if so, the terms of such redemption or call provisions;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material Canadian federal income tax consequences of owning the debt warrants;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whether we have applied to list the debt warrants or the underlying debt securities on an exchange;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terms, procedures and limitations relating to the transferability, exchange or exercise of the debt warrants;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both"/>
              <w:rPr/>
            </w:pPr>
            <w:r>
              <w:rPr/>
              <w:t>any other material terms or conditions of the debt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will not have any of the rights of holders of the securities subject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designation and aggregate number of units being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6"/>
        <w:gridCol w:w="9709"/>
      </w:tblGrid>
      <w:tr>
        <w:trPr/>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both"/>
              <w:rPr/>
            </w:pPr>
            <w:r>
              <w:rPr/>
              <w:t>the price at which the units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number and terms of the securities comprising the units and any agreement governing the units;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or dates, if any, on or after which the securities comprising the units will be transferable separately;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we will apply to list the units or any of the individual securities comprising the units on any exchange;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material Canadian income tax consequences of owning the units, including, how the purchase price paid for the units will be allocated among the securities comprising the units;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49"/>
        <w:gridCol w:w="9778"/>
      </w:tblGrid>
      <w:tr>
        <w:trPr/>
        <w:tc>
          <w:tcPr>
            <w:tcW w:w="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t>any other material terms or conditions of the units.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DESCRIPTION OF SUBSCRIPTION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receipts separately or in combination with one or more other securities, which will entitle holders thereof to receive, upon satisfaction of certain release conditions (the “</w:t>
      </w:r>
      <w:r>
        <w:rPr>
          <w:rFonts w:ascii="Times New Roman;Times;Serif" w:hAnsi="Times New Roman;Times;Serif"/>
          <w:b/>
          <w:i w:val="false"/>
          <w:caps w:val="false"/>
          <w:smallCaps w:val="false"/>
          <w:sz w:val="20"/>
        </w:rPr>
        <w:t>Release Conditions</w:t>
      </w:r>
      <w:r>
        <w:rPr>
          <w:rFonts w:ascii="Times New Roman;Times;Serif" w:hAnsi="Times New Roman;Times;Serif"/>
          <w:b w:val="false"/>
          <w:i w:val="false"/>
          <w:caps w:val="false"/>
          <w:smallCaps w:val="false"/>
          <w:sz w:val="20"/>
        </w:rPr>
        <w:t>”) and for no additional consideration, Common Shares, warrants, debt securities or any combination thereof. Subscription receipts will be issued pursuant to one or more subscription receipt agreements (each, a “</w:t>
      </w:r>
      <w:r>
        <w:rPr>
          <w:rFonts w:ascii="Times New Roman;Times;Serif" w:hAnsi="Times New Roman;Times;Serif"/>
          <w:b/>
          <w:i w:val="false"/>
          <w:caps w:val="false"/>
          <w:smallCaps w:val="false"/>
          <w:sz w:val="20"/>
        </w:rPr>
        <w:t>Subscription Receipt Agreement</w:t>
      </w:r>
      <w:r>
        <w:rPr>
          <w:rFonts w:ascii="Times New Roman;Times;Serif" w:hAnsi="Times New Roman;Times;Serif"/>
          <w:b w:val="false"/>
          <w:i w:val="false"/>
          <w:caps w:val="false"/>
          <w:smallCaps w:val="false"/>
          <w:sz w:val="20"/>
        </w:rPr>
        <w:t>”), the material terms of which will be described in the applicable prospectus supplement, each to be entered into between the Company and an escrow agent (the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the designation and aggregate number of subscription receipts being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t>the price at which the subscription receipts will be offered;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number and terms of the Common Shares, warrants and/or debt securities to be received by the holders of subscription receipts upon satisfaction of the Release Conditions, and any procedures that will result in the adjustment of those numbers;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Release Conditions that must be met in order for holders of subscription receipts to receive, for no additional consideration, the Common Shares, warrants and/or debt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procedures for the issuance and delivery of the Common Shares, warrants and/or debt securities to holders of subscription receipts upon satisfaction of the Release Conditions;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any payments will be made to holders of subscription receipts upon delivery of the Common Shares, warrants and/or debt securities upon satisfaction of the Release Conditions;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514"/>
        <w:gridCol w:w="9577"/>
      </w:tblGrid>
      <w:tr>
        <w:trPr/>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both"/>
              <w:rPr/>
            </w:pPr>
            <w:r>
              <w:rPr/>
              <w:t>the identity of the Escrow Agent;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conditions under which the Escrow Agent will hold all or a portion of the gross proceeds from the sale of subscription receipts, together with interest and income earned thereon (collectively, the “</w:t>
            </w:r>
            <w:r>
              <w:rPr>
                <w:b/>
              </w:rPr>
              <w:t>Escrowed Funds</w:t>
            </w:r>
            <w:r>
              <w:rPr/>
              <w:t>”), pending satisfaction of the Release Conditions;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conditions pursuant to which the Escrow Agent will hold the Common Shares, warrants and/or debt securities pending satisfaction of the Release Conditions;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conditions under which the Escrow Agent will release all or a portion of the Escrowed Funds to the Company upon satisfaction of the Release Conditions;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entitlement of Bitfarms to purchase the subscription receipts in the open market by private agreement or otherwise;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we will issue the subscription receipts as Global Securities and, if so, the identity of the Depositary for the Global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we will issue the subscription receipts as unregistered bearer securities, as registered securities or both;</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whether we will apply to list the subscription receipts on any exchange;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material Canadian federal income tax consequences of owning the subscription receipts;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pPr>
            <w:r>
              <w:rPr/>
              <w:t>any other material terms or conditions of the subscription receipts.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Holders of Subscription Receipts Prior to Satisfaction of Release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DESCRIPTION OF SHARE PURCHASE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 purchase contracts, representing contracts obligating holders to purchase from or sell to us a specified number of Common Shares, as applicable, at a future date or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the securities of the Company offered by this prospectus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with respect to the Company’s securities being offered will set forth the terms of the offering, including:</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t>the person offering the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the name or names of any underwriters, dealers or other placement agents;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pPr>
            <w:r>
              <w:rPr/>
              <w:t>the number and the purchase price of, and form of consideration for, our securities;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0"/>
        <w:gridCol w:w="9777"/>
      </w:tblGrid>
      <w:tr>
        <w:trPr/>
        <w:tc>
          <w:tcPr>
            <w:tcW w:w="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both"/>
              <w:rPr/>
            </w:pPr>
            <w:r>
              <w:rPr/>
              <w:t>any proceeds to the Company from such sale;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commissions, fees, discounts and other items constituting underwriters’, dealers’ or agents’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from time to time, relate to the offering of Common Shares by certain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Common Shares will be freely tradable in the hands of persons other than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CERTAIN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AUDITORS, 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registered public accounting firm of the Company is PricewaterhouseCoopers LLP at its offices located at PwC Centre, 354 Davis Road, Suite 600, Oakville, Ontario, Canada L6J 0C5.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of the Company is TSX Trust Company at its offices located at 100 Adelaide St W #301, Toronto, ON M5H 1S3.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AGENTS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directors and officers of the Company reside outside of Canada. Emiliano Joel Grodzki, Nicolas Bonta, Andres Finkielsztain, Edith M. Hofmeister, Benjamin Gagnon, and Jeffrey Lucas have appointed the following agents for service of process:</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1925"/>
        <w:gridCol w:w="120"/>
        <w:gridCol w:w="2420"/>
      </w:tblGrid>
      <w:tr>
        <w:trPr/>
        <w:tc>
          <w:tcPr>
            <w:tcW w:w="192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Name of Person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Name and Address of Agent</w:t>
            </w: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Emiliano Joel Grodzki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rFonts w:ascii="Times New Roman;Times;Serif" w:hAnsi="Times New Roman;Times;Serif"/>
                <w:sz w:val="20"/>
              </w:rPr>
              <w:t>Bitfarms Ltd.</w:t>
              <w:br/>
              <w:t>110 Yonge Street, Suite 1601</w:t>
              <w:br/>
              <w:t>Toronto, ON M5C 1T4</w:t>
            </w: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Nicolas Bonta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Andres Finkielsztain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Edith M. Hofmeister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Benjamin Gagnon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t xml:space="preserve">  </w:t>
            </w:r>
          </w:p>
        </w:tc>
      </w:tr>
      <w:tr>
        <w:trPr/>
        <w:tc>
          <w:tcPr>
            <w:tcW w:w="1925" w:type="dxa"/>
            <w:tcBorders/>
            <w:tcMar>
              <w:bottom w:w="0" w:type="dxa"/>
            </w:tcMar>
            <w:vAlign w:val="center"/>
          </w:tcPr>
          <w:p>
            <w:pPr>
              <w:pStyle w:val="TableContents"/>
              <w:bidi w:val="0"/>
              <w:spacing w:before="0" w:after="283"/>
              <w:jc w:val="left"/>
              <w:rPr/>
            </w:pPr>
            <w:r>
              <w:rPr>
                <w:rFonts w:ascii="Times New Roman;Times;Serif" w:hAnsi="Times New Roman;Times;Serif"/>
                <w:sz w:val="20"/>
              </w:rPr>
              <w:t>Jeffrey Lucas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420"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EXEMPTIONS UNDER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STATUTORY RIGHTS OF WITHDRAWAL AND RESCISSION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 44-102.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(Ontario), and is in addition to any other right or remedy available to original purchasers under section 130 of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(Ontario) or otherwise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TO BE DELIVERED TO OFFEREES OR</w:t>
        <w:br/>
        <w:t>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of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(a) 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(a) and (b) of this paragraph and was not judged by the court or other competent authority to have committed any fault or omitted to do anything that the individual ought to have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OBCA.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have been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79"/>
        <w:gridCol w:w="9461"/>
      </w:tblGrid>
      <w:tr>
        <w:trPr/>
        <w:tc>
          <w:tcPr>
            <w:tcW w:w="66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c>
          <w:tcPr>
            <w:tcW w:w="79" w:type="dxa"/>
            <w:tcBorders/>
            <w:tcMar>
              <w:bottom w:w="0" w:type="dxa"/>
            </w:tcMar>
            <w:vAlign w:val="center"/>
          </w:tcPr>
          <w:p>
            <w:pPr>
              <w:pStyle w:val="TableContents"/>
              <w:bidi w:val="0"/>
              <w:spacing w:before="0" w:after="283"/>
              <w:jc w:val="left"/>
              <w:rPr/>
            </w:pPr>
            <w:r>
              <w:rPr/>
              <w:t> </w:t>
            </w:r>
          </w:p>
        </w:tc>
        <w:tc>
          <w:tcPr>
            <w:tcW w:w="946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79" w:type="dxa"/>
            <w:tcBorders/>
            <w:shd w:fill="CCEEFF" w:val="clear"/>
            <w:tcMar>
              <w:bottom w:w="0" w:type="dxa"/>
            </w:tcMar>
            <w:vAlign w:val="center"/>
          </w:tcPr>
          <w:p>
            <w:pPr>
              <w:pStyle w:val="TableContents"/>
              <w:bidi w:val="0"/>
              <w:spacing w:before="0" w:after="283"/>
              <w:jc w:val="left"/>
              <w:rPr/>
            </w:pPr>
            <w:r>
              <w:rPr/>
              <w:t> </w:t>
            </w:r>
          </w:p>
        </w:tc>
        <w:tc>
          <w:tcPr>
            <w:tcW w:w="9461"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Annual Information Form for the year ended December 31, 2022, dated March 20, 2023 (incorporated by reference to Exhibit 99.1 to the Registrant’s Form 40-F filed with the SEC on March 21,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79" w:type="dxa"/>
            <w:tcBorders/>
            <w:shd w:fill="FFFFFF" w:val="clear"/>
            <w:tcMar>
              <w:bottom w:w="0" w:type="dxa"/>
            </w:tcMar>
            <w:vAlign w:val="center"/>
          </w:tcPr>
          <w:p>
            <w:pPr>
              <w:pStyle w:val="TableContents"/>
              <w:bidi w:val="0"/>
              <w:spacing w:before="0" w:after="283"/>
              <w:jc w:val="left"/>
              <w:rPr/>
            </w:pPr>
            <w:r>
              <w:rPr/>
              <w:t> </w:t>
            </w:r>
          </w:p>
        </w:tc>
        <w:tc>
          <w:tcPr>
            <w:tcW w:w="9461"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Consolidated Financial Statements as of and for the years ended December 31, 2022 and 2021, dated March 20, 2023 (incorporated by reference to Exhibit 99.2 to the Registrant’s Form 40-F filed with the SEC on March 21,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79" w:type="dxa"/>
            <w:tcBorders/>
            <w:shd w:fill="CCEEFF" w:val="clear"/>
            <w:tcMar>
              <w:bottom w:w="0" w:type="dxa"/>
            </w:tcMar>
            <w:vAlign w:val="center"/>
          </w:tcPr>
          <w:p>
            <w:pPr>
              <w:pStyle w:val="TableContents"/>
              <w:bidi w:val="0"/>
              <w:spacing w:before="0" w:after="283"/>
              <w:jc w:val="left"/>
              <w:rPr/>
            </w:pPr>
            <w:r>
              <w:rPr/>
              <w:t> </w:t>
            </w:r>
          </w:p>
        </w:tc>
        <w:tc>
          <w:tcPr>
            <w:tcW w:w="9461"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Management’s Discussion &amp; Analysis for the year ended December 31, 2022, dated March 20, 2023 (incorporated by reference to Exhibit 99.3 to the Registrant’s Form 40-F filed with the SEC on March 21,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4.4</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Notice of Annual General Meeting and Special Meeting of Shareholders &amp; Management Circular, dated April 24, 2023 (incorporated by reference to Exhibit 99.2 to the Registrant’s Form 6-K filed with the SEC on May 19,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t xml:space="preserve">4.5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10">
              <w:r>
                <w:rPr>
                  <w:rStyle w:val="InternetLink"/>
                </w:rPr>
                <w:t>Interim Condensed Consolidated Financial Statements for the three and nine months ended September 30, 2023, dated November 7, 2023 (incorporated by reference to Exhibit 99.1 to the Registrant’s Form 6-K filed with the SEC on November 7,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t xml:space="preserve">4.6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11">
              <w:r>
                <w:rPr>
                  <w:rStyle w:val="InternetLink"/>
                </w:rPr>
                <w:t>Management’s Discussion &amp; Analysis for the three and nine months ended September 30, 2023, dated November 7, 2023 (incorporated by reference to Exhibit 99.2 to the Registrant’s Form 6-K filed with the SEC on November 7,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4.7</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Material Change Report dated January 3, 2023 (incorporated by reference to Exhibit 99.1 to the Registrant’s Form 6-K filed with the SEC on January 3,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4.8</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Material Change Report dated January 13, 2023 (incorporated by reference to Exhibit 99.1 to the Registrant’s Form 6-K filed with the SEC on January 13,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4.9</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Material Change Report dated February 1, 2023 (incorporated by reference to Exhibit 99.1 to the Registrant’s Form 6-K filed with the SEC on February 1,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4.10</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Material Change Report dated February 9, 2023 (incorporated by reference to Exhibit 99.1 to the Registrant’s Form 6-K filed with the SEC on February 9,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4.11</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Material Change Report dated March 1, 2023 (incorporated by reference to Exhibit 99.1 to the Registrant’s Form 6-K filed with the SEC on March 1,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4.12</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Material Change Report dated March 21, 2023 (incorporated by reference to Exhibit 99.1 to the Registrant’s Form 6-K filed with the SEC on March 21,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4.13</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Material Change Report dated April 3, 2023 (incorporated by reference to Exhibit 99.1 to the Registrant’s Form 6-K filed with the SEC on April 3,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4.14</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Material Change Report dated April 11, 2023 (incorporated by reference to Exhibit 99.1 to the Registrant’s Form 6-K filed with the SEC on April 11,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4.15</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Material Change Report dated April 24, 2023 (incorporated by reference to Exhibit 99.1 to the Registrant’s Form 6-K filed with the SEC on April 24,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4.16</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Material Change Report dated April 28, 2023 (incorporated by reference to Exhibit 99.1 to the Registrant’s Form 6-K filed with the SEC on April 28,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4.17</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Material Change Report dated May 1, 2023 (incorporated by reference to Exhibit 99.1 to the Registrant’s Form 6-K filed with the SEC on May 1,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4.18</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Material Change Report dated May 1, 2023 (incorporated by reference to Exhibit 99.2 to the Registrant’s Form 6-K filed with the SEC on May 1, 2023 (File No. 001-40370)).</w:t>
              </w:r>
            </w:hyperlink>
            <w:r>
              <w:rPr/>
              <w:t xml:space="preserve"> </w:t>
            </w:r>
          </w:p>
        </w:tc>
      </w:tr>
      <w:tr>
        <w:trPr/>
        <w:tc>
          <w:tcPr>
            <w:tcW w:w="665"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4.19</w:t>
            </w:r>
            <w:r>
              <w:rPr/>
              <w:t xml:space="preserve"> </w:t>
            </w:r>
          </w:p>
        </w:tc>
        <w:tc>
          <w:tcPr>
            <w:tcW w:w="79" w:type="dxa"/>
            <w:tcBorders/>
            <w:shd w:fill="CCEEFF" w:val="clear"/>
            <w:tcMar>
              <w:bottom w:w="0" w:type="dxa"/>
            </w:tcMar>
            <w:vAlign w:val="center"/>
          </w:tcPr>
          <w:p>
            <w:pPr>
              <w:pStyle w:val="TableContents"/>
              <w:bidi w:val="0"/>
              <w:spacing w:before="0" w:after="283"/>
              <w:jc w:val="left"/>
              <w:rPr/>
            </w:pPr>
            <w:r>
              <w:rPr/>
              <w:t xml:space="preserve">  </w:t>
            </w:r>
          </w:p>
        </w:tc>
        <w:tc>
          <w:tcPr>
            <w:tcW w:w="9461"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Material Change Report dated May 8, 2023 (incorporated by reference to Exhibit 99.1 to the Registrant’s Form 6-K filed with the SEC on May 8, 2023 (File No. 001-40370)).</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4.20</w:t>
            </w:r>
            <w:r>
              <w:rPr/>
              <w:t xml:space="preserve"> </w:t>
            </w:r>
          </w:p>
        </w:tc>
        <w:tc>
          <w:tcPr>
            <w:tcW w:w="79" w:type="dxa"/>
            <w:tcBorders/>
            <w:shd w:fill="FFFFFF" w:val="clear"/>
            <w:tcMar>
              <w:bottom w:w="0" w:type="dxa"/>
            </w:tcMar>
            <w:vAlign w:val="center"/>
          </w:tcPr>
          <w:p>
            <w:pPr>
              <w:pStyle w:val="TableContents"/>
              <w:bidi w:val="0"/>
              <w:spacing w:before="0" w:after="283"/>
              <w:jc w:val="left"/>
              <w:rPr/>
            </w:pPr>
            <w:r>
              <w:rPr/>
              <w:t xml:space="preserve">  </w:t>
            </w:r>
          </w:p>
        </w:tc>
        <w:tc>
          <w:tcPr>
            <w:tcW w:w="9461"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Press Release dated May 15, 2023 (incorporated by reference to Exhibit 99.5 to the Registrant’s Form 6-K filed with the SEC on May 15, 2023 (File No. 001-40370)).</w:t>
              </w:r>
            </w:hyperlink>
            <w:r>
              <w:rPr/>
              <w:t xml:space="preserv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4"/>
        <w:gridCol w:w="88"/>
        <w:gridCol w:w="9583"/>
      </w:tblGrid>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4.21</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Material Change Report dated June 1, 2023 (incorporated by reference to Exhibit 99.1 to the Registrant’s Form 6-K filed with the SEC on June 1,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pPr>
            <w:r>
              <w:rPr>
                <w:rFonts w:ascii="Times New Roman;Times;Serif" w:hAnsi="Times New Roman;Times;Serif"/>
                <w:sz w:val="20"/>
              </w:rPr>
              <w:t>4.22</w:t>
            </w:r>
            <w:r>
              <w:rPr/>
              <w:t xml:space="preserve">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sz w:val="20"/>
                </w:rPr>
                <w:t>Material Change Report dated June 7, 2023 (incorporated by reference to Exhibit 99.1 to the Registrant’s Form 6-K filed with the SEC on June 8, 2023 (File No. 001-40370)).</w:t>
              </w:r>
            </w:hyperlink>
            <w:r>
              <w:rPr/>
              <w:t xml:space="preserve"> </w:t>
            </w:r>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4.23</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Material Change Report dated June 12, 2023 (incorporated by reference to Exhibit 99.1 to the Registrant’s Form 6-K filed with the SEC on June 12,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4.24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sz w:val="20"/>
                </w:rPr>
                <w:t>Material Change Report dated July 3, 2023 (incorporated by reference to Exhibit 99.1 to the Registrant’s Form 6-K filed with the SEC on July 3, 2023 (File No. 001-40370)).</w:t>
              </w:r>
            </w:hyperlink>
            <w:r>
              <w:rPr/>
              <w:t xml:space="preserve"> </w:t>
            </w:r>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4.25</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Material Change Report dated July 6, 2023 (incorporated by reference to Exhibit 99.1 to the Registrant’s Form 6-K filed with the SEC on July 6,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pPr>
            <w:r>
              <w:rPr>
                <w:rFonts w:ascii="Times New Roman;Times;Serif" w:hAnsi="Times New Roman;Times;Serif"/>
                <w:sz w:val="20"/>
              </w:rPr>
              <w:t>4.26</w:t>
            </w:r>
            <w:r>
              <w:rPr/>
              <w:t xml:space="preserve">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sz w:val="20"/>
                </w:rPr>
                <w:t>Material Change Report dated July 19, 2023 (incorporated by reference to Exhibit 99.1 to the Registrant’s Form 6-K filed with the SEC on July 19, 2023 (File No. 001-40370)).</w:t>
              </w:r>
            </w:hyperlink>
            <w:r>
              <w:rPr/>
              <w:t xml:space="preserve"> </w:t>
            </w:r>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4.27</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Material Change Report dated August 1, 2023 (incorporated by reference to Exhibit 99.1 to the Registrant’s Form 6-K filed with the SEC on August 1,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pPr>
            <w:r>
              <w:rPr/>
              <w:t xml:space="preserve">4.28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33">
              <w:r>
                <w:rPr>
                  <w:rStyle w:val="InternetLink"/>
                </w:rPr>
                <w:t xml:space="preserve">Material Change Report dated August 7, 2023 (incorporated by reference to Exhibit 99.1 to the Registrant’s Form 6-K filed with the SEC on August 7, 2023 (File No. 001-40370)). </w:t>
              </w:r>
            </w:hyperlink>
          </w:p>
        </w:tc>
      </w:tr>
      <w:tr>
        <w:trPr/>
        <w:tc>
          <w:tcPr>
            <w:tcW w:w="534" w:type="dxa"/>
            <w:tcBorders/>
            <w:shd w:fill="CCEEFF" w:val="clear"/>
            <w:vAlign w:val="center"/>
          </w:tcPr>
          <w:p>
            <w:pPr>
              <w:pStyle w:val="TableContents"/>
              <w:bidi w:val="0"/>
              <w:spacing w:before="0" w:after="283"/>
              <w:jc w:val="both"/>
              <w:rPr/>
            </w:pPr>
            <w:r>
              <w:rPr/>
              <w:t xml:space="preserve">4.29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34">
              <w:r>
                <w:rPr>
                  <w:rStyle w:val="InternetLink"/>
                </w:rPr>
                <w:t xml:space="preserve">Press Release dated August 8, 2023 (incorporated by reference to Exhibit 99.5 to the Registrant’s Form 6-K filed with the SEC on August 8, 2023 (File No. 001-40370)). </w:t>
              </w:r>
            </w:hyperlink>
          </w:p>
        </w:tc>
      </w:tr>
      <w:tr>
        <w:trPr/>
        <w:tc>
          <w:tcPr>
            <w:tcW w:w="534" w:type="dxa"/>
            <w:tcBorders/>
            <w:shd w:fill="FFFFFF" w:val="clear"/>
            <w:vAlign w:val="center"/>
          </w:tcPr>
          <w:p>
            <w:pPr>
              <w:pStyle w:val="TableContents"/>
              <w:bidi w:val="0"/>
              <w:spacing w:before="0" w:after="283"/>
              <w:jc w:val="both"/>
              <w:rPr/>
            </w:pPr>
            <w:r>
              <w:rPr/>
              <w:t xml:space="preserve">4.30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35">
              <w:r>
                <w:rPr>
                  <w:rStyle w:val="InternetLink"/>
                </w:rPr>
                <w:t>Material Change Report dated September 1, 2023 (incorporated by reference to Exhibit 99.1 to the Registrant’s Form 6-K filed with the SEC on September 1, 2023 (File No. 001-40370)).</w:t>
              </w:r>
            </w:hyperlink>
            <w:r>
              <w:rPr/>
              <w:t xml:space="preserve"> </w:t>
            </w:r>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4.31</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trike w:val="false"/>
                  <w:dstrike w:val="false"/>
                  <w:sz w:val="20"/>
                  <w:u w:val="none"/>
                  <w:effect w:val="none"/>
                </w:rPr>
                <w:t>Material Change Report dated October 2, 2023 (incorporated by reference to Exhibit 99.1 to the Registrant’s Form 6-K filed with the SEC on October 2,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pPr>
            <w:r>
              <w:rPr>
                <w:rFonts w:ascii="Times New Roman;Times;Serif" w:hAnsi="Times New Roman;Times;Serif"/>
                <w:sz w:val="20"/>
              </w:rPr>
              <w:t>4.32</w:t>
            </w:r>
            <w:r>
              <w:rPr/>
              <w:t xml:space="preserve">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strike w:val="false"/>
                  <w:dstrike w:val="false"/>
                  <w:sz w:val="20"/>
                  <w:u w:val="none"/>
                  <w:effect w:val="none"/>
                </w:rPr>
                <w:t>Material Change Report dated October 23, 2023 (incorporated by reference to Exhibit 99.1 to the Registrant’s Form 6-K filed with the SEC on October 23, 2023 (File No. 001-40370)).</w:t>
              </w:r>
            </w:hyperlink>
            <w:r>
              <w:rPr/>
              <w:t xml:space="preserve"> </w:t>
            </w:r>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4.33</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trike w:val="false"/>
                  <w:dstrike w:val="false"/>
                  <w:sz w:val="20"/>
                  <w:u w:val="none"/>
                  <w:effect w:val="none"/>
                </w:rPr>
                <w:t>Material Change Report dated November 1, 2023 (incorporated by reference to Exhibit 99.1 to the Registrant’s Form 6-K filed with the SEC on November 1, 2023 (File No. 001-40370)).</w:t>
              </w:r>
            </w:hyperlink>
            <w:r>
              <w:rPr/>
              <w:t xml:space="preserve"> </w:t>
            </w:r>
          </w:p>
        </w:tc>
      </w:tr>
      <w:tr>
        <w:trPr/>
        <w:tc>
          <w:tcPr>
            <w:tcW w:w="534" w:type="dxa"/>
            <w:tcBorders/>
            <w:shd w:fill="FFFFFF" w:val="clear"/>
            <w:vAlign w:val="center"/>
          </w:tcPr>
          <w:p>
            <w:pPr>
              <w:pStyle w:val="TableContents"/>
              <w:bidi w:val="0"/>
              <w:spacing w:before="0" w:after="283"/>
              <w:jc w:val="both"/>
              <w:rPr/>
            </w:pPr>
            <w:r>
              <w:rPr>
                <w:rFonts w:ascii="Times New Roman;Times;Serif" w:hAnsi="Times New Roman;Times;Serif"/>
                <w:sz w:val="20"/>
              </w:rPr>
              <w:t>4.34</w:t>
            </w:r>
            <w:r>
              <w:rPr/>
              <w:t xml:space="preserve"> </w:t>
            </w:r>
          </w:p>
        </w:tc>
        <w:tc>
          <w:tcPr>
            <w:tcW w:w="88" w:type="dxa"/>
            <w:tcBorders/>
            <w:shd w:fill="FFFFFF" w:val="clear"/>
            <w:vAlign w:val="center"/>
          </w:tcPr>
          <w:p>
            <w:pPr>
              <w:pStyle w:val="TableContents"/>
              <w:bidi w:val="0"/>
              <w:spacing w:before="0" w:after="283"/>
              <w:jc w:val="left"/>
              <w:rPr/>
            </w:pPr>
            <w:r>
              <w:rPr/>
              <w:t xml:space="preserve">  </w:t>
            </w:r>
          </w:p>
        </w:tc>
        <w:tc>
          <w:tcPr>
            <w:tcW w:w="9583"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strike w:val="false"/>
                  <w:dstrike w:val="false"/>
                  <w:sz w:val="20"/>
                  <w:u w:val="none"/>
                  <w:effect w:val="none"/>
                </w:rPr>
                <w:t>Material Change Report dated November 7, 2023 (incorporated by reference to Exhibit 99.5 to the Registrant’s Form 6-K filed with the SEC on November 7, 2023 (File No. 001-40370)).</w:t>
              </w:r>
            </w:hyperlink>
            <w:hyperlink r:id="rId40">
              <w:r>
                <w:rPr>
                  <w:rStyle w:val="InternetLink"/>
                </w:rPr>
                <w:t xml:space="preserve"> </w:t>
              </w:r>
            </w:hyperlink>
          </w:p>
        </w:tc>
      </w:tr>
      <w:tr>
        <w:trPr/>
        <w:tc>
          <w:tcPr>
            <w:tcW w:w="53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5.1* </w:t>
            </w:r>
          </w:p>
        </w:tc>
        <w:tc>
          <w:tcPr>
            <w:tcW w:w="88"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both"/>
              <w:rPr/>
            </w:pPr>
            <w:hyperlink w:anchor="ea187792ex5-1_bitfarms.htm">
              <w:r>
                <w:rPr>
                  <w:rStyle w:val="InternetLink"/>
                  <w:rFonts w:ascii="Times New Roman;Times;Serif" w:hAnsi="Times New Roman;Times;Serif"/>
                  <w:sz w:val="20"/>
                </w:rPr>
                <w:t>Consent of PricewaterhouseCoopers LLP.</w:t>
              </w:r>
            </w:hyperlink>
          </w:p>
        </w:tc>
      </w:tr>
      <w:tr>
        <w:trPr/>
        <w:tc>
          <w:tcPr>
            <w:tcW w:w="53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88"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both"/>
              <w:rPr/>
            </w:pPr>
            <w:hyperlink w:anchor="sig_001">
              <w:r>
                <w:rPr>
                  <w:rStyle w:val="InternetLink"/>
                  <w:rFonts w:ascii="Times New Roman;Times;Serif" w:hAnsi="Times New Roman;Times;Serif"/>
                  <w:sz w:val="20"/>
                </w:rPr>
                <w:t>Power of Attorney (included on the signature pages to this Registration Statement).</w:t>
              </w:r>
            </w:hyperlink>
          </w:p>
        </w:tc>
      </w:tr>
      <w:tr>
        <w:trPr/>
        <w:tc>
          <w:tcPr>
            <w:tcW w:w="53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88" w:type="dxa"/>
            <w:tcBorders/>
            <w:shd w:fill="CCEEFF" w:val="clear"/>
            <w:vAlign w:val="center"/>
          </w:tcPr>
          <w:p>
            <w:pPr>
              <w:pStyle w:val="TableContents"/>
              <w:bidi w:val="0"/>
              <w:spacing w:before="0" w:after="283"/>
              <w:jc w:val="left"/>
              <w:rPr/>
            </w:pPr>
            <w:r>
              <w:rPr/>
              <w:t> </w:t>
            </w:r>
          </w:p>
        </w:tc>
        <w:tc>
          <w:tcPr>
            <w:tcW w:w="9583"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Form of Senior Indenture (incorporated by reference to Exhibit 7.1 to the Registrant’s Form F-10 filed with the SEC on August 13, 2021 (File No. 333-258788)).</w:t>
              </w:r>
            </w:hyperlink>
          </w:p>
        </w:tc>
      </w:tr>
      <w:tr>
        <w:trPr/>
        <w:tc>
          <w:tcPr>
            <w:tcW w:w="53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w:t>
            </w:r>
          </w:p>
        </w:tc>
        <w:tc>
          <w:tcPr>
            <w:tcW w:w="88" w:type="dxa"/>
            <w:tcBorders/>
            <w:shd w:fill="FFFFFF" w:val="clear"/>
            <w:vAlign w:val="center"/>
          </w:tcPr>
          <w:p>
            <w:pPr>
              <w:pStyle w:val="TableContents"/>
              <w:bidi w:val="0"/>
              <w:spacing w:before="0" w:after="283"/>
              <w:jc w:val="left"/>
              <w:rPr/>
            </w:pPr>
            <w:r>
              <w:rPr/>
              <w:t> </w:t>
            </w:r>
          </w:p>
        </w:tc>
        <w:tc>
          <w:tcPr>
            <w:tcW w:w="9583"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sz w:val="20"/>
                </w:rPr>
                <w:t>Form of Subordinated Indenture (incorporated by reference to Exhibit 7.2 to the Registrant’s Form F-10 filed with the SEC on August 13, 2021 (File No. 333-258788)).</w:t>
              </w:r>
            </w:hyperlink>
          </w:p>
        </w:tc>
      </w:tr>
      <w:tr>
        <w:trPr/>
        <w:tc>
          <w:tcPr>
            <w:tcW w:w="534" w:type="dxa"/>
            <w:tcBorders/>
            <w:shd w:fill="CCEEFF" w:val="clear"/>
            <w:vAlign w:val="center"/>
          </w:tcPr>
          <w:p>
            <w:pPr>
              <w:pStyle w:val="TableContents"/>
              <w:bidi w:val="0"/>
              <w:spacing w:before="0" w:after="283"/>
              <w:jc w:val="both"/>
              <w:rPr/>
            </w:pPr>
            <w:r>
              <w:rPr>
                <w:rFonts w:ascii="Times New Roman;Times;Serif" w:hAnsi="Times New Roman;Times;Serif"/>
                <w:sz w:val="20"/>
              </w:rPr>
              <w:t>107**</w:t>
            </w:r>
            <w:r>
              <w:rPr/>
              <w:t xml:space="preserve"> </w:t>
            </w:r>
          </w:p>
        </w:tc>
        <w:tc>
          <w:tcPr>
            <w:tcW w:w="88" w:type="dxa"/>
            <w:tcBorders/>
            <w:shd w:fill="CCEEFF" w:val="clear"/>
            <w:vAlign w:val="center"/>
          </w:tcPr>
          <w:p>
            <w:pPr>
              <w:pStyle w:val="TableContents"/>
              <w:bidi w:val="0"/>
              <w:spacing w:before="0" w:after="283"/>
              <w:jc w:val="left"/>
              <w:rPr/>
            </w:pPr>
            <w:r>
              <w:rPr/>
              <w:t xml:space="preserve">  </w:t>
            </w:r>
          </w:p>
        </w:tc>
        <w:tc>
          <w:tcPr>
            <w:tcW w:w="9583"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sz w:val="20"/>
                </w:rPr>
                <w:t>Calculation of Filing Fee Table.</w:t>
              </w:r>
            </w:hyperlink>
            <w:r>
              <w:rPr/>
              <w:t xml:space="preserve"> </w:t>
            </w:r>
          </w:p>
        </w:tc>
      </w:tr>
    </w:tbl>
    <w:p>
      <w:pPr>
        <w:pStyle w:val="TextBody"/>
        <w:bidi w:val="0"/>
        <w:spacing w:before="0" w:after="0"/>
        <w:ind w:left="0" w:right="0" w:hanging="0"/>
        <w:jc w:val="center"/>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45"/>
        <w:gridCol w:w="330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or furnished to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 AND CONSENT TO SERVICE OF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Undertaking.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Consent to Service of Process.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Concurrently with the initial filing of this Registration Statement, the Registrant filed with the SEC a written irrevocable consent and power of attorney on Form F-X.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to the name or address of the Registrant’s agent for service shall be communicated promptly to the SEC by amendment to Form F-X referencing the file number of this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ig_001"/>
      <w:bookmarkEnd w:id="3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F-10 and has duly caused this Amendment No. 2 to this Registration Statement to be signed on its behalf by the undersigned, thereunto duly authorized, in the City of Toronto, Province of Ontario, Canada, on November 13, 2023. </w:t>
      </w:r>
    </w:p>
    <w:p>
      <w:pPr>
        <w:pStyle w:val="TextBody"/>
        <w:bidi w:val="0"/>
        <w:spacing w:before="0" w:after="0"/>
        <w:ind w:left="0" w:right="0" w:firstLine="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635"/>
        <w:gridCol w:w="309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 Geoffrey Morphy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 Geoffrey Morphy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or on behalf of the following persons in the capacities indicated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8730" w:type="dxa"/>
        <w:jc w:val="left"/>
        <w:tblInd w:w="0" w:type="dxa"/>
        <w:tblLayout w:type="fixed"/>
        <w:tblCellMar>
          <w:top w:w="0" w:type="dxa"/>
          <w:left w:w="0" w:type="dxa"/>
          <w:bottom w:w="28" w:type="dxa"/>
          <w:right w:w="0" w:type="dxa"/>
        </w:tblCellMar>
      </w:tblPr>
      <w:tblGrid>
        <w:gridCol w:w="2270"/>
        <w:gridCol w:w="120"/>
        <w:gridCol w:w="4535"/>
        <w:gridCol w:w="120"/>
        <w:gridCol w:w="1685"/>
      </w:tblGrid>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L. Geoffrey Morphy</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Executive Officer (Principal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L. Geoffrey Morphy</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President and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Jeffrey P. Lucas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Financial Officer (Principal Financial Officer and</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Jeffrey P. Lucas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Accounting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Nicolas Bonta*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Chairman of the Board and Founder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Nicolas Bonta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Emiliano Joel Grodzki*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 and Founder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Emiliano Joel Grodzki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Brian Howlett*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Lead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Brian Howlett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Andrés Finkielsztain*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Andrés Finkielsztain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r>
        <w:trPr/>
        <w:tc>
          <w:tcPr>
            <w:tcW w:w="227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27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Edith M. Hofmeister*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13, 2023 </w:t>
            </w:r>
          </w:p>
        </w:tc>
      </w:tr>
      <w:tr>
        <w:trPr/>
        <w:tc>
          <w:tcPr>
            <w:tcW w:w="2270" w:type="dxa"/>
            <w:tcBorders/>
            <w:tcMar>
              <w:bottom w:w="0" w:type="dxa"/>
            </w:tcMar>
            <w:vAlign w:val="center"/>
          </w:tcPr>
          <w:p>
            <w:pPr>
              <w:pStyle w:val="TableContents"/>
              <w:bidi w:val="0"/>
              <w:spacing w:before="0" w:after="283"/>
              <w:jc w:val="left"/>
              <w:rPr/>
            </w:pPr>
            <w:r>
              <w:rPr>
                <w:rFonts w:ascii="Times New Roman;Times;Serif" w:hAnsi="Times New Roman;Times;Serif"/>
                <w:sz w:val="20"/>
              </w:rPr>
              <w:t>Edith M. Hofmeister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5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485"/>
        <w:gridCol w:w="635"/>
        <w:gridCol w:w="3155"/>
        <w:gridCol w:w="135"/>
      </w:tblGrid>
      <w:tr>
        <w:trPr/>
        <w:tc>
          <w:tcPr>
            <w:tcW w:w="485" w:type="dxa"/>
            <w:tcBorders/>
            <w:vAlign w:val="center"/>
          </w:tcPr>
          <w:p>
            <w:pPr>
              <w:pStyle w:val="TableContents"/>
              <w:bidi w:val="0"/>
              <w:spacing w:before="0" w:after="283"/>
              <w:jc w:val="both"/>
              <w:rPr/>
            </w:pPr>
            <w:r>
              <w:rPr>
                <w:rFonts w:ascii="Times New Roman;Times;Serif" w:hAnsi="Times New Roman;Times;Serif"/>
                <w:sz w:val="20"/>
                <w:u w:val="single"/>
              </w:rPr>
              <w:t>*By </w:t>
            </w:r>
            <w:r>
              <w:rPr/>
              <w:t xml:space="preserve"> </w:t>
            </w:r>
          </w:p>
        </w:tc>
        <w:tc>
          <w:tcPr>
            <w:tcW w:w="3790" w:type="dxa"/>
            <w:gridSpan w:val="2"/>
            <w:tcBorders>
              <w:bottom w:val="single" w:sz="12"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u w:val="single"/>
              </w:rPr>
              <w:t xml:space="preserve">/s/ </w:t>
            </w:r>
            <w:r>
              <w:rPr>
                <w:rFonts w:ascii="Times New Roman;Times;Serif" w:hAnsi="Times New Roman;Times;Serif"/>
                <w:sz w:val="20"/>
              </w:rPr>
              <w:t>L. Geoffrey Morphy</w:t>
            </w:r>
            <w:r>
              <w:rPr/>
              <w:t xml:space="preserve"> </w:t>
            </w:r>
          </w:p>
        </w:tc>
        <w:tc>
          <w:tcPr>
            <w:tcW w:w="135" w:type="dxa"/>
            <w:tcBorders/>
            <w:vAlign w:val="center"/>
          </w:tcPr>
          <w:p>
            <w:pPr>
              <w:pStyle w:val="TableContents"/>
              <w:bidi w:val="0"/>
              <w:spacing w:before="0" w:after="283"/>
              <w:jc w:val="left"/>
              <w:rPr>
                <w:u w:val="single"/>
              </w:rPr>
            </w:pPr>
            <w:r>
              <w:rPr>
                <w:u w:val="single"/>
              </w:rPr>
              <w:t xml:space="preserve">  </w:t>
            </w:r>
          </w:p>
        </w:tc>
      </w:tr>
      <w:tr>
        <w:trPr/>
        <w:tc>
          <w:tcPr>
            <w:tcW w:w="485" w:type="dxa"/>
            <w:tcBorders/>
            <w:vAlign w:val="center"/>
          </w:tcPr>
          <w:p>
            <w:pPr>
              <w:pStyle w:val="TableContents"/>
              <w:bidi w:val="0"/>
              <w:spacing w:before="0" w:after="283"/>
              <w:jc w:val="left"/>
              <w:rPr>
                <w:u w:val="single"/>
              </w:rPr>
            </w:pPr>
            <w:r>
              <w:rPr>
                <w:u w:val="single"/>
              </w:rPr>
              <w:t xml:space="preserve">  </w:t>
            </w:r>
          </w:p>
        </w:tc>
        <w:tc>
          <w:tcPr>
            <w:tcW w:w="6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 xml:space="preserve">Name:  </w:t>
            </w:r>
          </w:p>
        </w:tc>
        <w:tc>
          <w:tcPr>
            <w:tcW w:w="3155" w:type="dxa"/>
            <w:tcBorders/>
            <w:vAlign w:val="center"/>
          </w:tcPr>
          <w:p>
            <w:pPr>
              <w:pStyle w:val="TableContents"/>
              <w:bidi w:val="0"/>
              <w:spacing w:before="0" w:after="283"/>
              <w:jc w:val="both"/>
              <w:rPr/>
            </w:pPr>
            <w:r>
              <w:rPr>
                <w:rFonts w:ascii="Times New Roman;Times;Serif" w:hAnsi="Times New Roman;Times;Serif"/>
                <w:sz w:val="20"/>
              </w:rPr>
              <w:t>L. Geoffrey Morphy</w:t>
            </w:r>
            <w:r>
              <w:rPr>
                <w:rFonts w:ascii="Times New Roman;Times;Serif" w:hAnsi="Times New Roman;Times;Serif"/>
                <w:sz w:val="20"/>
                <w:u w:val="single"/>
              </w:rPr>
              <w:t>: </w:t>
            </w:r>
            <w:r>
              <w:rPr>
                <w:rFonts w:ascii="Times New Roman;Times;Serif" w:hAnsi="Times New Roman;Times;Serif"/>
                <w:i/>
                <w:sz w:val="20"/>
                <w:u w:val="single"/>
              </w:rPr>
              <w:t>Attorney-in-fact</w:t>
            </w:r>
            <w:r>
              <w:rPr>
                <w:rFonts w:ascii="Times New Roman;Times;Serif" w:hAnsi="Times New Roman;Times;Serif"/>
                <w:sz w:val="20"/>
                <w:u w:val="single"/>
              </w:rPr>
              <w:t> </w:t>
            </w:r>
            <w:r>
              <w:rPr/>
              <w:t xml:space="preserve"> </w:t>
            </w:r>
          </w:p>
        </w:tc>
        <w:tc>
          <w:tcPr>
            <w:tcW w:w="135" w:type="dxa"/>
            <w:tcBorders/>
            <w:vAlign w:val="center"/>
          </w:tcPr>
          <w:p>
            <w:pPr>
              <w:pStyle w:val="TableContents"/>
              <w:bidi w:val="0"/>
              <w:spacing w:before="0" w:after="283"/>
              <w:jc w:val="left"/>
              <w:rPr>
                <w:u w:val="single"/>
              </w:rPr>
            </w:pPr>
            <w:r>
              <w:rPr>
                <w:u w:val="single"/>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Section 6(a) of the Securities Act of 1933, the undersigned has signed this Registration Statement, in the capacity of the duly authorized representative of the Registrant in the United States, on November 13, 2023. </w:t>
      </w:r>
    </w:p>
    <w:p>
      <w:pPr>
        <w:pStyle w:val="TextBody"/>
        <w:bidi w:val="0"/>
        <w:spacing w:before="0" w:after="0"/>
        <w:ind w:left="0" w:right="0" w:firstLine="720"/>
        <w:jc w:val="both"/>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338"/>
        <w:gridCol w:w="671"/>
        <w:gridCol w:w="2670"/>
      </w:tblGrid>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Cogency Global Inc.</w:t>
            </w:r>
          </w:p>
        </w:tc>
      </w:tr>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authorized representative for Bitfarms Ltd.</w:t>
            </w:r>
          </w:p>
        </w:tc>
      </w:tr>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4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Sr. Vice President on behalf of </w:t>
              <w:br/>
              <w:t>Cogency Global Inc.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31" w:name="ea187792ex5-1_bitfarms.htm"/>
      <w:bookmarkStart w:id="32" w:name="ksea187792ex51_bitfarms"/>
      <w:bookmarkEnd w:id="31"/>
      <w:bookmarkEnd w:id="32"/>
      <w:r>
        <w:rPr>
          <w:rFonts w:ascii="Times New Roman;Times;Serif" w:hAnsi="Times New Roman;Times;Serif"/>
          <w:b/>
          <w:i w:val="false"/>
          <w:caps w:val="false"/>
          <w:smallCaps w:val="false"/>
          <w:sz w:val="20"/>
        </w:rPr>
        <w:t>Exhibit 5.1</w:t>
      </w:r>
      <w:r>
        <w:rPr>
          <w:rFonts w:ascii="Times New Roman;Times;Serif" w:hAnsi="Times New Roman;Times;Serif"/>
          <w:b w:val="false"/>
          <w:i w:val="false"/>
          <w:caps w:val="false"/>
          <w:smallCaps w:val="false"/>
          <w:sz w:val="20"/>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90625" cy="1028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4"/>
                    <a:stretch>
                      <a:fillRect/>
                    </a:stretch>
                  </pic:blipFill>
                  <pic:spPr bwMode="auto">
                    <a:xfrm>
                      <a:off x="0" y="0"/>
                      <a:ext cx="1190625" cy="1028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2 to the Registration Statement on Form F-10 (No. 333-272989) of Bitfarms Ltd. (the Company) of our report dated March 20, 2023, relating to the consolidated financial statements, which appears in Exhibit 99.2 to the Company’s Annual Report on Form 40-F.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reference to us under the heading “Interests of Experts,” which appears in the Annual Information Form filed as Exhibit 99.1 of the Company’s Annual Report on Form 40-F, which is incorporated by reference in such Registration Statement.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PricewaterhouseCoopers LLP</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Oakville, Canada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PwC Centre, 354 Davis Road, Suite 600, Oakville, Ontario, Canada L6J 0C5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+1 905 815 6300, F: +1 905 815 6499, ca_oakville_main_fax@pwc.com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PwC” refers to PricewaterhouseCoopers LLP, an Ontario limited liability partnership.</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12477/000121390023021559/f40f2022ex99-1_bitfarmsltd.htm" TargetMode="External"/><Relationship Id="rId7" Type="http://schemas.openxmlformats.org/officeDocument/2006/relationships/hyperlink" Target="https://www.sec.gov/Archives/edgar/data/1812477/000121390023021559/f40f2022ex99-2_bitfarmsltd.htm" TargetMode="External"/><Relationship Id="rId8" Type="http://schemas.openxmlformats.org/officeDocument/2006/relationships/hyperlink" Target="https://www.sec.gov/Archives/edgar/data/1812477/000121390023021559/f40f2022ex99-3_bitfarmsltd.htm" TargetMode="External"/><Relationship Id="rId9" Type="http://schemas.openxmlformats.org/officeDocument/2006/relationships/hyperlink" Target="https://www.sec.gov/Archives/edgar/data/1812477/000121390023041512/ea178934ex99-2_bitfarms.htm" TargetMode="External"/><Relationship Id="rId10" Type="http://schemas.openxmlformats.org/officeDocument/2006/relationships/hyperlink" Target="http://www.sec.gov/Archives/edgar/data/1812477/000121390023084011/ea187624ex99-1_bitfarms.htm" TargetMode="External"/><Relationship Id="rId11" Type="http://schemas.openxmlformats.org/officeDocument/2006/relationships/hyperlink" Target="http://www.sec.gov/Archives/edgar/data/1812477/000121390023084011/ea187624ex99-2_bitfarms.htm" TargetMode="External"/><Relationship Id="rId12" Type="http://schemas.openxmlformats.org/officeDocument/2006/relationships/hyperlink" Target="https://www.sec.gov/Archives/edgar/data/1812477/000121390023000403/ea171151ex99-1_bitfarms.htm" TargetMode="External"/><Relationship Id="rId13" Type="http://schemas.openxmlformats.org/officeDocument/2006/relationships/hyperlink" Target="https://www.sec.gov/Archives/edgar/data/1812477/000121390023002773/ea171687ex99-1_bitfarms.htm" TargetMode="External"/><Relationship Id="rId14" Type="http://schemas.openxmlformats.org/officeDocument/2006/relationships/hyperlink" Target="https://www.sec.gov/Archives/edgar/data/1812477/000121390023006682/ea172528ex99-1_bitfarms.htm" TargetMode="External"/><Relationship Id="rId15" Type="http://schemas.openxmlformats.org/officeDocument/2006/relationships/hyperlink" Target="https://www.sec.gov/Archives/edgar/data/1812477/000121390023009743/ea173112ex99-1_bitfarms.htm" TargetMode="External"/><Relationship Id="rId16" Type="http://schemas.openxmlformats.org/officeDocument/2006/relationships/hyperlink" Target="https://www.sec.gov/Archives/edgar/data/1812477/000121390023016167/ea174493ex99-1_bitfarms.htm" TargetMode="External"/><Relationship Id="rId17" Type="http://schemas.openxmlformats.org/officeDocument/2006/relationships/hyperlink" Target="https://www.sec.gov/Archives/edgar/data/1812477/000121390023021549/ea175465ex99-1_bitfarms.htm" TargetMode="External"/><Relationship Id="rId18" Type="http://schemas.openxmlformats.org/officeDocument/2006/relationships/hyperlink" Target="https://www.sec.gov/Archives/edgar/data/1812477/000121390023026253/ea176357ex99-1_bitfarms.htm" TargetMode="External"/><Relationship Id="rId19" Type="http://schemas.openxmlformats.org/officeDocument/2006/relationships/hyperlink" Target="https://www.sec.gov/Archives/edgar/data/1812477/000121390023028839/ea176792ex99-1_bitfarms.htm" TargetMode="External"/><Relationship Id="rId20" Type="http://schemas.openxmlformats.org/officeDocument/2006/relationships/hyperlink" Target="https://www.sec.gov/Archives/edgar/data/1812477/000121390023032008/ea177381ex99-1_bitfarms.htm" TargetMode="External"/><Relationship Id="rId21" Type="http://schemas.openxmlformats.org/officeDocument/2006/relationships/hyperlink" Target="https://www.sec.gov/Archives/edgar/data/1812477/000121390023033854/ea177658ex99-1_bitfarmsltd.htm" TargetMode="External"/><Relationship Id="rId22" Type="http://schemas.openxmlformats.org/officeDocument/2006/relationships/hyperlink" Target="https://www.sec.gov/Archives/edgar/data/1812477/000121390023034787/ea177812ex99-1_bitfarmsltd.htm" TargetMode="External"/><Relationship Id="rId23" Type="http://schemas.openxmlformats.org/officeDocument/2006/relationships/hyperlink" Target="https://www.sec.gov/Archives/edgar/data/1812477/000121390023034787/ea177812ex99-2_bitfarmsltd.htm" TargetMode="External"/><Relationship Id="rId24" Type="http://schemas.openxmlformats.org/officeDocument/2006/relationships/hyperlink" Target="https://www.sec.gov/Archives/edgar/data/1812477/000121390023037331/ea178160ex99-1_bitfarms.htm" TargetMode="External"/><Relationship Id="rId25" Type="http://schemas.openxmlformats.org/officeDocument/2006/relationships/hyperlink" Target="https://www.sec.gov/Archives/edgar/data/1812477/000121390023039295/ea178185ex99-5_bitfarms.htm" TargetMode="External"/><Relationship Id="rId26" Type="http://schemas.openxmlformats.org/officeDocument/2006/relationships/hyperlink" Target="https://www.sec.gov/Archives/edgar/data/1812477/000121390023044991/ea179638ex99-1_bitfarmsltd.htm" TargetMode="External"/><Relationship Id="rId27" Type="http://schemas.openxmlformats.org/officeDocument/2006/relationships/hyperlink" Target="https://www.sec.gov/Archives/edgar/data/1812477/000121390023047239/ea179957ex99-1_bitfarms.htm" TargetMode="External"/><Relationship Id="rId28" Type="http://schemas.openxmlformats.org/officeDocument/2006/relationships/hyperlink" Target="https://www.sec.gov/Archives/edgar/data/1812477/000121390023048138/ea180173ex99-1_bitfarms.htm" TargetMode="External"/><Relationship Id="rId29" Type="http://schemas.openxmlformats.org/officeDocument/2006/relationships/hyperlink" Target="https://www.sec.gov/Archives/edgar/data/1812477/000121390023054110/ea181299ex99-1_bitfarms.htm" TargetMode="External"/><Relationship Id="rId30" Type="http://schemas.openxmlformats.org/officeDocument/2006/relationships/hyperlink" Target="https://www.sec.gov/Archives/edgar/data/1812477/000121390023055157/ea181444ex99-1_bitfarmsltd.htm" TargetMode="External"/><Relationship Id="rId31" Type="http://schemas.openxmlformats.org/officeDocument/2006/relationships/hyperlink" Target="http://www.sec.gov/Archives/edgar/data/1812477/000121390023058187/ea182020ex99-1_bitfarms.htm" TargetMode="External"/><Relationship Id="rId32" Type="http://schemas.openxmlformats.org/officeDocument/2006/relationships/hyperlink" Target="https://www.sec.gov/Archives/edgar/data/1812477/000121390023061919/ea182685ex99-1_bitfarms.htm" TargetMode="External"/><Relationship Id="rId33" Type="http://schemas.openxmlformats.org/officeDocument/2006/relationships/hyperlink" Target="http://www.sec.gov/Archives/edgar/data/1812477/000121390023064051/ea182988ex99-1_bitfarms.htm" TargetMode="External"/><Relationship Id="rId34" Type="http://schemas.openxmlformats.org/officeDocument/2006/relationships/hyperlink" Target="https://www.sec.gov/Archives/edgar/data/1812477/000121390023064235/ea182765ex99-5_bitfarms.htm" TargetMode="External"/><Relationship Id="rId35" Type="http://schemas.openxmlformats.org/officeDocument/2006/relationships/hyperlink" Target="http://www.sec.gov/Archives/edgar/data/1812477/000121390023073217/ea184607ex99-1_bitfarms.htm" TargetMode="External"/><Relationship Id="rId36" Type="http://schemas.openxmlformats.org/officeDocument/2006/relationships/hyperlink" Target="http://www.sec.gov/Archives/edgar/data/1812477/000101376223000423/ea186148ex99-1_bitfarms.htm" TargetMode="External"/><Relationship Id="rId37" Type="http://schemas.openxmlformats.org/officeDocument/2006/relationships/hyperlink" Target="http://www.sec.gov/Archives/edgar/data/1812477/000101376223005823/ea187122ex99-1_bitfarms.htm" TargetMode="External"/><Relationship Id="rId38" Type="http://schemas.openxmlformats.org/officeDocument/2006/relationships/hyperlink" Target="http://www.sec.gov/Archives/edgar/data/1812477/000121390023082158/ea187590ex99-1_bitfarms.htm" TargetMode="External"/><Relationship Id="rId39" Type="http://schemas.openxmlformats.org/officeDocument/2006/relationships/hyperlink" Target="http://www.sec.gov/Archives/edgar/data/1812477/000121390023084011/ea187624ex99-5_bitfarms.htm" TargetMode="External"/><Relationship Id="rId40" Type="http://schemas.openxmlformats.org/officeDocument/2006/relationships/hyperlink" Target="http://www.sec.gov/Archives/edgar/data/1812477/000121390023084011/ea187624ex99-5_bitfarms.htm" TargetMode="External"/><Relationship Id="rId41" Type="http://schemas.openxmlformats.org/officeDocument/2006/relationships/hyperlink" Target="https://www.sec.gov/Archives/edgar/data/1812477/000121390021042378/ea145070ex7-1_bitfarms.htm" TargetMode="External"/><Relationship Id="rId42" Type="http://schemas.openxmlformats.org/officeDocument/2006/relationships/hyperlink" Target="https://www.sec.gov/Archives/edgar/data/1812477/000121390021042378/ea145070ex7-2_bitfarms.htm" TargetMode="External"/><Relationship Id="rId43" Type="http://schemas.openxmlformats.org/officeDocument/2006/relationships/hyperlink" Target="http://www.sec.gov/Archives/edgar/data/1812477/000121390023079213/ea183322ex-fee_bitfarms.htm" TargetMode="External"/><Relationship Id="rId44" Type="http://schemas.openxmlformats.org/officeDocument/2006/relationships/image" Target="media/image5.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47341</Words>
  <Characters>259772</Characters>
  <CharactersWithSpaces>307811</CharactersWithSpaces>
  <Paragraphs>3008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