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12, 2024</w:t>
      </w:r>
    </w:p>
    <w:p>
      <w:pPr>
        <w:spacing w:after="0" w:line="19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Stronghold Digital Mining,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516"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001-40931</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86-2759890</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2940"/>
          </w:cols>
          <w:pgMar w:left="320" w:top="516" w:right="479" w:bottom="144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595 Madison Avenue, 28th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3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000"/>
          </w:cols>
          <w:pgMar w:left="320" w:top="516" w:right="479" w:bottom="1440" w:gutter="0" w:footer="0" w:header="0"/>
          <w:type w:val="continuous"/>
        </w:sectPr>
      </w:pP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(845) 579-5992</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216"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306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720" w:type="dxa"/>
            <w:vAlign w:val="bottom"/>
          </w:tcPr>
          <w:p>
            <w:pPr>
              <w:spacing w:after="0"/>
              <w:rPr>
                <w:sz w:val="18"/>
                <w:szCs w:val="18"/>
                <w:color w:val="auto"/>
              </w:rPr>
            </w:pPr>
          </w:p>
        </w:tc>
        <w:tc>
          <w:tcPr>
            <w:tcW w:w="212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w w:val="99"/>
              </w:rPr>
              <w:t>SDIG</w:t>
            </w:r>
          </w:p>
        </w:tc>
        <w:tc>
          <w:tcPr>
            <w:tcW w:w="680" w:type="dxa"/>
            <w:vAlign w:val="bottom"/>
          </w:tcPr>
          <w:p>
            <w:pPr>
              <w:spacing w:after="0"/>
              <w:rPr>
                <w:sz w:val="18"/>
                <w:szCs w:val="18"/>
                <w:color w:val="auto"/>
              </w:rPr>
            </w:pPr>
          </w:p>
        </w:tc>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3060" w:type="dxa"/>
            <w:vAlign w:val="bottom"/>
            <w:gridSpan w:val="2"/>
            <w:vMerge w:val="restart"/>
          </w:tcPr>
          <w:p>
            <w:pPr>
              <w:jc w:val="center"/>
              <w:ind w:right="1720"/>
              <w:spacing w:after="0"/>
              <w:rPr>
                <w:sz w:val="20"/>
                <w:szCs w:val="20"/>
                <w:color w:val="auto"/>
              </w:rPr>
            </w:pPr>
            <w:r>
              <w:rPr>
                <w:rFonts w:ascii="Times New Roman" w:cs="Times New Roman" w:eastAsia="Times New Roman" w:hAnsi="Times New Roman"/>
                <w:sz w:val="18"/>
                <w:szCs w:val="18"/>
                <w:color w:val="auto"/>
                <w:w w:val="99"/>
              </w:rPr>
              <w:t>share</w:t>
            </w:r>
          </w:p>
        </w:tc>
        <w:tc>
          <w:tcPr>
            <w:tcW w:w="72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3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1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Hosting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12, 2024, Stronghold Digital Mining Hosting, LLC (“Stronghold Hosting”), a Delaware limited liability company and indirect subsidiary of Stronghold Digital Mining, Inc., a Delaware corporation (the “Company”) entered into a Hosting Agreement (the “Hosting Agreement”) with Bitfarms Ltd., a corporation organized under the Business Corporations Act (Ontario) (“Bitfarms”), pursuant to which Bitfarms will deliver approximately 10,000 Bitmain T21 miners owned by Bitfarms (the “Bitfarms Miners”) to the Company’s Panther Creek mining facility, and the Company will provide power to, maintain, host and operate the Bitfarms Miners.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initial term of the Hosting Agreement will commence on October 1, 2024 and remain effective until December 31, 2025, after which it will automatically renew for additional one year periods unless either party provides written notice of non-renewal to the other party at least sixty days prior to the expiration of the then-current initial term or renewal term, as applicable. Upon the occurrence of an event of default that is not cured within fifteen days, the non-breaching party may terminate the Hosting Agreement.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Hosting Agreement, Bitfarms will pay Stronghold Hosting a monthly fee equal to fifty percent of the profit generated by the Bitfarms Miners, subject to certain monthly adjustments between the parties to account for the upfront monthly payment due from Bitfarms to Stronghold Hosting in an amount of $210,000 and for taxes and the net cost of power associated with the operation of the Bitfarms Miners.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Hosting Agreement, Bitfarms deposited with Stronghold Hosting $7.8 million (the “Deposit”), equal to the estimated cost of power for three months of operations of the Bitfarms Miners, which will be refundable in full to Bitfarms within one business day of the end of the initial term expiring on December 31, 2025. In addition, if the Merger Agreement (as defined below) is terminated and the Parent Termination Fee (as defined in the Merger Agreement) is payable by Bitfarms in connection with such termination, up to $5.0 million of the Deposit shall be refunded by way of a corresponding $5.0 million reduction in the amount of the Parent Termination Fee, payable in accordance with the Merger Agreement Amendment as described below (the “Parent Termination Fee Offset”). The Deposit will bear interest at a floating rate equal to the forward-looking term secured overnight financing rate as administered by CME Group Benchmark Administration Limited for the applicable interest period plus 1.0%, payable in kind on the last day of each calendar quarter by capitalizing and adding such interest to the then-outstanding amount of the Deposit. Upon the occurrence and during the continuance of an event of default under the Hosting Agreement, the principal of, and all accrued and unpaid interest on, the Deposit shall bear interest from the date of such event of default, until cured or waived, at a rate equal to 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Hosting Agreement is only a summary and does not purport to be complete and is qualified in its entirety by reference to the full text of the Hosting Agreement, a copy of which is filed as Exhibit 10.1 hereto and incorporated by reference herein.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Amendment No. 1 to Merger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12, 2024, the Company, Bitfarms, Backbone Mining Solutions LLC, a Delaware limited liability company and a wholly-owned, indirect subsidiary of Bitfarms (“BMS”), and HPC &amp; AI Megacorp, Inc., a Delaware corporation and a wholly-owned, direct subsidiary of BMS (“Merger Sub”) entered into Amendment No. 1 (the “Merger Agreement Amendment”) to the Agreement and Plan of Merger (the “Merger Agreement”), dated August 21, 2024, by and among the Company, Bitfarms, BMS and Merger Sub. The Merger Agreement Amendment revised the Merger Agreement to provide for the Parent Termination Fee Offset, require the consent of Bitfarms for any issuances of equity interests of the Company pursuant its at-the-market offering program, and amend certain representations and warranties of the Company.</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Amendment is only a summary and does not purport to be complete and is qualified in its entirety by reference to the full text of the Merger Agreement Amendment, a copy of which is filed as Exhibit 10.2 hereto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20" w:type="dxa"/>
            <w:vAlign w:val="bottom"/>
          </w:tcPr>
          <w:p>
            <w:pPr>
              <w:spacing w:after="0"/>
              <w:rPr>
                <w:sz w:val="18"/>
                <w:szCs w:val="18"/>
                <w:color w:val="auto"/>
              </w:rPr>
            </w:pPr>
          </w:p>
        </w:tc>
      </w:tr>
      <w:tr>
        <w:trPr>
          <w:trHeight w:val="245"/>
        </w:trPr>
        <w:tc>
          <w:tcPr>
            <w:tcW w:w="102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220" w:type="dxa"/>
            <w:vAlign w:val="bottom"/>
            <w:tcBorders>
              <w:bottom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700" w:type="dxa"/>
            <w:vAlign w:val="bottom"/>
          </w:tcPr>
          <w:p>
            <w:pPr>
              <w:spacing w:after="0"/>
              <w:rPr>
                <w:sz w:val="24"/>
                <w:szCs w:val="24"/>
                <w:color w:val="auto"/>
              </w:rPr>
            </w:pP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Hosting Agreement, dated as of September 12, 2024, by and between Stronghold Digital Mining Hosting, LLC and Bitfarms Ltd.</w:t>
            </w: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700" w:type="dxa"/>
            <w:vAlign w:val="bottom"/>
          </w:tcPr>
          <w:p>
            <w:pPr>
              <w:spacing w:after="0"/>
              <w:rPr>
                <w:sz w:val="24"/>
                <w:szCs w:val="24"/>
                <w:color w:val="auto"/>
              </w:rPr>
            </w:pP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No. 1 to Merger Agreement, dated as of September 12, 2024, by and among Stronghold Digital Mining, Inc., Bitfarms Ltd.,</w:t>
            </w:r>
          </w:p>
        </w:tc>
      </w:tr>
      <w:tr>
        <w:trPr>
          <w:trHeight w:val="237"/>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Backbone Mining Solutions LLC and HPC &amp; AI Megacorp, Inc.</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ind w:left="5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99"/>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federal securities laws, including Section 27A of the Securities Act of 1933, as amended, and Section 21E of the Securities Exchange Act of 1934, as amended. In this context, forward-looking statements often address future business and financial events, conditions, expectations, plans or ambitions, and often contain words such as “expect,” “anticipate,” “intend,” “plan,” “believe,” “seek,” “see,” “will,” “would,” “target,” similar expressions, and variations or negatives of these words, but not all forward-looking statements include such words. Forward-looking statements by their nature address matters that are, to different degrees, uncertain, such as statements about the consummation of the proposed transaction and the anticipated benefits thereof. All such forward-looking statements are based upon current plans, estimates, expectations and ambitions that are subject to risks, uncertainties and assumptions, many of which are beyond the control of Bitfarms and Stronghold, that could cause actual results to differ materially from those expressed in such forward-looking statements. Important risk factors that may cause such a difference include, but are not limited to: the risk that the Merger may not be completed on the anticipated terms in a timely manner or at all, which may adversely affect Stronghold’s business and the price of Class A Common Stock; the failure to satisfy any of the conditions to the consummation of the Merger, including obtaining required stockholder and regulatory approvals; potential litigation relating to the Merger that could be instituted against Stronghold, Bitfarms or their respective directors or officers, including the effects of any outcomes related thereto; the occurrence of any event, change or other circumstance that could give rise to the termination of the Merger Agreement, including in circumstances requiring Stronghold to pay a termination fee; the effect of the announcement or pendency of the Merger on Stronghold’s business relationships, operating results and business generally; the risk that the Merger disrupts Stronghold’s current plans and operations; Stronghold’s ability to retain and hire key personnel and maintain relationships with key business partners and customers, and others with whom it does business, in light of the Merger; potential adverse reactions or changes to business relationships resulting from the announcement or completion of the Merger; risks related to diverting management’s attention from Stronghold’s ongoing business operations; certain restrictions during the pendency of the Merger that may impact Stronghold’s ability to pursue certain business opportunities or strategic transactions; the possibility that the Merger may be more expensive to complete than anticipated, including as a result of unexpected factors or events; those risks described in Section 4.19 of Bitfarms’ Annual Information Form for the year ended December 31, 2023, filed with the SEC on March 7, 2024 as Exhibit 99.1 to Bitfarms’ Annual Report on Form 40-F, Section 19 of Bitfarms’ Management’s Discussion and Analysis for the year ended December 31, 2023, filed with the SEC on March 7, 2024 as Exhibit 99.3 to Bitfarms’ Annual Report on Form 40-F, Section 19 of Bitfarms’ Management’s Discussion and Analysis for the three and six months ended June 30, 2024, filed with the SEC on August 8, 2024 as Exhibit 99.2 to Bitfarms’ Current Report on Form 6-K, and subsequent reports on Form 6-K; those risks described in Item 1A of Stronghold’s Annual Report on Form 10-K, filed with the SEC on March 8, 2024, Item 1A of Stronghold’s Quarterly Report on Form 10-Q for the fiscal quarter ended March 31, 2024, filed with the SEC on May 8, 2024, Item 1A of Stronghold’s Quarterly Report on Form 10-Q for the fiscal quarter ended June 30, 2024, filed with the SEC on August 14, 2024, and subsequent reports on Forms 10-Q and 8-K; and those risks that will be described in the registration statement on Form F-4 and accompanying prospectus available from the sources indicated above.</w:t>
      </w:r>
    </w:p>
    <w:p>
      <w:pPr>
        <w:spacing w:after="0" w:line="203"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These risks, as well as other risks associated with the proposed transaction, will be more fully discussed in the proxy statement/prospectus that will be included in the registration statement on Form F-4 that will be filed with the SEC in connection with the proposed transaction. While the list of factors presented here is, and the list of factors to be presented in the registration statement on Form F-4 will be, considered representative, no such list should be considered to be a complete statement of all potential risks and uncertainties. Unlisted factors may present significant additional obstacles to the realization of forward-looking statements. We caution you not to place undue reliance on any of these forward-looking statements as they are not guarantees of future performance or outcomes and that actual performance and outcomes, including, without limitation, our actual results of operations, financial condition and liquidity, and the development of new markets or market segments in which we operate, may differ materially from those made in or suggested by the forward-looking statements contained in this communication. Neither Bitfarms nor Stronghold assumes any obligation to publicly provide revisions or updates to any forward-looking statements, whether as a result of new information, future developments or otherwise, should circumstances change, except as otherwise required by securities and other applicable laws. Neither future distribution of this communication nor the continued availability of this communication in archive form on Bitfarms’ or Stronghold’s website should be deemed to constitute an update or re-affirmation of these statements as of any future date.</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This communication relates to a proposed merger between Stronghold and Bitfarms. In connection with the proposed merger, Bitfarms intends to file with the U.S. Securities and Exchange Commission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w:t>
      </w:r>
      <w:r>
        <w:rPr>
          <w:rFonts w:ascii="Times New Roman" w:cs="Times New Roman" w:eastAsia="Times New Roman" w:hAnsi="Times New Roman"/>
          <w:sz w:val="18"/>
          <w:szCs w:val="18"/>
          <w:b w:val="1"/>
          <w:bCs w:val="1"/>
          <w:color w:val="auto"/>
        </w:rPr>
        <w:t>Investors are urged to read the proxy statement/prospectus (including all amendments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supplements thereto) and other relevant documents filed with the SEC carefully and in their entirety if and when they become available because they will contain important information about the proposed merger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117" w:right="9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Hosting Agreement</w:t>
      </w:r>
    </w:p>
    <w:p>
      <w:pPr>
        <w:spacing w:after="0" w:line="219" w:lineRule="exact"/>
        <w:rPr>
          <w:sz w:val="20"/>
          <w:szCs w:val="20"/>
          <w:color w:val="auto"/>
        </w:rPr>
      </w:pPr>
    </w:p>
    <w:p>
      <w:pPr>
        <w:ind w:right="400" w:firstLine="648"/>
        <w:spacing w:after="0" w:line="217" w:lineRule="auto"/>
        <w:rPr>
          <w:sz w:val="20"/>
          <w:szCs w:val="20"/>
          <w:color w:val="auto"/>
        </w:rPr>
      </w:pPr>
      <w:r>
        <w:rPr>
          <w:rFonts w:ascii="Times New Roman" w:cs="Times New Roman" w:eastAsia="Times New Roman" w:hAnsi="Times New Roman"/>
          <w:sz w:val="18"/>
          <w:szCs w:val="18"/>
          <w:color w:val="auto"/>
        </w:rPr>
        <w:t>THIS HOSTING AGREEMENT (this “Agreement”) is made this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2024 by and between Stronghold Digital Mining Hosting, LLC, a Delaware limited liability company (“Stronghold”) and Bitfarms Ltd. (“Bitfarms,” and, together with Stronghold, each a “Party” and, collectively, the “Parties”).</w:t>
      </w:r>
    </w:p>
    <w:p>
      <w:pPr>
        <w:spacing w:after="0" w:line="194"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Bitfarms owns the Bitfarms Equipment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“Bitcoin Miners” and the “PDUs”), and the Bitcoin Miners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PDUs will be delivered to Stronghold’s Panther Creek power plant located at 4 Dennison Road, Nesquehoning, Pennsylvania 18240 (“Panther Creek”) at Bitfarms’s sole cost and expense, and will be installed and operating at Panther Creek;</w:t>
      </w:r>
    </w:p>
    <w:p>
      <w:pPr>
        <w:spacing w:after="0" w:line="171"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Stronghold will maintain, host, and operate the Bitcoin Miners and PDUs on behalf of Bitfarms during the Term (as defined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terms and conditions set forth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defined terms set forth herein are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incorporated by reference herein;</w:t>
      </w:r>
    </w:p>
    <w:p>
      <w:pPr>
        <w:spacing w:after="0" w:line="22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promises set forth below, for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agree as follows:</w:t>
      </w:r>
    </w:p>
    <w:p>
      <w:pPr>
        <w:spacing w:after="0" w:line="15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w:t>
      </w:r>
    </w:p>
    <w:p>
      <w:pPr>
        <w:spacing w:after="0" w:line="229" w:lineRule="exact"/>
        <w:rPr>
          <w:rFonts w:ascii="Times New Roman" w:cs="Times New Roman" w:eastAsia="Times New Roman" w:hAnsi="Times New Roman"/>
          <w:sz w:val="18"/>
          <w:szCs w:val="18"/>
          <w:b w:val="1"/>
          <w:bCs w:val="1"/>
          <w:color w:val="auto"/>
        </w:rPr>
      </w:pPr>
    </w:p>
    <w:p>
      <w:pPr>
        <w:ind w:left="1300" w:right="2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auto"/>
        </w:rPr>
        <w:t>Installation and Facility Services</w:t>
      </w:r>
      <w:r>
        <w:rPr>
          <w:rFonts w:ascii="Times New Roman" w:cs="Times New Roman" w:eastAsia="Times New Roman" w:hAnsi="Times New Roman"/>
          <w:sz w:val="18"/>
          <w:szCs w:val="18"/>
          <w:color w:val="auto"/>
        </w:rPr>
        <w:t>. To the extent not previously installed, as soon as practicably possible following Stronghold’s receipt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the Bitcoin Miners and PDUs, Stronghold will provide racking infrastructure and install the Bitcoin Miners and PDUs. Stronghold covenants and agrees to supply electrical power and Internet access for the Bitcoin Miners and PDUs at Panther Creek. Notwithstanding the foregoing, Bitfarms agrees that Stronghold will not be liable for any delays in the hosting or installation of the Bitcoin Miners and PDUs unless such delays are caused by the gross negligence or willful misconduct of Stronghold. Bitfarms agrees that Stronghold may contract to sell capacity and energy to additional parties and may contract with third parties to provide similar services;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contracts do not breach or cause a breach under this Agreement.</w:t>
      </w:r>
    </w:p>
    <w:p>
      <w:pPr>
        <w:spacing w:after="0" w:line="188" w:lineRule="exact"/>
        <w:rPr>
          <w:rFonts w:ascii="Times New Roman" w:cs="Times New Roman" w:eastAsia="Times New Roman" w:hAnsi="Times New Roman"/>
          <w:sz w:val="18"/>
          <w:szCs w:val="18"/>
          <w:b w:val="1"/>
          <w:bCs w:val="1"/>
          <w:color w:val="auto"/>
        </w:rPr>
      </w:pPr>
    </w:p>
    <w:p>
      <w:pPr>
        <w:ind w:left="1300" w:right="16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Hosting Services</w:t>
      </w:r>
      <w:r>
        <w:rPr>
          <w:rFonts w:ascii="Times New Roman" w:cs="Times New Roman" w:eastAsia="Times New Roman" w:hAnsi="Times New Roman"/>
          <w:sz w:val="18"/>
          <w:szCs w:val="18"/>
          <w:color w:val="auto"/>
        </w:rPr>
        <w:t>. Upon delivery of the Bitcoin Miners and PDUs to Panther Creek, Stronghold agrees to unload, install, provision,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maintain, and operate the Bitcoin Miners and PDUs at Panther Creek as instructed in writing by Bitfarms, so long as such instruction is commercially reasonable. In the event that Bitfarms does not provide instruction in writing, Stronghold will use its commercially reasonable judgement in performing such services. Stronghold agrees to supply power, rack space, ambient cooling, and miner reboots, subject to other terms found in this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 w:name="page8"/>
    <w:bookmarkEnd w:id="7"/>
    <w:p>
      <w:pPr>
        <w:jc w:val="both"/>
        <w:ind w:left="1292"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u w:val="single" w:color="auto"/>
          <w:color w:val="auto"/>
        </w:rPr>
        <w:t>Mining</w:t>
      </w:r>
      <w:r>
        <w:rPr>
          <w:rFonts w:ascii="Times New Roman" w:cs="Times New Roman" w:eastAsia="Times New Roman" w:hAnsi="Times New Roman"/>
          <w:sz w:val="18"/>
          <w:szCs w:val="18"/>
          <w:color w:val="auto"/>
        </w:rPr>
        <w:t>. Subject to the terms hereof, Stronghold shall direct mined tokens derived from the operation of the Bitcoin Miners and PDUs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 wallet that is controlled by Bitfarms. Stronghold shall be granted view-only rights to the wallet that is controlled by Bitfarms. Bitfarms shall determine the pool to which the Bitcoin Miners’ and PDUs’ hashpower shall be directed.</w:t>
      </w:r>
    </w:p>
    <w:p>
      <w:pPr>
        <w:spacing w:after="0" w:line="176" w:lineRule="exact"/>
        <w:rPr>
          <w:sz w:val="20"/>
          <w:szCs w:val="20"/>
          <w:color w:val="auto"/>
        </w:rPr>
      </w:pPr>
    </w:p>
    <w:p>
      <w:pPr>
        <w:ind w:left="1292" w:right="60" w:hanging="647"/>
        <w:spacing w:after="0" w:line="282" w:lineRule="auto"/>
        <w:tabs>
          <w:tab w:leader="none" w:pos="1272"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u w:val="single" w:color="auto"/>
          <w:color w:val="auto"/>
        </w:rPr>
        <w:t>Identification</w:t>
      </w:r>
      <w:r>
        <w:rPr>
          <w:rFonts w:ascii="Times New Roman" w:cs="Times New Roman" w:eastAsia="Times New Roman" w:hAnsi="Times New Roman"/>
          <w:sz w:val="18"/>
          <w:szCs w:val="18"/>
          <w:color w:val="auto"/>
        </w:rPr>
        <w:t>. Bitfarms will ensure that all Bitcoin Miners and PDUs are labelled or otherwise marked such that Stronghold can identify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that Bitfarms is the owner of such Bitcoin Miners and PDUs.</w:t>
      </w:r>
    </w:p>
    <w:p>
      <w:pPr>
        <w:spacing w:after="0" w:line="162"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u w:val="single" w:color="auto"/>
          <w:color w:val="auto"/>
        </w:rPr>
        <w:t>Site Security</w:t>
      </w:r>
      <w:r>
        <w:rPr>
          <w:rFonts w:ascii="Times New Roman" w:cs="Times New Roman" w:eastAsia="Times New Roman" w:hAnsi="Times New Roman"/>
          <w:sz w:val="18"/>
          <w:szCs w:val="18"/>
          <w:color w:val="auto"/>
        </w:rPr>
        <w:t>. Stronghold will provide adequate and reasonable site security at Panther Creek in accordance with industry standards.</w:t>
      </w:r>
    </w:p>
    <w:p>
      <w:pPr>
        <w:spacing w:after="0" w:line="221" w:lineRule="exact"/>
        <w:rPr>
          <w:sz w:val="20"/>
          <w:szCs w:val="20"/>
          <w:color w:val="auto"/>
        </w:rPr>
      </w:pPr>
    </w:p>
    <w:p>
      <w:pPr>
        <w:ind w:left="652" w:hanging="652"/>
        <w:spacing w:after="0"/>
        <w:tabs>
          <w:tab w:leader="none" w:pos="65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rFonts w:ascii="Times New Roman" w:cs="Times New Roman" w:eastAsia="Times New Roman" w:hAnsi="Times New Roman"/>
          <w:sz w:val="18"/>
          <w:szCs w:val="18"/>
          <w:b w:val="1"/>
          <w:bCs w:val="1"/>
          <w:color w:val="auto"/>
        </w:rPr>
      </w:pPr>
    </w:p>
    <w:p>
      <w:pPr>
        <w:ind w:left="1292" w:right="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(the “Hosting Term”) shall commence on October 1, 2024, and shall remain effective until December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31, 2025. The term of this Agreement shall automatically renew for additional one (1) year periods (such renewal period(s), together with the Hosting Term, the “Term”) unless one party notifies the other in writing at least sixty (60) days prior to the conclusion of the then-current Term</w:t>
      </w:r>
    </w:p>
    <w:p>
      <w:pPr>
        <w:spacing w:after="0" w:line="180"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Termination; Exclusion of Certain Bitcoin Miners and PDUs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52" w:hanging="647"/>
        <w:spacing w:after="0" w:line="282" w:lineRule="auto"/>
        <w:tabs>
          <w:tab w:leader="none" w:pos="1932" w:val="left"/>
        </w:tabs>
        <w:rPr>
          <w:sz w:val="20"/>
          <w:szCs w:val="20"/>
          <w:color w:val="auto"/>
        </w:rPr>
      </w:pPr>
      <w:r>
        <w:rPr>
          <w:rFonts w:ascii="Times New Roman" w:cs="Times New Roman" w:eastAsia="Times New Roman" w:hAnsi="Times New Roman"/>
          <w:sz w:val="18"/>
          <w:szCs w:val="18"/>
          <w:color w:val="auto"/>
        </w:rPr>
        <w:t>2.2.1.</w:t>
        <w:tab/>
        <w:t>Solely upon the occurrence of an Event of Default that has not been cured (to the extent a cure is permissible) within fifteen (15) days under this Agreement, Stronghold or Bitfarms may terminate this Agreement.</w:t>
      </w:r>
    </w:p>
    <w:p>
      <w:pPr>
        <w:spacing w:after="0" w:line="162" w:lineRule="exact"/>
        <w:rPr>
          <w:sz w:val="20"/>
          <w:szCs w:val="20"/>
          <w:color w:val="auto"/>
        </w:rPr>
      </w:pPr>
    </w:p>
    <w:p>
      <w:pPr>
        <w:ind w:left="1952" w:right="40" w:hanging="656"/>
        <w:spacing w:after="0" w:line="253" w:lineRule="auto"/>
        <w:tabs>
          <w:tab w:leader="none" w:pos="19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shall constitute an “Event of Default” under this Agreement: failure by any Party to make payment on undisputed amounts when due; failure to maintain any Bitcoin Miner or PDU as required hereunder; a material breach of the representations and warranties contained in this Agreement; a material breach of any covenant or provision of this Agreement, a Party shall file a voluntary petition or commence a case in bankruptcy in a proceeding under any bankruptcy or insolvency law or seek relief under the provisions of any other insolvency, reorganization or similar law either now existing or that may in the future exist, providing for the winding up or termination of its existence as a limited liability company, or shall make a general assignment for the benefit of its creditors; and an involuntary petition or filing to commence a case or proceeding under any bankruptcy or insolvency law shall have been filed by any creditor of a Party (or other third-party with adequate standing to make such filing). Provided, however, that the events of default listed above shall not constitute an Event of Default to the extent cured within fifteen (15) days.</w:t>
      </w:r>
    </w:p>
    <w:p>
      <w:pPr>
        <w:spacing w:after="0" w:line="36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8" w:name="page9"/>
    <w:bookmarkEnd w:id="8"/>
    <w:p>
      <w:pPr>
        <w:ind w:left="840" w:right="60" w:hanging="656"/>
        <w:spacing w:after="0" w:line="272" w:lineRule="auto"/>
        <w:tabs>
          <w:tab w:leader="none" w:pos="8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Party, in good faith, disputes any payment called for herein, that Party shall submit to the other Party, by the due date, full payment of the undisputed portion of the payment, and written documentation identifying and substantiating the disputed amount. If Party does not report a dispute within fifteen (15) calendar days following the date when the payment is due to be paid, that Party shall have waived its right to dispute the invoice or charge. The Parties agree to use their respective commercially reasonable efforts to resolve any dispute within ten (10) days after a Party receives written notice of a dispute from the other Party. Any disputed amounts resolved in favor of Bitfarms shall be credited to the Actual Payment Amount due to or by Bitfarms for the next month following resolution of the dispute. Any disputed amounts resolved in favor of Stronghold shall be offset against the Actual Payment Amount due to or by Bitfarms for the next month following resolution of the dispute.</w:t>
      </w:r>
    </w:p>
    <w:p>
      <w:pPr>
        <w:spacing w:after="0" w:line="172" w:lineRule="exact"/>
        <w:rPr>
          <w:sz w:val="20"/>
          <w:szCs w:val="20"/>
          <w:color w:val="auto"/>
        </w:rPr>
      </w:pPr>
    </w:p>
    <w:p>
      <w:pPr>
        <w:jc w:val="both"/>
        <w:ind w:left="840" w:right="2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2.2.2.</w:t>
        <w:tab/>
        <w:t xml:space="preserve">This Agreement shall no longer apply to any Bitcoin Miner or PDU, and such Bitcoin Miner or PDU shall be excluded from any calculations used to determine any payments, profits or fees, that (i) is not in working order, (ii) is “Economically Obsolete” (as defined herein), or (iii) is removed and replaced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5.3.</w:t>
      </w:r>
    </w:p>
    <w:p>
      <w:pPr>
        <w:spacing w:after="0" w:line="176" w:lineRule="exact"/>
        <w:rPr>
          <w:sz w:val="20"/>
          <w:szCs w:val="20"/>
          <w:color w:val="auto"/>
        </w:rPr>
      </w:pPr>
    </w:p>
    <w:p>
      <w:pPr>
        <w:ind w:left="840" w:right="40" w:hanging="656"/>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“Economically Obsolete” shall mean when a Bitcoin Miner or PDU has an Implied Bitcoin Mining Revenue that is less than the Agreement Cost of Power for three (3) consecutive months or if a Bitcoin Miner or PDU is not in working order.</w:t>
      </w:r>
    </w:p>
    <w:p>
      <w:pPr>
        <w:spacing w:after="0" w:line="161" w:lineRule="exact"/>
        <w:rPr>
          <w:rFonts w:ascii="Times New Roman" w:cs="Times New Roman" w:eastAsia="Times New Roman" w:hAnsi="Times New Roman"/>
          <w:sz w:val="18"/>
          <w:szCs w:val="18"/>
          <w:color w:val="auto"/>
        </w:rPr>
      </w:pPr>
    </w:p>
    <w:p>
      <w:pPr>
        <w:ind w:left="840" w:hanging="656"/>
        <w:spacing w:after="0" w:line="25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 working order” means not functioning normally for more than thirty (30) consecutive days after Stronghold provides written notice to Bitfarms that a Bitcoin Miner or PDU is not functioning properly which written notice shall include calculations related to the performance of that Bitcoin Miner or PDU. Bitfarms shall have the right to replace that Bitcoin Miner or PDU with a replacement Bitcoin Miner or PDU or to repair that Bitcoin Miner or PDU to bring it to normal function. Stronghold shall hold a space at the Mining Facility for that Bitcoin Miner or PDU to be replaced or repaired for thirty (30) days after notice is given to Bitfarms.</w:t>
      </w:r>
    </w:p>
    <w:p>
      <w:pPr>
        <w:spacing w:after="0" w:line="187" w:lineRule="exact"/>
        <w:rPr>
          <w:rFonts w:ascii="Times New Roman" w:cs="Times New Roman" w:eastAsia="Times New Roman" w:hAnsi="Times New Roman"/>
          <w:sz w:val="18"/>
          <w:szCs w:val="18"/>
          <w:color w:val="auto"/>
        </w:rPr>
      </w:pPr>
    </w:p>
    <w:p>
      <w:pPr>
        <w:ind w:left="840" w:right="100" w:hanging="656"/>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Bitfarms shall have thirty (30) days to either (i) in the case of 2.2.2.1, provide a new Bitcoin Miner or PDU that is not Economically Obsolete; or (ii) in the case of 2.2.2.2, provide a replacement Bitcoin Miner or PDU or provide necessary spare parts to cure any defects in the applicable Bitcoin Miner or PDU.</w:t>
      </w:r>
    </w:p>
    <w:p>
      <w:pPr>
        <w:spacing w:after="0" w:line="175" w:lineRule="exact"/>
        <w:rPr>
          <w:rFonts w:ascii="Times New Roman" w:cs="Times New Roman" w:eastAsia="Times New Roman" w:hAnsi="Times New Roman"/>
          <w:sz w:val="18"/>
          <w:szCs w:val="18"/>
          <w:color w:val="auto"/>
        </w:rPr>
      </w:pPr>
    </w:p>
    <w:p>
      <w:pPr>
        <w:ind w:left="840" w:hanging="656"/>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 Bitcoin Miner or PDU is removed and replaced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5.3, this Agreement shall apply to the replacement Bitcoin Miner or PDU supplied by Bitfarms commencing upon delivery of such replacement Bitcoin Miner or PDU by Bitfarms to Stronghold at Panther Creek.</w:t>
      </w:r>
    </w:p>
    <w:p>
      <w:pPr>
        <w:spacing w:after="0" w:line="3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9" w:name="page10"/>
    <w:bookmarkEnd w:id="9"/>
    <w:p>
      <w:pPr>
        <w:ind w:left="180"/>
        <w:spacing w:after="0"/>
        <w:tabs>
          <w:tab w:leader="none" w:pos="82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u w:val="single" w:color="auto"/>
          <w:color w:val="auto"/>
        </w:rPr>
        <w:t>Additional Remedies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840" w:right="120" w:hanging="656"/>
        <w:spacing w:after="0" w:line="258"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Bitfarms fails to make any undisputed payment required hereunder and such payment failure has not been remedied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2.2.1 above, within thirty (30) days, then in addition to any other rights and remedies it may have, Stronghold shall have the right, with written notice to Bitfarms, to redirect mining revenue from the Bitcoin Miners and PDUs, or to collect 100% of electricity sales (or any combination thereof) for Stronghold’s sole account (such redirection of mining or electricity revenue shall be known as “Stronghold Self Operation”).</w:t>
      </w:r>
    </w:p>
    <w:p>
      <w:pPr>
        <w:spacing w:after="0" w:line="183" w:lineRule="exact"/>
        <w:rPr>
          <w:rFonts w:ascii="Times New Roman" w:cs="Times New Roman" w:eastAsia="Times New Roman" w:hAnsi="Times New Roman"/>
          <w:sz w:val="18"/>
          <w:szCs w:val="18"/>
          <w:color w:val="auto"/>
        </w:rPr>
      </w:pPr>
    </w:p>
    <w:p>
      <w:pPr>
        <w:ind w:left="840" w:hanging="656"/>
        <w:spacing w:after="0" w:line="254"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Stronghold’s Net Self Operation Income earned in the first thirty (30) days of Stronghold Self Operation equal or exceed 105% of the undisputed payment that Bitfarms failed to pay to Stronghold, the Parties shall consider Bitfarms’s failure to pay that undisputed amount to be cured. “Net Self Operation Income” is calculated as (x) the product of the gross revenues received by Stronghold during Stronghold Self Operation and the Bitfarms Share applicable during the month prior to Bitfarms’s failure to make an undisputed failure payment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product of the Total Cost and the Bitfarms Share applicable during the month prior to Bitfarms’s failure to make an undisputed failure payment. For the avoidance of doubt, once the non-payment of the undisputed amount is cured, Stronghold shall redirect the mining revenue as per the original terms of this Agreement, subject to </w:t>
      </w:r>
      <w:r>
        <w:rPr>
          <w:rFonts w:ascii="Times New Roman" w:cs="Times New Roman" w:eastAsia="Times New Roman" w:hAnsi="Times New Roman"/>
          <w:sz w:val="18"/>
          <w:szCs w:val="18"/>
          <w:u w:val="single" w:color="auto"/>
          <w:color w:val="auto"/>
        </w:rPr>
        <w:t>Section 2.2.3.4</w:t>
      </w:r>
      <w:r>
        <w:rPr>
          <w:rFonts w:ascii="Times New Roman" w:cs="Times New Roman" w:eastAsia="Times New Roman" w:hAnsi="Times New Roman"/>
          <w:sz w:val="18"/>
          <w:szCs w:val="18"/>
          <w:color w:val="auto"/>
        </w:rPr>
        <w:t xml:space="preserve"> below.</w:t>
      </w:r>
    </w:p>
    <w:p>
      <w:pPr>
        <w:spacing w:after="0" w:line="191" w:lineRule="exact"/>
        <w:rPr>
          <w:rFonts w:ascii="Times New Roman" w:cs="Times New Roman" w:eastAsia="Times New Roman" w:hAnsi="Times New Roman"/>
          <w:sz w:val="18"/>
          <w:szCs w:val="18"/>
          <w:color w:val="auto"/>
        </w:rPr>
      </w:pPr>
    </w:p>
    <w:p>
      <w:pPr>
        <w:ind w:left="840" w:right="100" w:hanging="656"/>
        <w:spacing w:after="0" w:line="258"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Stronghold not receive 105% of the undisputed payment that Bitfarms failed to make to Stronghold earned in the first thirty (30) days of Stronghold Self Operation, as calculated in </w:t>
      </w:r>
      <w:r>
        <w:rPr>
          <w:rFonts w:ascii="Times New Roman" w:cs="Times New Roman" w:eastAsia="Times New Roman" w:hAnsi="Times New Roman"/>
          <w:sz w:val="18"/>
          <w:szCs w:val="18"/>
          <w:u w:val="single" w:color="auto"/>
          <w:color w:val="auto"/>
        </w:rPr>
        <w:t>Section 2.2.3.2</w:t>
      </w:r>
      <w:r>
        <w:rPr>
          <w:rFonts w:ascii="Times New Roman" w:cs="Times New Roman" w:eastAsia="Times New Roman" w:hAnsi="Times New Roman"/>
          <w:sz w:val="18"/>
          <w:szCs w:val="18"/>
          <w:color w:val="auto"/>
        </w:rPr>
        <w:t>, then upon five (5) Business Days’ notice to Bitfarms, Stronghold may in its sole discretion, in additional to any other rights and remedies it may have, (a) reconfigure for Stronghold’s use, or (b) remove and store at Bitfarms’s expense, all or any portion of the Bitcoin Miners and PDUs without any cost, obligation or liability of Stronghold to Bitfarms until such undisputed payment owed by Bitfarms is made.</w:t>
      </w:r>
    </w:p>
    <w:p>
      <w:pPr>
        <w:spacing w:after="0" w:line="183" w:lineRule="exact"/>
        <w:rPr>
          <w:rFonts w:ascii="Times New Roman" w:cs="Times New Roman" w:eastAsia="Times New Roman" w:hAnsi="Times New Roman"/>
          <w:sz w:val="18"/>
          <w:szCs w:val="18"/>
          <w:color w:val="auto"/>
        </w:rPr>
      </w:pPr>
    </w:p>
    <w:p>
      <w:pPr>
        <w:ind w:left="840" w:right="40" w:hanging="656"/>
        <w:spacing w:after="0" w:line="272" w:lineRule="auto"/>
        <w:tabs>
          <w:tab w:leader="none" w:pos="8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Should Bitfarms fail to make more than one undisputed payment required hereunder and such second payment failure is not remedied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2.2.1 above, then, in addition to any other rights and remedies it may have, Stronghold shall have the right, in its sole discretion, with written notice to Bitfarms, to immediately (a) reconfigure for Stronghold’s use, or</w:t>
      </w:r>
    </w:p>
    <w:p>
      <w:pPr>
        <w:spacing w:after="0" w:line="1" w:lineRule="exact"/>
        <w:rPr>
          <w:rFonts w:ascii="Times New Roman" w:cs="Times New Roman" w:eastAsia="Times New Roman" w:hAnsi="Times New Roman"/>
          <w:sz w:val="17"/>
          <w:szCs w:val="17"/>
          <w:color w:val="auto"/>
        </w:rPr>
      </w:pPr>
    </w:p>
    <w:p>
      <w:pPr>
        <w:ind w:left="840" w:right="140"/>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remove and store at Bitfarms’s expense, all or any portion of the Bitcoin Miners and PDUs without any cost, obligation or liability of Stronghold to Bitfarms until such undisputed payment is made, without the obligation to comply with in Stronghold Self Operation or offset any unpaid amounts with any Stronghold Self Operation Income prior to taking such action.</w:t>
      </w:r>
    </w:p>
    <w:p>
      <w:pPr>
        <w:spacing w:after="0" w:line="34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 w:name="page11"/>
    <w:bookmarkEnd w:id="10"/>
    <w:p>
      <w:pPr>
        <w:ind w:left="640" w:right="6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Parties agree that in the event of a termination of this Agreement as provided for herein, neither Party shall have a duty or obligation to mitigate unless otherwise indicated in this Agreement.</w:t>
      </w:r>
    </w:p>
    <w:p>
      <w:pPr>
        <w:spacing w:after="0" w:line="162" w:lineRule="exact"/>
        <w:rPr>
          <w:sz w:val="20"/>
          <w:szCs w:val="20"/>
          <w:color w:val="auto"/>
        </w:rPr>
      </w:pPr>
    </w:p>
    <w:p>
      <w:pPr>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Access; Removal of Property</w:t>
      </w:r>
      <w:r>
        <w:rPr>
          <w:rFonts w:ascii="Times New Roman" w:cs="Times New Roman" w:eastAsia="Times New Roman" w:hAnsi="Times New Roman"/>
          <w:sz w:val="18"/>
          <w:szCs w:val="18"/>
          <w:color w:val="auto"/>
        </w:rPr>
        <w:t>. Upon the occurrence of an Event of Default, Bitfarms shall, upon written notice to Stronghold,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immediately have the right to access the Mining Facility during the Access Period (as defined herein) for the purpose of removing any of the Bitcoin Miners and PDUs from the Mining Facility at Bitfarms’s sole cost and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should the Access Period be tolled due to stay by the Court in a bankruptcy, insolvency or similar debtor proceeding, after any such stay is lifted, Bitfarms shall have any time that remained before the tolling to conclude the exercise of the rights and removal of the Bitcoin Miners and PDUs for the Access Period. Stronghold will not unreasonably withhold access to Panther Creek or otherwise obstruct the process of removing the Bitcoin Miners and PDUs. Should Bitfarms fail to remove the Bitcoin Miners and PDUs in the time provided above, Stronghold shall be permitted, at its sole discretion, to (i) operate the Bitcoin Miners and PDUs and keep 100% of the proceeds generated by the Bitcoin Miners and PDUs from the end of such period until the Bitcoin Miners and PDUs are actually removed or (ii) remove all Bitcoin Miners and PDUs and return them to Bitfarms, for which Bitfarms shall immediately reimburse Stronghold for its costs and expenses to do so, and Stronghold shall not have liability for the condition of the Bitcoin Miners and PDUs delivered to Bitfarms, so long as such Bitcoin Miners were maintained as specified herein and, with respect to the removal and return or storage of the Bitcoin Miners and PDUs, absent Stronghold’s gross negligence or willful misconduct in performing such tasks. As used herein, the term “Access Period” shall mean the period beginning on the date set forth in the written notice required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2.4 and ending on the earlier to occur of (i) ninety (90) days from the date set forth in Bitfarms’s notice of exercise or (ii) ninety (90) days after the expiration or earlier termination of this Agreement in accordance with its terms.</w:t>
      </w:r>
    </w:p>
    <w:p>
      <w:pPr>
        <w:spacing w:after="0" w:line="195" w:lineRule="exact"/>
        <w:rPr>
          <w:sz w:val="20"/>
          <w:szCs w:val="20"/>
          <w:color w:val="auto"/>
        </w:rPr>
      </w:pPr>
    </w:p>
    <w:p>
      <w:pPr>
        <w:ind w:left="1300" w:right="18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2.4.1.</w:t>
        <w:tab/>
        <w:t>During the exercise of Bitfarms’s rights pursuant hereto, Stronghold shall permit Bitfarms and its agents and nominees to gain access to Panther Creek and the Mining Facility for the purpose of enforcing its security interest in the Bitcoin Miners and PDUs, including, without limitation, protecting, removing, or disposing of or liquidating the Bitcoin Miners and PDUs.</w:t>
      </w:r>
    </w:p>
    <w:p>
      <w:pPr>
        <w:spacing w:after="0" w:line="17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color w:val="auto"/>
        </w:rPr>
        <w:t>Bitfarms shall have access to Panther Creek and the Mining Facility during the Access Period at no charge to Bitfarms.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Stronghold Waiver and Release</w:t>
      </w:r>
      <w:r>
        <w:rPr>
          <w:rFonts w:ascii="Times New Roman" w:cs="Times New Roman" w:eastAsia="Times New Roman" w:hAnsi="Times New Roman"/>
          <w:sz w:val="18"/>
          <w:szCs w:val="18"/>
          <w:color w:val="auto"/>
        </w:rPr>
        <w:t>. Stronghold hereby waives in favor of Bitfarms:</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21" w:right="359" w:bottom="1440" w:gutter="0" w:footer="0" w:header="0"/>
        </w:sectPr>
      </w:pPr>
    </w:p>
    <w:bookmarkStart w:id="11" w:name="page12"/>
    <w:bookmarkEnd w:id="11"/>
    <w:p>
      <w:pPr>
        <w:ind w:left="1952" w:right="280" w:hanging="647"/>
        <w:spacing w:after="0" w:line="282" w:lineRule="auto"/>
        <w:tabs>
          <w:tab w:leader="none" w:pos="1932" w:val="left"/>
        </w:tabs>
        <w:rPr>
          <w:sz w:val="20"/>
          <w:szCs w:val="20"/>
          <w:color w:val="auto"/>
        </w:rPr>
      </w:pPr>
      <w:r>
        <w:rPr>
          <w:rFonts w:ascii="Times New Roman" w:cs="Times New Roman" w:eastAsia="Times New Roman" w:hAnsi="Times New Roman"/>
          <w:sz w:val="18"/>
          <w:szCs w:val="18"/>
          <w:color w:val="auto"/>
        </w:rPr>
        <w:t>2.5.1.</w:t>
        <w:tab/>
        <w:t>all rights, if any, of distraint, levy and execution which Stronghold may now or hereafter have against the Bitcoin Miners and PDUs;</w:t>
      </w:r>
    </w:p>
    <w:p>
      <w:pPr>
        <w:spacing w:after="0" w:line="162" w:lineRule="exact"/>
        <w:rPr>
          <w:sz w:val="20"/>
          <w:szCs w:val="20"/>
          <w:color w:val="auto"/>
        </w:rPr>
      </w:pPr>
    </w:p>
    <w:p>
      <w:pPr>
        <w:ind w:left="1952" w:right="460" w:hanging="647"/>
        <w:spacing w:after="0" w:line="282" w:lineRule="auto"/>
        <w:tabs>
          <w:tab w:leader="none" w:pos="1932" w:val="left"/>
        </w:tabs>
        <w:rPr>
          <w:sz w:val="20"/>
          <w:szCs w:val="20"/>
          <w:color w:val="auto"/>
        </w:rPr>
      </w:pPr>
      <w:r>
        <w:rPr>
          <w:rFonts w:ascii="Times New Roman" w:cs="Times New Roman" w:eastAsia="Times New Roman" w:hAnsi="Times New Roman"/>
          <w:sz w:val="18"/>
          <w:szCs w:val="18"/>
          <w:color w:val="auto"/>
        </w:rPr>
        <w:t>2.5.2.</w:t>
        <w:tab/>
        <w:t>all statutory liens, security interests, or other liens, if any, which Stronghold may now have or hereafter have in the Bitcoin Miners and PDUs; and</w:t>
      </w:r>
    </w:p>
    <w:p>
      <w:pPr>
        <w:spacing w:after="0" w:line="162" w:lineRule="exact"/>
        <w:rPr>
          <w:sz w:val="20"/>
          <w:szCs w:val="20"/>
          <w:color w:val="auto"/>
        </w:rPr>
      </w:pPr>
    </w:p>
    <w:p>
      <w:pPr>
        <w:ind w:left="1952" w:right="300" w:hanging="647"/>
        <w:spacing w:after="0" w:line="282" w:lineRule="auto"/>
        <w:tabs>
          <w:tab w:leader="none" w:pos="1932" w:val="left"/>
        </w:tabs>
        <w:rPr>
          <w:sz w:val="20"/>
          <w:szCs w:val="20"/>
          <w:color w:val="auto"/>
        </w:rPr>
      </w:pPr>
      <w:r>
        <w:rPr>
          <w:rFonts w:ascii="Times New Roman" w:cs="Times New Roman" w:eastAsia="Times New Roman" w:hAnsi="Times New Roman"/>
          <w:sz w:val="18"/>
          <w:szCs w:val="18"/>
          <w:color w:val="auto"/>
        </w:rPr>
        <w:t>2.5.3.</w:t>
        <w:tab/>
        <w:t>all other interests or claims of every nature whatsoever, if any, which Stronghold may now or hereafter have in or against the Bitcoin Miners and PDUs for any rent, storage charges, or other sums due, or to become due, to Stronghold by Bitfarms.</w:t>
      </w:r>
    </w:p>
    <w:p>
      <w:pPr>
        <w:spacing w:after="0" w:line="162" w:lineRule="exact"/>
        <w:rPr>
          <w:sz w:val="20"/>
          <w:szCs w:val="20"/>
          <w:color w:val="auto"/>
        </w:rPr>
      </w:pPr>
    </w:p>
    <w:p>
      <w:pPr>
        <w:ind w:left="1292" w:right="60"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No Bitcoin Miners or PDUs Deemed Fixtures</w:t>
      </w:r>
      <w:r>
        <w:rPr>
          <w:rFonts w:ascii="Times New Roman" w:cs="Times New Roman" w:eastAsia="Times New Roman" w:hAnsi="Times New Roman"/>
          <w:sz w:val="18"/>
          <w:szCs w:val="18"/>
          <w:color w:val="auto"/>
        </w:rPr>
        <w:t>. The Bitcoin Miners and PDUs may be stored, used, or installed at the Mining Facility but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not be deemed a fixture or part of the real estate but rather at all times be deemed personal property, whether or not the Bitcoin Miners or PDUs become so related to Panther Creek and/or the Mining Facility that an interest therein arises under real estate law.</w:t>
      </w:r>
    </w:p>
    <w:p>
      <w:pPr>
        <w:spacing w:after="0" w:line="172" w:lineRule="exact"/>
        <w:rPr>
          <w:sz w:val="20"/>
          <w:szCs w:val="20"/>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Payment.</w:t>
      </w:r>
    </w:p>
    <w:p>
      <w:pPr>
        <w:spacing w:after="0" w:line="229" w:lineRule="exact"/>
        <w:rPr>
          <w:rFonts w:ascii="Times New Roman" w:cs="Times New Roman" w:eastAsia="Times New Roman" w:hAnsi="Times New Roman"/>
          <w:sz w:val="18"/>
          <w:szCs w:val="18"/>
          <w:b w:val="1"/>
          <w:bCs w:val="1"/>
          <w:color w:val="auto"/>
        </w:rPr>
      </w:pPr>
    </w:p>
    <w:p>
      <w:pPr>
        <w:ind w:left="1292" w:right="14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3.1.Before the first day of every calendar month during the Hosting Term, Bitfarms will pay to Stronghold $210,000 (the “Upfront Monthly Payment”) in immediately available cash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3.4.</w:t>
      </w:r>
    </w:p>
    <w:p>
      <w:pPr>
        <w:spacing w:after="0" w:line="161" w:lineRule="exact"/>
        <w:rPr>
          <w:rFonts w:ascii="Times New Roman" w:cs="Times New Roman" w:eastAsia="Times New Roman" w:hAnsi="Times New Roman"/>
          <w:sz w:val="18"/>
          <w:szCs w:val="18"/>
          <w:b w:val="1"/>
          <w:bCs w:val="1"/>
          <w:color w:val="auto"/>
        </w:rPr>
      </w:pPr>
    </w:p>
    <w:p>
      <w:pPr>
        <w:ind w:left="1292" w:right="20" w:hanging="648"/>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7"/>
          <w:szCs w:val="17"/>
          <w:color w:val="auto"/>
        </w:rPr>
        <w:t>As Bitcoins are mined by the Bitcoin Miners and PDUs, Bitfarms, through its mining pool, shall send earned rewards on a daily basis to a pool subaccount, in accordance with the full pay per share (“FPPS”) method. If there are significant deviations between the FPPS payout to Stronghold and the expected payout based on performance, Stronghold may request an audit with which Bitfarms shall cooperate.</w:t>
      </w:r>
    </w:p>
    <w:p>
      <w:pPr>
        <w:spacing w:after="0" w:line="1" w:lineRule="exact"/>
        <w:rPr>
          <w:rFonts w:ascii="Times New Roman" w:cs="Times New Roman" w:eastAsia="Times New Roman" w:hAnsi="Times New Roman"/>
          <w:sz w:val="18"/>
          <w:szCs w:val="18"/>
          <w:b w:val="1"/>
          <w:bCs w:val="1"/>
          <w:color w:val="auto"/>
        </w:rPr>
      </w:pPr>
    </w:p>
    <w:p>
      <w:pPr>
        <w:ind w:left="1292" w:right="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Subsequently, Bitfarms shall cause the mining pool to then transfer a quantity of Bitcoin, which will be calculated as the product of total earned rewards and the difference between 100% and the prevailing “Bitfarms Share” (as defined herein), to the designated wallet of Stronghold if the total earned rewards exceeds .01 BTC (the “Reward Limit”), except on the last day of each month, in which the Reward Limit is reduced to .001 BTC. For the avoidance of doubt, any partial BTC that is not paid to Stronghold on a certain day will be paid to Stronghold the next time BTC is paid to Stronghold;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Bitfarms’s minimum thresholds for pool subaccount pay-outs are met.</w:t>
      </w:r>
    </w:p>
    <w:p>
      <w:pPr>
        <w:spacing w:after="0" w:line="173" w:lineRule="exact"/>
        <w:rPr>
          <w:rFonts w:ascii="Times New Roman" w:cs="Times New Roman" w:eastAsia="Times New Roman" w:hAnsi="Times New Roman"/>
          <w:sz w:val="18"/>
          <w:szCs w:val="18"/>
          <w:b w:val="1"/>
          <w:bCs w:val="1"/>
          <w:color w:val="auto"/>
        </w:rPr>
      </w:pPr>
    </w:p>
    <w:p>
      <w:pPr>
        <w:ind w:left="129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3.3.Not later than twenty (21) days after the end of each month (the “True-up Date”), Stronghold shall provide to Bitfarms the calculations of the “Monthly Service Fees” (as defined herein) and the “Actual Payment Amount” (as defined herein). If the Actual Payment Amount is less than 0, Stronghold will deliver an invoice to Bitfarms for an amount equal to the Actual Payment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negative one, which Bitfarms will pay to Stronghold within five (5) Business Days of receiving the invoice. If the Actual Payment Amount is greater than 0, Stronghold will pay to Bitfarms an amount equal to the Actual Payment Amount within two (2) Business Days of the True-up Date.</w:t>
      </w:r>
    </w:p>
    <w:p>
      <w:pPr>
        <w:spacing w:after="0" w:line="3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2" w:name="page13"/>
    <w:bookmarkEnd w:id="12"/>
    <w:p>
      <w:pPr>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Stronghold and Bitfarms shall provide information regarding their fiat accounts and bitcoin public key addresses to be used for payments required hereunder via separate cover.</w:t>
      </w:r>
    </w:p>
    <w:p>
      <w:pPr>
        <w:spacing w:after="0" w:line="162" w:lineRule="exact"/>
        <w:rPr>
          <w:sz w:val="20"/>
          <w:szCs w:val="20"/>
          <w:color w:val="auto"/>
        </w:rPr>
      </w:pPr>
    </w:p>
    <w:p>
      <w:pPr>
        <w:ind w:left="640" w:right="12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 xml:space="preserve">All fees are exclusive of taxes, including, but not limited to, sales, use, transfer, privilege, excise, VAT, GST, consumption and other similar taxes, fees, duties, governmental assessments, impositions and levies imposed on the transaction in question (including, without limitation, access and use of the Bitcoin Miners and PDUs and the delivery of Services), all of which Bitfarms shall pay in full, or reimburse Stronghold for payments made on Bitfarms’s behalf;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Bitfarms shall not be liable for taxes arising from Stronghold’s income. Any payments due to Stronghold shall be accounted for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u w:val="single" w:color="auto"/>
          <w:color w:val="auto"/>
        </w:rPr>
        <w:t>Deposit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300" w:right="8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3.6.1.</w:t>
        <w:tab/>
        <w:t xml:space="preserve">Bitfarms will deposit with Stronghold simultaneously with the execution of this Agreement the sum of US$7,800,000.00 (the “Deposit”) (equal to US$70 per MW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50 MW and ninety-three (93) days (three (3) months) and twenty-four (24) hours), which Deposit (or remainder thereof following a refund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3.6.2), inclusive of any accrued and unpaid interest, shall be returned to Bitfarms within one (1) Business Day following the end of the Hosting Term.</w:t>
      </w:r>
    </w:p>
    <w:p>
      <w:pPr>
        <w:spacing w:after="0" w:line="180" w:lineRule="exact"/>
        <w:rPr>
          <w:sz w:val="20"/>
          <w:szCs w:val="20"/>
          <w:color w:val="auto"/>
        </w:rPr>
      </w:pPr>
    </w:p>
    <w:p>
      <w:pPr>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3.6.2.</w:t>
        <w:tab/>
        <w:t>Notwithstanding the foregoing, the parties acknowledge that if the Merger Agreement is terminated in accordance with its terms and the Parent Termination Fee (as defined in the Merger Agreement) is payable in connection with such termination, up to US$5,000,000.00 of the Deposit shall be immediately refunded by way of reduction of the Parent Termination Fee payable by Bitfarms in accordance with the Merger Agreement Amendment.</w:t>
      </w:r>
    </w:p>
    <w:p>
      <w:pPr>
        <w:spacing w:after="0" w:line="180" w:lineRule="exact"/>
        <w:rPr>
          <w:sz w:val="20"/>
          <w:szCs w:val="20"/>
          <w:color w:val="auto"/>
        </w:rPr>
      </w:pPr>
    </w:p>
    <w:p>
      <w:pPr>
        <w:jc w:val="right"/>
        <w:ind w:right="80"/>
        <w:spacing w:after="0" w:line="261" w:lineRule="auto"/>
        <w:rPr>
          <w:sz w:val="20"/>
          <w:szCs w:val="20"/>
          <w:color w:val="auto"/>
        </w:rPr>
      </w:pPr>
      <w:r>
        <w:rPr>
          <w:rFonts w:ascii="Times New Roman" w:cs="Times New Roman" w:eastAsia="Times New Roman" w:hAnsi="Times New Roman"/>
          <w:sz w:val="18"/>
          <w:szCs w:val="18"/>
          <w:color w:val="auto"/>
        </w:rPr>
        <w:t xml:space="preserve">3.7.    The Deposit shall bear interest at a rate per annum equal to the Interest Rate. Accrued interest on the Deposit shall be payable in arrears on each applicable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interest accrued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3.7 shall be payable on demand and</w:t>
      </w:r>
    </w:p>
    <w:p>
      <w:pPr>
        <w:ind w:left="640" w:right="80" w:firstLine="4"/>
        <w:spacing w:after="0" w:line="260" w:lineRule="auto"/>
        <w:tabs>
          <w:tab w:leader="none" w:pos="9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the Deposit is refunded to Bitfarms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3.6.1, accrued interest on the Deposit shall be payable on the date of such refund.</w:t>
      </w:r>
    </w:p>
    <w:p>
      <w:pPr>
        <w:spacing w:after="0" w:line="35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121" w:right="399" w:bottom="1440" w:gutter="0" w:footer="0" w:header="0"/>
        </w:sectPr>
      </w:pPr>
    </w:p>
    <w:bookmarkStart w:id="13" w:name="page14"/>
    <w:bookmarkEnd w:id="13"/>
    <w:p>
      <w:pPr>
        <w:ind w:left="1292" w:hanging="647"/>
        <w:spacing w:after="0" w:line="254" w:lineRule="auto"/>
        <w:tabs>
          <w:tab w:leader="none" w:pos="1272"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The accrued interest on the Deposit shall be due and payable in kind on each Interest Payment Date. Notwithstanding the foregoing or anything to the contrary contained herein, so long as no Event of Default has occurred and is continuing, on each date on which interest is to be paid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3.7, such interest shall be paid in kind on each such date by capitalizing and adding such interest to the then outstanding amount of the Deposit (“PIK Interest”) and any interest to be so capitalized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3.8 shall be capitalized on the relevant date provided for payment herein and added to the then outstanding amount of the Deposit so as to increase the amount of the Deposit, which Deposit amount shall be refunded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3.6. For purposes of this Agreement, from the date so capitalized, PIK Interest capitalized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3.8 shall bear interest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3.8 as if it had originally been part of the amount of the Deposit and all references herein to the amount of the Deposit shall include PIK Interest.</w:t>
      </w:r>
    </w:p>
    <w:p>
      <w:pPr>
        <w:spacing w:after="0" w:line="188" w:lineRule="exact"/>
        <w:rPr>
          <w:sz w:val="20"/>
          <w:szCs w:val="20"/>
          <w:color w:val="auto"/>
        </w:rPr>
      </w:pPr>
    </w:p>
    <w:p>
      <w:pPr>
        <w:ind w:left="1292" w:right="100" w:hanging="647"/>
        <w:spacing w:after="0" w:line="261" w:lineRule="auto"/>
        <w:tabs>
          <w:tab w:leader="none" w:pos="1272"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To the extent permitted by law and notwithstanding anything to the contrary in this Section 3, upon the occurrence and during the continuance of an Event of Default, the principal of, and all accrued and unpaid interest on, the Deposit shall bear interest, from the date such Event of Default occurred until the date such Event of Default is cured or waived in writing in accordance herewith, at a rate per annum equal at all times to 24.0%.</w:t>
      </w:r>
    </w:p>
    <w:p>
      <w:pPr>
        <w:spacing w:after="0" w:line="176" w:lineRule="exact"/>
        <w:rPr>
          <w:sz w:val="20"/>
          <w:szCs w:val="20"/>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w:t>
      </w:r>
    </w:p>
    <w:p>
      <w:pPr>
        <w:spacing w:after="0" w:line="229" w:lineRule="exact"/>
        <w:rPr>
          <w:rFonts w:ascii="Times New Roman" w:cs="Times New Roman" w:eastAsia="Times New Roman" w:hAnsi="Times New Roman"/>
          <w:sz w:val="18"/>
          <w:szCs w:val="18"/>
          <w:b w:val="1"/>
          <w:bCs w:val="1"/>
          <w:color w:val="auto"/>
        </w:rPr>
      </w:pPr>
    </w:p>
    <w:p>
      <w:pPr>
        <w:ind w:left="1292" w:right="20" w:hanging="648"/>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7"/>
          <w:szCs w:val="17"/>
          <w:u w:val="single" w:color="auto"/>
          <w:color w:val="auto"/>
        </w:rPr>
        <w:t>Access to Facilities</w:t>
      </w:r>
      <w:r>
        <w:rPr>
          <w:rFonts w:ascii="Times New Roman" w:cs="Times New Roman" w:eastAsia="Times New Roman" w:hAnsi="Times New Roman"/>
          <w:sz w:val="17"/>
          <w:szCs w:val="17"/>
          <w:color w:val="auto"/>
        </w:rPr>
        <w:t>. Other than as provided in</w:t>
      </w:r>
      <w:r>
        <w:rPr>
          <w:rFonts w:ascii="Times New Roman" w:cs="Times New Roman" w:eastAsia="Times New Roman" w:hAnsi="Times New Roman"/>
          <w:sz w:val="17"/>
          <w:szCs w:val="17"/>
          <w:u w:val="single" w:color="auto"/>
          <w:color w:val="auto"/>
        </w:rPr>
        <w:t xml:space="preserve"> Section </w:t>
      </w:r>
      <w:r>
        <w:rPr>
          <w:rFonts w:ascii="Times New Roman" w:cs="Times New Roman" w:eastAsia="Times New Roman" w:hAnsi="Times New Roman"/>
          <w:sz w:val="17"/>
          <w:szCs w:val="17"/>
          <w:color w:val="auto"/>
        </w:rPr>
        <w:t>2.4, Bitfarms shall not be permitted access to Panther Creek other than through a</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 xml:space="preserve">supervised tour and upon prior written notice to Stronghold no less than forty-eight (48) hours in advance and such access shall occur during normal business hours. Bitfarms may be permitted supervised access to Panther Creek to provide repairs to Bitcoin Miners and PDUs that are not in working order or “Economically Obsolete,” in accordance with 2.2.2 above, or to replace any Bitcoin Miner or PDU at the request of Bitfarms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5.3. Bitfarms will be solely responsible for any damage or loss caused by anyone acting for or on its behalf while at the Mining Facility except to the extent of any contributory negligence on the part of Stronghold.</w:t>
      </w:r>
    </w:p>
    <w:p>
      <w:pPr>
        <w:spacing w:after="0" w:line="172" w:lineRule="exact"/>
        <w:rPr>
          <w:rFonts w:ascii="Times New Roman" w:cs="Times New Roman" w:eastAsia="Times New Roman" w:hAnsi="Times New Roman"/>
          <w:sz w:val="18"/>
          <w:szCs w:val="18"/>
          <w:b w:val="1"/>
          <w:bCs w:val="1"/>
          <w:color w:val="auto"/>
        </w:rPr>
      </w:pPr>
    </w:p>
    <w:p>
      <w:pPr>
        <w:ind w:left="1292" w:right="6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auto"/>
        </w:rPr>
        <w:t>Hazardous Conditions</w:t>
      </w:r>
      <w:r>
        <w:rPr>
          <w:rFonts w:ascii="Times New Roman" w:cs="Times New Roman" w:eastAsia="Times New Roman" w:hAnsi="Times New Roman"/>
          <w:sz w:val="18"/>
          <w:szCs w:val="18"/>
          <w:color w:val="auto"/>
        </w:rPr>
        <w:t>. If, in the reasonable discretion of Stronghold, its employees, or its agents, any hazardous conditions arise 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from, or affecting Panther Creek, Stronghold is hereby authorized to suspend service under this Agreement for the affected site without subjecting Stronghold to any liability. Stronghold shall provide written notice of any such suspension of service to Bitfarms within a reasonable time. In the event of an emergency, and upon prior written notice to Bitfarms, Stronghold may rearrange, remove, or relocate Bitcoin Miners and PDUs without any liability to Bitfarms. For the avoidance of doubt, Bitfarms shall not be liable or responsible for any obligations under this Agreement during such period of suspended service.</w:t>
      </w:r>
    </w:p>
    <w:p>
      <w:pPr>
        <w:spacing w:after="0" w:line="187" w:lineRule="exact"/>
        <w:rPr>
          <w:rFonts w:ascii="Times New Roman" w:cs="Times New Roman" w:eastAsia="Times New Roman" w:hAnsi="Times New Roman"/>
          <w:sz w:val="18"/>
          <w:szCs w:val="18"/>
          <w:b w:val="1"/>
          <w:bCs w:val="1"/>
          <w:color w:val="auto"/>
        </w:rPr>
      </w:pPr>
    </w:p>
    <w:p>
      <w:pPr>
        <w:ind w:left="1292" w:right="2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u w:val="single" w:color="auto"/>
          <w:color w:val="auto"/>
        </w:rPr>
        <w:t>Intermittent Outages</w:t>
      </w:r>
      <w:r>
        <w:rPr>
          <w:rFonts w:ascii="Times New Roman" w:cs="Times New Roman" w:eastAsia="Times New Roman" w:hAnsi="Times New Roman"/>
          <w:sz w:val="18"/>
          <w:szCs w:val="18"/>
          <w:color w:val="auto"/>
        </w:rPr>
        <w:t>. Bitfarms acknowledges that Stronghold may curtail the Bitcoin Miners and PDUs upon the occurrence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continuation of a Force Majeure event, during outages for maintenance purposes, in the event Stronghold identifies a hazardous condition, or if Stronghold determines that it is in the best interest of, and more economical for, all Parties to the Agreement to sell power to the grid. Stronghold agrees to provide written notice to Bitfarms of any of the foregoing events, as specified in this Agreement.</w:t>
      </w:r>
    </w:p>
    <w:p>
      <w:pPr>
        <w:spacing w:after="0" w:line="35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14" w:name="page15"/>
    <w:bookmarkEnd w:id="14"/>
    <w:p>
      <w:pPr>
        <w:ind w:left="652" w:hanging="652"/>
        <w:spacing w:after="0"/>
        <w:tabs>
          <w:tab w:leader="none" w:pos="65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Relocation and Replacement of the Bitcoin Miners and PDUs.</w:t>
      </w:r>
    </w:p>
    <w:p>
      <w:pPr>
        <w:spacing w:after="0" w:line="229" w:lineRule="exact"/>
        <w:rPr>
          <w:rFonts w:ascii="Times New Roman" w:cs="Times New Roman" w:eastAsia="Times New Roman" w:hAnsi="Times New Roman"/>
          <w:sz w:val="18"/>
          <w:szCs w:val="18"/>
          <w:b w:val="1"/>
          <w:bCs w:val="1"/>
          <w:color w:val="auto"/>
        </w:rPr>
      </w:pPr>
    </w:p>
    <w:p>
      <w:pPr>
        <w:ind w:left="1292" w:right="2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auto"/>
        </w:rPr>
        <w:t>Relocation by Stronghold</w:t>
      </w:r>
      <w:r>
        <w:rPr>
          <w:rFonts w:ascii="Times New Roman" w:cs="Times New Roman" w:eastAsia="Times New Roman" w:hAnsi="Times New Roman"/>
          <w:sz w:val="18"/>
          <w:szCs w:val="18"/>
          <w:color w:val="auto"/>
        </w:rPr>
        <w:t>. Stronghold may, from time to time, relocate Bitcoin Miners and PDUs within Panther Creek to the extent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Stronghold reasonably determines that such relocation is necessary to protect the Bitcoin Miners and PDUs from hazardous conditions, due to commercially unacceptable interference (as defined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5.2), or to perform maintenance work on the Bitcoin Miners and PDUs. Stronghold agrees to provide written notice of any such relocation as soon as reasonably practical (or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5.2 for commercially unacceptable interference). Stronghold must receive prior written approval from Bitfarms to relocate the Bitcoin Miners and PDUs for any other reason. In any case, the site of relocation shall afford comparable environmental conditions for the Bitcoin Miners and PDUs, comparable accessibility to the Bitcoin Miners and PDUs, and comparable security conditions for the Bitcoin Miners and PDUs. Stronghold shall not arbitrarily or capriciously relocate the Bitcoin Miners and PDUs. If the Bitcoin Miners and PDUs are relocated according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5.1, the cost of relocating the Bitcoin Miners and PDUs shall be borne exclusively by Stronghold.</w:t>
      </w:r>
    </w:p>
    <w:p>
      <w:pPr>
        <w:spacing w:after="0" w:line="194" w:lineRule="exact"/>
        <w:rPr>
          <w:rFonts w:ascii="Times New Roman" w:cs="Times New Roman" w:eastAsia="Times New Roman" w:hAnsi="Times New Roman"/>
          <w:sz w:val="18"/>
          <w:szCs w:val="18"/>
          <w:b w:val="1"/>
          <w:bCs w:val="1"/>
          <w:color w:val="auto"/>
        </w:rPr>
      </w:pPr>
    </w:p>
    <w:p>
      <w:pPr>
        <w:ind w:left="1292"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8"/>
          <w:szCs w:val="18"/>
          <w:u w:val="single" w:color="auto"/>
          <w:color w:val="auto"/>
        </w:rPr>
        <w:t>Commercially Unacceptable Interference</w:t>
      </w:r>
      <w:r>
        <w:rPr>
          <w:rFonts w:ascii="Times New Roman" w:cs="Times New Roman" w:eastAsia="Times New Roman" w:hAnsi="Times New Roman"/>
          <w:sz w:val="18"/>
          <w:szCs w:val="18"/>
          <w:color w:val="auto"/>
        </w:rPr>
        <w:t>. If at any time any Bitcoin Miners and PDUs cause commercially unacceptable interference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equipment at Panther Creek and such interference cannot be cured within ten (10) days, Stronghold may, with prior written notice to Bitfarms, relocate such Bitcoin Miners and PDUs at Bitfarms’s sole expense. Interference as used herein means either (i) damages to Stronghold network infrastructure, (ii) damages to energy sources throughout Panther Creek, and/or (iii) significant negative impact on other miners’ hash rate performance or (iv) to other equipment, goods or material at Panther Creek</w:t>
      </w:r>
    </w:p>
    <w:p>
      <w:pPr>
        <w:spacing w:after="0" w:line="183" w:lineRule="exact"/>
        <w:rPr>
          <w:rFonts w:ascii="Times New Roman" w:cs="Times New Roman" w:eastAsia="Times New Roman" w:hAnsi="Times New Roman"/>
          <w:sz w:val="18"/>
          <w:szCs w:val="18"/>
          <w:b w:val="1"/>
          <w:bCs w:val="1"/>
          <w:color w:val="auto"/>
        </w:rPr>
      </w:pPr>
    </w:p>
    <w:p>
      <w:pPr>
        <w:ind w:left="1292" w:right="2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18"/>
          <w:szCs w:val="18"/>
          <w:u w:val="single" w:color="auto"/>
          <w:color w:val="auto"/>
        </w:rPr>
        <w:t>Equipment Removal and Replacement</w:t>
      </w:r>
      <w:r>
        <w:rPr>
          <w:rFonts w:ascii="Times New Roman" w:cs="Times New Roman" w:eastAsia="Times New Roman" w:hAnsi="Times New Roman"/>
          <w:sz w:val="18"/>
          <w:szCs w:val="18"/>
          <w:color w:val="auto"/>
        </w:rPr>
        <w:t>. During the Term or any renewal Term, Bitfarms shall have the right to replace Bitcoin Miners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PDUs at Panther Creek if Bitfarms reasonably determines that such replacement will be economically beneficial. For the avoidance of doubt, a replacement Bitcoin Miner will be deemed economically beneficial if such replacement Bitcoin Miner (i) has the same or higher hash rate capacity as the replaced Bitcoin Miner and (ii) has the same or better efficiency than the replaced Bitcoin Miners and PDUs. In that event, Stronghold agrees, at Bitfarms’s sole cost upon not less than thirty (30) Business Days’ notice, to remove the Bitcoin Miners and PDUs that are being replaced and arrange for the delivery of such removed Bitcoin Miners and PDUs to Bitfarms upon the delivery by Bitfarms of the replacement Bitcoin Miners and PDUs to Stronghold at Panther Creek.</w:t>
      </w:r>
    </w:p>
    <w:p>
      <w:pPr>
        <w:spacing w:after="0" w:line="360"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2"/>
          </w:cols>
          <w:pgMar w:left="328" w:top="117" w:right="439" w:bottom="1440" w:gutter="0" w:footer="0" w:header="0"/>
        </w:sectPr>
      </w:pPr>
    </w:p>
    <w:bookmarkStart w:id="15" w:name="page16"/>
    <w:bookmarkEnd w:id="15"/>
    <w:p>
      <w:pPr>
        <w:ind w:left="652" w:hanging="652"/>
        <w:spacing w:after="0"/>
        <w:tabs>
          <w:tab w:leader="none" w:pos="6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Bitfarms Responsibilities.</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Bitfarms acknowledges that Stronghold is not an insurer, and the Bitcoin Miners and PDUs in respect of which Bitfarms holds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title are not covered by any insurance policy held by Stronghold. Bitfarms is responsible for obtaining insurance coverage for such Bitcoin Miners and PDUs for up to the full replacement cost of the Bitcoin Miners and PDUs during the Hosting Term, and Bitfarms’s failure to maintain the insurance coverage as required by this provision shall be a material breach of this Agreement. Bitfarms shall assume responsibility for all costs related to damage to Stronghold’s personnel and/or property as a result of Bitfarms’s gross negligence. In respect of those Bitcoin Miners and PDUs covered by Bitfarms, Bitfarms’s insurance must be primary and non-contributory with respect to the Bitcoin Miners and PDUs and shall contain a waiver of subrogation clause in favor of Stronghold and shall name Stronghold as an additional insured.</w:t>
      </w:r>
    </w:p>
    <w:p>
      <w:pPr>
        <w:spacing w:after="0" w:line="191" w:lineRule="exact"/>
        <w:rPr>
          <w:rFonts w:ascii="Times New Roman" w:cs="Times New Roman" w:eastAsia="Times New Roman" w:hAnsi="Times New Roman"/>
          <w:sz w:val="18"/>
          <w:szCs w:val="18"/>
          <w:b w:val="1"/>
          <w:bCs w:val="1"/>
          <w:color w:val="auto"/>
        </w:rPr>
      </w:pPr>
    </w:p>
    <w:p>
      <w:pPr>
        <w:ind w:left="1292" w:right="2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8"/>
          <w:szCs w:val="18"/>
          <w:u w:val="single" w:color="auto"/>
          <w:color w:val="auto"/>
        </w:rPr>
        <w:t>Equipment in Good Working Order</w:t>
      </w:r>
      <w:r>
        <w:rPr>
          <w:rFonts w:ascii="Times New Roman" w:cs="Times New Roman" w:eastAsia="Times New Roman" w:hAnsi="Times New Roman"/>
          <w:sz w:val="18"/>
          <w:szCs w:val="18"/>
          <w:color w:val="auto"/>
        </w:rPr>
        <w:t>. Bitfarms represents and warrants that all Bitcoin Miners and PDUs delivered to Stronghold under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Agreement are functioning properly and suitable for use at the Mining Facility. To the extent that any Bitcoin Miner or PDU is deemed to be malfunctioning because that Bitcoin Miner or PDU fails to perform properly (“Nonconforming”), Bitfarms may direct Stronghold to attempt to repair that Nonconforming Bitcoin Miner or PDU with all spare parts to be provided by Bitfarms or may replace that Nonconforming Bitcoin Miner or PDU with a Replacement Bitcoin Miner or PDU provided at Bitfarms’s sole cost and expense. It is understood that Bitfarms is responsible for any costs associated with the troubleshooting and repair of Nonconforming Bitcoin Miners and PDUs including labor, parts and replacement of Nonconforming Bitcoin Miners or PDUs. Stronghold is not responsible in any way for installation delays or loss of profits as a result of Nonconforming Bitcoin Miners or PDUs. Once the Bitcoin Miners and PDUs are delivered by Bitfarms to Stronghold, confirmed by both Parties hereto to be in good working order, and installed and operational, Stronghold shall ensure the ongoing services as stated in this Agreement. For the avoidance of doubt, this provision shall not apply in the event any defect and/or unsuitability of use of the Bitcoin Miners or PDUs is caused by the gross negligence or willful misconduct of Stronghold.</w:t>
      </w:r>
    </w:p>
    <w:p>
      <w:pPr>
        <w:spacing w:after="0" w:line="189" w:lineRule="exact"/>
        <w:rPr>
          <w:rFonts w:ascii="Times New Roman" w:cs="Times New Roman" w:eastAsia="Times New Roman" w:hAnsi="Times New Roman"/>
          <w:sz w:val="18"/>
          <w:szCs w:val="18"/>
          <w:b w:val="1"/>
          <w:bCs w:val="1"/>
          <w:color w:val="auto"/>
        </w:rPr>
      </w:pPr>
    </w:p>
    <w:p>
      <w:pPr>
        <w:ind w:left="1292" w:right="6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Bitfarms’s use of Panther Creek and the Associated Equipment located at the Panther Creek shall conform to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applicable Law, including international Law, the Law of the jurisdictions in which Bitfarms is doing business and where Panther Creek is located. As used herein, “Law” means any law, statute, rule, protocol, procedure, exchange rule, tariff, decision, requirement, writ, order decree or judgement adopted by or any interpretation hereof by any court, government agency, regulatory body, instrumentality or any other entity, including an electric utility, retail electric provider, regional transmission organization or independent system operator. In the event that there is a new Law or a change in Law that causes Stronghold to directly or indirectly incur new or additional costs in connection with this Agreement, which cost exceeds more than $10,000 per month, Stronghold shall notify Bitfarms as soon as reasonably practicable, and Bitfarms shall have ten (10) days to decide whether to accept or reject such pass through costs. If Bitfarms rejects the pass through costs, then either Party may terminate this Agreement without incurring further liabilities or obligations to the other Party (notwithstanding obligations due prior to and up until the time where notice of termination is provided). If Bitfarms does not reject the pass through costs, then Stronghold may pass through such costs to Bitfarms without markup. Bitfarms shall timely cooperate in any audit or review of Bitfarms’s compliance with the terms hereof conducted by or on behalf of Stronghold, responding accurately and completely to all inquiries, and providing any requested documents.</w:t>
      </w:r>
    </w:p>
    <w:p>
      <w:pPr>
        <w:spacing w:after="0" w:line="3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6" w:name="page17"/>
    <w:bookmarkEnd w:id="16"/>
    <w:p>
      <w:pPr>
        <w:ind w:left="652" w:hanging="652"/>
        <w:spacing w:after="0"/>
        <w:tabs>
          <w:tab w:leader="none" w:pos="6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p>
    <w:p>
      <w:pPr>
        <w:spacing w:after="0" w:line="229" w:lineRule="exact"/>
        <w:rPr>
          <w:rFonts w:ascii="Times New Roman" w:cs="Times New Roman" w:eastAsia="Times New Roman" w:hAnsi="Times New Roman"/>
          <w:sz w:val="18"/>
          <w:szCs w:val="18"/>
          <w:b w:val="1"/>
          <w:bCs w:val="1"/>
          <w:color w:val="auto"/>
        </w:rPr>
      </w:pPr>
    </w:p>
    <w:p>
      <w:pPr>
        <w:ind w:left="1292" w:right="3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7.1.STRONGHOLD MAKES NO WARRANTIES OR GUARANTEES RELATED TO THE AVAILABILITY OF THE SERVICES OR THE OPERATING TEMPERATURE OF PANTHER CREEK. THE SERVICES AND THE MINING FACILITY PROVIDED BY STRONGHOLD ARE PROVIDED “AS IS.” STRONGHOLD DOES NOT PROVIDE MECHANICAL COOLING OR BACKUP POWER AND THE FACILITY IS SUBJECT TO SWINGS IN LOCAL TEMPERATURE, WIND, HUMIDITY, ETC. INTERNET ACCESS IS NOT REDUNDANT OR PROTECTED AND IS NOT GUARANTEED AT ALL TIMES.</w:t>
      </w:r>
    </w:p>
    <w:p>
      <w:pPr>
        <w:spacing w:after="0" w:line="183" w:lineRule="exact"/>
        <w:rPr>
          <w:rFonts w:ascii="Times New Roman" w:cs="Times New Roman" w:eastAsia="Times New Roman" w:hAnsi="Times New Roman"/>
          <w:sz w:val="18"/>
          <w:szCs w:val="18"/>
          <w:b w:val="1"/>
          <w:bCs w:val="1"/>
          <w:color w:val="auto"/>
        </w:rPr>
      </w:pPr>
    </w:p>
    <w:p>
      <w:pPr>
        <w:ind w:left="1292"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7.2.THE PARTIES HERETO MAKE NO WARRANTY WHATSOEVER, EXPRESS OR IMPLIED, INCLUDING, BUT NOT LIMITED TO, (A) WARRANTY OF MERCHANTABILITY; (B) WARRANTY OF FITNESS FOR A PARTICULAR PURPOSE; OR (C) NON-INFRINGEMENT; OR (D) WARRANTY AGAINST INTERFERENCE. STRONGHOLD DOES NOT WARRANT THAT (A) THE SERVICE SHALL BE AVAILABLE 24/7 OR FREE FROM INTERRUPTIONS; OR (B) THE SERVICE SHALL PROVIDE ANY FUNCTION NOT DESIGNATED HEREIN OR IN ANY OTHER DOCUMENTATION. STRONGHOLD DOES NOT WARRANT THAT THE ASSOCIATED EQUIPMENT SHALL MEET BITFARMS’S REQUIREMENTS OTHER THAN AS SET OUT HEREIN. STRONGHOLD DOES NOT WARRANT THAT THE SERVICES WILL BE UNINTERRUPTED, ERROR-FREE, OR COMPLETELY SECURE.</w:t>
      </w:r>
    </w:p>
    <w:p>
      <w:pPr>
        <w:spacing w:after="0" w:line="191" w:lineRule="exact"/>
        <w:rPr>
          <w:rFonts w:ascii="Times New Roman" w:cs="Times New Roman" w:eastAsia="Times New Roman" w:hAnsi="Times New Roman"/>
          <w:sz w:val="18"/>
          <w:szCs w:val="18"/>
          <w:b w:val="1"/>
          <w:bCs w:val="1"/>
          <w:color w:val="auto"/>
        </w:rPr>
      </w:pPr>
    </w:p>
    <w:p>
      <w:pPr>
        <w:ind w:left="1292" w:right="2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7.3.Bitfarms further acknowledges that cryptocurrency price movements, mining difficulty adjustments, blockchain network forks, blockchain network attacks, blockchain service interruptions, protocol functionality upgrades and modifications, changes in Law, and legal and regulatory risks (“External Risks”) could have a material adverse impact on the value of cryptocurrencies, cryptocurrency mining, the Bitcoin Miners and PDUs, and the Hosting Services. Each Party assumes responsibility for all respective External Risks, and further, each Party hereby disclaims all liability for any losses that may arise from the other Party as a result thereof, unless otherwise indicated in this Agreement.</w:t>
      </w:r>
    </w:p>
    <w:p>
      <w:pPr>
        <w:spacing w:after="0" w:line="35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17" w:name="page18"/>
    <w:bookmarkEnd w:id="17"/>
    <w:p>
      <w:pPr>
        <w:ind w:left="180" w:right="4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STRONGHOLD DOES NOT AND CANNOT CONTROL THE FLOW OF DATA TO OR FROM STRONGHOLD’S NETWORK AND OTHER PORTIONS OF THE INTERNET, OR ON ANY BLOCKCHAIN NETWORK. SUCH FLOW DEPENDS IN LARGE PART ON THE PERFORMANCE OF INTERNET SERVICES PROVIDED OR CONTROLLED BY THIRD PARTIES. AT TIMES, ACTIONS OR INACTIONS OF SUCH THIRD PARTIES CAN IMPAIR OR DISRUPT BITFARMS’S CONNECTIONS TO THE INTERNET (OR PORTIONS THEREOF). ALTHOUGH STRONGHOLD WILL USE COMMERCIALLY REASONABLE EFFORTS TO TAKE ALL ACTIONS IT DEEMS APPROPRIATE TO REMEDY AND AVOID SUCH EVENTS, STRONGHOLD CANNOT GUARANTEE THAT SUCH EVENTS WILL NOT OCCUR. ACCORDINGLY, STRONGHOLD DISCLAIMS ANY AND ALL LIABILITY RESULTING FROM OR RELATED TO SUCH EVENTS.</w:t>
      </w:r>
    </w:p>
    <w:p>
      <w:pPr>
        <w:spacing w:after="0" w:line="192" w:lineRule="exact"/>
        <w:rPr>
          <w:sz w:val="20"/>
          <w:szCs w:val="20"/>
          <w:color w:val="auto"/>
        </w:rPr>
      </w:pPr>
    </w:p>
    <w:p>
      <w:pPr>
        <w:ind w:left="180" w:right="40" w:hanging="647"/>
        <w:spacing w:after="0" w:line="268" w:lineRule="auto"/>
        <w:tabs>
          <w:tab w:leader="none" w:pos="16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EXCEPT FOR LIABILITIES ARISING OUT OF STRONGHOLD’S GROSS NEGLIGENCE OR WILLFUL MISCONDUCT, STRONGHOLD SHALL HAVE NO OBLIGATION, RESPONSIBILITY, OR LIABILITY FOR ANY OF THE FOLLOWING: (A) ANY INTERRUPTION OR DEFECTS IN THE BITCOIN MINERS OR PDUS CAUSED BY FACTORS OUTSIDE OF STRONGHOLD’S REASONABLE CONTROL; (B) AND LOSS, DELETION, OR CORRUPTION OF BITFARMS’S DATA OR FILES; (C) ANY LOST REVENUE OR PROFITS TO BITFARMS DURING NETWORK OR POWER OUTAGES, LIMITATIONS, OR CURTAILMENT, BITCOIN MINER OR PDU FAILURES, OR OTHER FACTORS OUTSIDE OF STRONGHOLD’S CONTROL;</w:t>
      </w:r>
    </w:p>
    <w:p>
      <w:pPr>
        <w:spacing w:after="0" w:line="5" w:lineRule="exact"/>
        <w:rPr>
          <w:sz w:val="20"/>
          <w:szCs w:val="20"/>
          <w:color w:val="auto"/>
        </w:rPr>
      </w:pPr>
    </w:p>
    <w:p>
      <w:pPr>
        <w:ind w:left="180" w:right="340" w:firstLine="4"/>
        <w:spacing w:after="0" w:line="255" w:lineRule="auto"/>
        <w:tabs>
          <w:tab w:leader="none" w:pos="4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RESULTING FROM ANY ACTIONS OR INACTIONS OF BITFARMS OR ANY THIRD PARTY NOT UNDER STRONGHOLD’S CONTROL; OR (E) DAMAGES RESULTING FROM BITCOIN MINERS, PDUS OR ANY THIRD-PARTY EQUIPMENT.</w:t>
      </w:r>
    </w:p>
    <w:p>
      <w:pPr>
        <w:spacing w:after="0" w:line="186" w:lineRule="exact"/>
        <w:rPr>
          <w:sz w:val="20"/>
          <w:szCs w:val="20"/>
          <w:color w:val="auto"/>
        </w:rPr>
      </w:pPr>
    </w:p>
    <w:p>
      <w:pPr>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Disclaimers</w:t>
      </w:r>
      <w:r>
        <w:rPr>
          <w:rFonts w:ascii="Times New Roman" w:cs="Times New Roman" w:eastAsia="Times New Roman" w:hAnsi="Times New Roman"/>
          <w:sz w:val="18"/>
          <w:szCs w:val="18"/>
          <w:color w:val="auto"/>
        </w:rPr>
        <w:t>. Bitfarms understands and acknowledges that, in some situations, Bitcoin Miner or PDU functionality may be unavailable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due to factors outside of Stronghold’s reasonable control. This includes, but is not limited to network failures, pool operator failures, denial of service attacks, currency network outages, blockchain network outages or failures, hacking or malicious attacks on the crypto networks or exchanges, power outages, or acts of God. NOTWITHSTANDING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7.5 OF THIS AGREEMENT, STRONGHOLD SHALL HAVE NO OBLIGATION, RESPONSIBILITY, AND/OR LIABILITY FOR ANY INTERRUPTION OR DEFECTS IN ASSOCIATED EQUIPMENT FUNCTIONALITY. NOTWITHSTANDING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7.5 OF THIS AGREEMENT, IN NO EVENT SHALL STRONGHOLD HAVE ANY LIABILITY UNDER ANY CIRCUMSTANCES FOR: (A) ANY LOSS, DELETION, OR CORRUPTION OF BITFARMS’S DATA OR FILES WHATSOEVER; (B) ANY LOST REVENUE TO BITFARMS DURING OUTAGES, CURTAILMENT EQUIPMENT FAILURES, ETC.; (C) ANY INTERNET FAILURE OR OUTAGE; (D) DAMAGES RESULTING FROM ANY ACTIONS OR INACTIONS OF BITFARMS OR ANY THIRD PARTY NOT UNDER STRONGHOLD’S CONTROL; (E) DAMAGES RESULTING FROM ANY THIRD-PARTY EQUIPMENT; OR (F) UNFORESEEABLE DELAYS OR ISSUES THAT MIGHT CAUSE THE MINING FACILITY NOT TO BE PREPARED TO INSTALL AND HOST THE BITCOIN MINERS, PDUS AND OTHER BITFARMS EQUIPMENT CONTEMPLATED TO BE DELIVERED HEREUNDER IMMEDIATELY UPON ARRIVAL OR WITHIN THE TIMELINE EXPECTED BY BITFARMS, OR ANY LOSS OF PROFITS OR INCURRENCE OF EXPENSES RELATED TO SUCH DELAYS IN DELIVERY.</w:t>
      </w:r>
    </w:p>
    <w:p>
      <w:pPr>
        <w:spacing w:after="0" w:line="36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21" w:right="379" w:bottom="1440" w:gutter="0" w:footer="0" w:header="0"/>
        </w:sectPr>
      </w:pPr>
    </w:p>
    <w:bookmarkStart w:id="18" w:name="page19"/>
    <w:bookmarkEnd w:id="18"/>
    <w:p>
      <w:pPr>
        <w:ind w:left="660" w:hanging="652"/>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Limitations on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NO EVENT SHALL EITHER PARTY BE LIABLE TO THE OTHER PARTY OR ANY OTHER PERSON, FIRM,</w:t>
      </w:r>
    </w:p>
    <w:p>
      <w:pPr>
        <w:spacing w:after="0" w:line="42" w:lineRule="exact"/>
        <w:rPr>
          <w:rFonts w:ascii="Times New Roman" w:cs="Times New Roman" w:eastAsia="Times New Roman" w:hAnsi="Times New Roman"/>
          <w:sz w:val="17"/>
          <w:szCs w:val="17"/>
          <w:color w:val="auto"/>
        </w:rPr>
      </w:pPr>
    </w:p>
    <w:p>
      <w:pPr>
        <w:ind w:left="6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ENTITY IN ANY RESPECT, FOR ANY INDIRECT, CONSEQUENTIAL, SPECIAL, INCIDENTAL, RELIANCE, EXEMPLARY, OR PUNITIVE DAMAGES, INCLUDING LOSS OF PROFITS OF ANY KIND OR NATURE WHATSOEVER, LOSS OF BUSINESS, LOSS OF DATA OR COST OF COVER OF ANY KIND OR NATURE WHATSOEVER, ARISING OUT OF OR RELATING TO THE SUBJECT OF THIS AGREEMENT INCLUDING MISTAKES, NEGLIGENCE, ACCIDENTS, ERRORS, OMISSIONS, INTERRUPTIONS, OR DEFECTS IN TRANSMISSION, OR DELAYS, INCLUDING, BUT NOT LIMITED TO, THOSE COSTS AND LIABILITIES WHICH MAY BE CAUSED BY REGULATORY OR JUDICIAL AUTHORITIES ARISING OUT OF OR RELATING TO THIS AGREEMENT OR THE OBLIGATIONS OF SUCH PARTY PURSUANT TO THIS AGREEMENT, EVEN IF ADVISED OF THE POSSIBILITY THEREOF. EXCEPT FOR LIABILITIES ARISING OUT OF GROSS NEGLIGENCE OR WILLFUL MISCONDUCT, EACH PARTY’S LIABILITIES UNDER THIS AGREEMENT, WHETHER UNDER CONTRACT LAW, TORT LAW, WARRANTY, OR OTHERWISE, SHALL BE LIMITED TO DIRECT DAMAGES NOT TO EXCEED $1,000,000.00.</w:t>
      </w:r>
    </w:p>
    <w:p>
      <w:pPr>
        <w:spacing w:after="0" w:line="188"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w:t>
      </w:r>
    </w:p>
    <w:p>
      <w:pPr>
        <w:spacing w:after="0" w:line="229" w:lineRule="exact"/>
        <w:rPr>
          <w:rFonts w:ascii="Times New Roman" w:cs="Times New Roman" w:eastAsia="Times New Roman" w:hAnsi="Times New Roman"/>
          <w:sz w:val="18"/>
          <w:szCs w:val="18"/>
          <w:b w:val="1"/>
          <w:bCs w:val="1"/>
          <w:color w:val="auto"/>
        </w:rPr>
      </w:pPr>
    </w:p>
    <w:p>
      <w:pPr>
        <w:ind w:left="1300" w:right="4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9.1.Bitfarms shall indemnify, hold harmless and defend Stronghold and their respective affiliates, subsidiaries, employees, agents, directors, owners, executives, representatives, and subcontractors from any and all third-party liability, claim, judgement, loss, cost, expense or damage, including reasonable attorneys’ fees and legal expenses, arising out of or relating to the Bitcoin Miners, PDUs or Bitfarms’s use, management, upgrade, and/or modification thereof, the operation of the Bitcoin Miners or PDUs, any damage to Bitcoin Miners or PDUs which occurs during the de-installation, storage or packing processes, and for any injuries or damages sustained by any person or property due to any direct or indirect act, omission, negligence or misconduct of Bitfarms, its agents, representatives, employees, contractors and their employees and subcontractors and their employees, including due to a breach of this Agreement by Bitfarms.</w:t>
      </w:r>
    </w:p>
    <w:p>
      <w:pPr>
        <w:spacing w:after="0" w:line="188" w:lineRule="exact"/>
        <w:rPr>
          <w:rFonts w:ascii="Times New Roman" w:cs="Times New Roman" w:eastAsia="Times New Roman" w:hAnsi="Times New Roman"/>
          <w:sz w:val="18"/>
          <w:szCs w:val="18"/>
          <w:b w:val="1"/>
          <w:bCs w:val="1"/>
          <w:color w:val="auto"/>
        </w:rPr>
      </w:pPr>
    </w:p>
    <w:p>
      <w:pPr>
        <w:ind w:left="1300" w:right="1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9.2.Stronghold shall indemnify, hold harmless and defend Bitfarms, its subsidiaries, employees, agents, directors, owners, executives, representatives, and subcontractors from any and all third-party liability, claim, judgement, loss, cost, expense or damage, including reasonable attorneys’ fees and legal expenses, arising out of or relating to any direct or indirect act, omission, negligence or misconduct of Stronghold, its agents, representatives, employees, contractors and their employees and subcontractors and their employees, including due to a breach of this Agreement by Stronghold.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both"/>
        <w:ind w:left="1292" w:right="20"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 xml:space="preserve">Neither Stronghold nor Bitfarms shall enter into any settlement or resolution with a third party related to any claim arising from or related to this Agreement for which an indemnification obligation attaches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9.3 without the other Party’s prior written consent, which shall not be unreasonably withheld.</w:t>
      </w:r>
    </w:p>
    <w:p>
      <w:pPr>
        <w:spacing w:after="0" w:line="172" w:lineRule="exact"/>
        <w:rPr>
          <w:sz w:val="20"/>
          <w:szCs w:val="20"/>
          <w:color w:val="auto"/>
        </w:rPr>
      </w:pPr>
    </w:p>
    <w:p>
      <w:pPr>
        <w:ind w:left="652" w:hanging="652"/>
        <w:spacing w:after="0"/>
        <w:tabs>
          <w:tab w:leader="none" w:pos="65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Protection of Information</w:t>
      </w:r>
      <w:r>
        <w:rPr>
          <w:rFonts w:ascii="Times New Roman" w:cs="Times New Roman" w:eastAsia="Times New Roman" w:hAnsi="Times New Roman"/>
          <w:sz w:val="18"/>
          <w:szCs w:val="18"/>
          <w:color w:val="auto"/>
        </w:rPr>
        <w:t>. During the Term of this Agreement, each party (as applicable, the “Disclosing Party”) may share or otherwise make available its confidential or proprietary information, whether written or oral, or that of a third party (“Confidential Information”) with the other Party (the “Receiving Party”) for purposes of performing under this Agreement or discussing other business opportunities of mutual interest. The Receiving Party agrees, at all times during the Hosting Term of this Agreement and thereafter, to hold in confidence, and using not less than the same standard of care that Receiving Party uses to protect its own Confidential Information of a similar nature but in no event less than reasonable care, and not to (i) use, except to the extent necessary to perform under this Agreement, or (ii) disclose to any person, firm, corporation or other entity (other than Receiving Party’s directors, officers, employees, professional advisers, consultants, subcontractors and other agents with a need to know and who are bound by obligations of confidentiality substantially as restrictive as those set forth in this Agreement (“Representatives”)), without written authorization from the Disclosing Party in each instance, any of the Disclosing Party’s Confidential Information obtained or accessed during the Term of this Agreement. If the Receiving Party learns or has reason to believe that Confidential Information of the Disclosing Party has been used, disclosed or accessed by an unauthorized party or lost or misplaced, the Receiving Party will immediately give notice of such event to the Disclosing Party.</w:t>
      </w:r>
    </w:p>
    <w:p>
      <w:pPr>
        <w:spacing w:after="0" w:line="187" w:lineRule="exact"/>
        <w:rPr>
          <w:rFonts w:ascii="Times New Roman" w:cs="Times New Roman" w:eastAsia="Times New Roman" w:hAnsi="Times New Roman"/>
          <w:sz w:val="18"/>
          <w:szCs w:val="18"/>
          <w:b w:val="1"/>
          <w:bCs w:val="1"/>
          <w:color w:val="auto"/>
        </w:rPr>
      </w:pPr>
    </w:p>
    <w:p>
      <w:pPr>
        <w:ind w:left="1292" w:right="4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Exceptions; Compulsory Disclosure</w:t>
      </w:r>
      <w:r>
        <w:rPr>
          <w:rFonts w:ascii="Times New Roman" w:cs="Times New Roman" w:eastAsia="Times New Roman" w:hAnsi="Times New Roman"/>
          <w:sz w:val="18"/>
          <w:szCs w:val="18"/>
          <w:color w:val="auto"/>
        </w:rPr>
        <w:t xml:space="preserve">. The obligations imposed on the Receiving Party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10.2 will not apply to any information that: (i) is already in the possession of the Receiving Party as shown by documentation dated prior to the date hereof; (ii) is or becomes publicly available through no fault of the Receiving Party; (iii) was independently developed by the Receiving Party without any use of or reference to the Disclosing Party’s Confidential Information; or (iv) is obtained from a third person without breach by such third person of an obligation of confidence with respect to the Confidential Information disclosed. In the event the Receiving Party is requested pursuant to, or required by, law, legal order or regulatory obligation, to disclose any Confidential Information of the Disclosing Party, the Receiving Party shall be permitted to disclose Confidential Information subject to the following requirements: (a) except to the extent prohibited by law, the Receiving Party has provided the Disclosing Party with prompt notice of such disclosure in order to enable Disclosing Party to seek a protective order or otherwise prevent or restrict such disclosure and has reasonably cooperated with Disclosing Party with respect thereto, at Disclosing Party’s sole cost.</w:t>
      </w:r>
    </w:p>
    <w:p>
      <w:pPr>
        <w:spacing w:after="0" w:line="36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0" w:name="page21"/>
    <w:bookmarkEnd w:id="20"/>
    <w:p>
      <w:pPr>
        <w:ind w:left="1292"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auto"/>
        </w:rPr>
        <w:t>Exclusions; Survival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Section </w:t>
      </w:r>
      <w:r>
        <w:rPr>
          <w:rFonts w:ascii="Times New Roman" w:cs="Times New Roman" w:eastAsia="Times New Roman" w:hAnsi="Times New Roman"/>
          <w:sz w:val="18"/>
          <w:szCs w:val="18"/>
          <w:color w:val="auto"/>
        </w:rPr>
        <w:t>11.11</w:t>
      </w:r>
      <w:r>
        <w:rPr>
          <w:rFonts w:ascii="Times New Roman" w:cs="Times New Roman" w:eastAsia="Times New Roman" w:hAnsi="Times New Roman"/>
          <w:sz w:val="18"/>
          <w:szCs w:val="18"/>
          <w:u w:val="single" w:color="auto"/>
          <w:color w:val="auto"/>
        </w:rPr>
        <w:t xml:space="preserve">1 </w:t>
      </w:r>
      <w:r>
        <w:rPr>
          <w:rFonts w:ascii="Times New Roman" w:cs="Times New Roman" w:eastAsia="Times New Roman" w:hAnsi="Times New Roman"/>
          <w:sz w:val="18"/>
          <w:szCs w:val="18"/>
          <w:color w:val="auto"/>
        </w:rPr>
        <w:t>is not applicable to breaches of this</w:t>
      </w:r>
      <w:r>
        <w:rPr>
          <w:rFonts w:ascii="Times New Roman" w:cs="Times New Roman" w:eastAsia="Times New Roman" w:hAnsi="Times New Roman"/>
          <w:sz w:val="18"/>
          <w:szCs w:val="18"/>
          <w:u w:val="single" w:color="auto"/>
          <w:color w:val="auto"/>
        </w:rPr>
        <w:t xml:space="preserve"> Section </w:t>
      </w:r>
      <w:r>
        <w:rPr>
          <w:rFonts w:ascii="Times New Roman" w:cs="Times New Roman" w:eastAsia="Times New Roman" w:hAnsi="Times New Roman"/>
          <w:sz w:val="18"/>
          <w:szCs w:val="18"/>
          <w:color w:val="auto"/>
        </w:rPr>
        <w:t>10.3. This</w:t>
      </w:r>
      <w:r>
        <w:rPr>
          <w:rFonts w:ascii="Times New Roman" w:cs="Times New Roman" w:eastAsia="Times New Roman" w:hAnsi="Times New Roman"/>
          <w:sz w:val="18"/>
          <w:szCs w:val="18"/>
          <w:u w:val="single" w:color="auto"/>
          <w:color w:val="auto"/>
        </w:rPr>
        <w:t xml:space="preserve"> Section </w:t>
      </w:r>
      <w:r>
        <w:rPr>
          <w:rFonts w:ascii="Times New Roman" w:cs="Times New Roman" w:eastAsia="Times New Roman" w:hAnsi="Times New Roman"/>
          <w:sz w:val="18"/>
          <w:szCs w:val="18"/>
          <w:color w:val="auto"/>
        </w:rPr>
        <w:t>10.3 shall survive the termination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this Agreement for a period of one (1) year after the termination of the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trade secrets of the Disclosing Party shall remain secret for so long as the Disclosing Party holds them as so.</w:t>
      </w:r>
    </w:p>
    <w:p>
      <w:pPr>
        <w:spacing w:after="0" w:line="172" w:lineRule="exact"/>
        <w:rPr>
          <w:sz w:val="20"/>
          <w:szCs w:val="20"/>
          <w:color w:val="auto"/>
        </w:rPr>
      </w:pPr>
    </w:p>
    <w:p>
      <w:pPr>
        <w:ind w:left="652" w:hanging="652"/>
        <w:spacing w:after="0"/>
        <w:tabs>
          <w:tab w:leader="none" w:pos="65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Each of the Parties hereto represents and warrants that (i) it is duly formed as an entity in good standing under the law</w:t>
      </w:r>
    </w:p>
    <w:p>
      <w:pPr>
        <w:spacing w:after="0" w:line="27" w:lineRule="exact"/>
        <w:rPr>
          <w:rFonts w:ascii="Times New Roman" w:cs="Times New Roman" w:eastAsia="Times New Roman" w:hAnsi="Times New Roman"/>
          <w:sz w:val="18"/>
          <w:szCs w:val="18"/>
          <w:b w:val="1"/>
          <w:bCs w:val="1"/>
          <w:color w:val="auto"/>
        </w:rPr>
      </w:pPr>
    </w:p>
    <w:p>
      <w:pPr>
        <w:ind w:left="1292" w:right="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the state of its formation and is authorized to do business in the locations contemplated herein, (ii) it has the requisite power, authorization and authority to enter into this Agreement; and (iii) the execution of this Agreement is a legal, valid and binding obligation on the Parties. The execution and delivery of, and performance of the obligations under and with respect to this Agreement (A) have been duly authorized by all necessary actions on the part of such Party, (B) do not contravene, violate, or constitute a default under any applicable Law, any of such Party’s organizational documents, or any agreement, indenture, or other instrument to which such Party is a party or by which it may be bound, (C) do not require the approval of or notice to any governmental authority, (D) not violate any applicable Laws or regulations, or cause a breach of any agreements with any third parties.</w:t>
      </w:r>
    </w:p>
    <w:p>
      <w:pPr>
        <w:spacing w:after="0" w:line="188"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Reserved.</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21" w:name="page22"/>
    <w:bookmarkEnd w:id="21"/>
    <w:p>
      <w:pPr>
        <w:ind w:left="180" w:hanging="647"/>
        <w:spacing w:after="0" w:line="267" w:lineRule="auto"/>
        <w:tabs>
          <w:tab w:leader="none" w:pos="16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Bitfarms Representations</w:t>
      </w:r>
      <w:r>
        <w:rPr>
          <w:rFonts w:ascii="Times New Roman" w:cs="Times New Roman" w:eastAsia="Times New Roman" w:hAnsi="Times New Roman"/>
          <w:sz w:val="17"/>
          <w:szCs w:val="17"/>
          <w:color w:val="auto"/>
        </w:rPr>
        <w:t>. Bitfarms represents and warrants that, to Bitfarms’s knowledge, that it owns and has good title to the Bitcoin</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Miners and PDUs free and clear of any mortgage, pledge, lien, charge, security interest, claim or other encumbrance. Bitfarms further represents and warrants the neither it or any of its subsidiaries nor, to Bitfarms’s knowledge, any director, officer, agent, employee, affiliate, or person acting on behalf of Bitfarms or its subsidiaries: has violated or will violate any applicable anti-bribery or anti-corruption Law, including the U.S. Foreign Corruption Practices Act; has violated or will violate any applicable money laundering Laws; or is or will become subject to any U.S. sanctions administered by the Office of Foreign Asset Control of the U.S. Treasury Department. Bitfarms represents and warrants that it will comply with all obligations required by any software used by the Bitcoin Miners and PDUs or to monitor the performance of or to configure the Bitcoin Miners and PDUs under this Agreement. Bitfarms represents and warrants that Bitfarms will own, control and operate its own digital asset wallet that it will use to receive proceeds of mining by its Bitcoin Miners under this Agreement, that Bitfarms is solely and exclusively responsible to secure and protect that wallet, and that Bitfarms will not engage or permit any transaction involving, relating to, originating, or terminating in that wallet or any public network address controlled or created thereby, that is illegal, immoral, unethical, or violates any Laws, or harms any third party. Bitfarms represents and warrants that its Bitcoin Miners, PDUs and the proceeds therefrom will be used at all times in a manner that is compliant with all applicable laws and regulations, and only for lawful purpose. Bitfarms represents and warrants that it will not allow its right and title to the Bitcoin Miners or PDUs to be impaired by making any pledge of the Bitcoin Miners or PDUs to secure any obligation, allowing any lien to be created against the Bitcoin Miners or PDUs, or granting any security interest or similar legal interest to any party that would give any other party besides Bitfarms full legal right title and interest in the Bitcoin Miners or PDUs without the express prior written consent of Stronghold. Bitfarms represents and warrants that it has exclusive control over firmware operating the Bitcoin Miners and that it takes full responsibility for the results of any firmware upgrades that may damage or impair the use of any Bitcoin Miners that may affect the operation of any other equipment, or that may violate any Laws. Bitfarms will comply at all times with all applicable laws and regulations. Bitfarms acknowledges that Stronghold exercises no control whatsoever over the content of the information passing through Bitfarms’s Bitcoin Miners, or the cryptocurrency transactions that may be created by or pass through the Bitcoin Miners.</w:t>
      </w:r>
    </w:p>
    <w:p>
      <w:pPr>
        <w:spacing w:after="0" w:line="200" w:lineRule="exact"/>
        <w:rPr>
          <w:sz w:val="20"/>
          <w:szCs w:val="20"/>
          <w:color w:val="auto"/>
        </w:rPr>
      </w:pPr>
    </w:p>
    <w:p>
      <w:pPr>
        <w:spacing w:after="0" w:line="201" w:lineRule="exact"/>
        <w:rPr>
          <w:sz w:val="20"/>
          <w:szCs w:val="20"/>
          <w:color w:val="auto"/>
        </w:rPr>
      </w:pPr>
    </w:p>
    <w:p>
      <w:pPr>
        <w:ind w:left="180" w:right="10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u w:val="single" w:color="auto"/>
          <w:color w:val="auto"/>
        </w:rPr>
        <w:t>Stronghold Representations</w:t>
      </w:r>
      <w:r>
        <w:rPr>
          <w:rFonts w:ascii="Times New Roman" w:cs="Times New Roman" w:eastAsia="Times New Roman" w:hAnsi="Times New Roman"/>
          <w:sz w:val="18"/>
          <w:szCs w:val="18"/>
          <w:color w:val="auto"/>
        </w:rPr>
        <w:t>. Stronghold represents and warrants that it will provide the Hosting Services at Panther Creek in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professional and workmanlike manner consistent with the terms and conditions of this Agreement. Except as expressly set forth herein,</w:t>
      </w:r>
    </w:p>
    <w:p>
      <w:pPr>
        <w:ind w:left="180" w:right="140"/>
        <w:spacing w:after="0" w:line="251" w:lineRule="auto"/>
        <w:rPr>
          <w:sz w:val="20"/>
          <w:szCs w:val="20"/>
          <w:color w:val="auto"/>
        </w:rPr>
      </w:pPr>
      <w:r>
        <w:rPr>
          <w:rFonts w:ascii="Times New Roman" w:cs="Times New Roman" w:eastAsia="Times New Roman" w:hAnsi="Times New Roman"/>
          <w:sz w:val="18"/>
          <w:szCs w:val="18"/>
          <w:color w:val="auto"/>
        </w:rPr>
        <w:t>STRONGHOLD MAKES NO WARRANTIES OR GUARANTEES RELATED TO THE AVAILABILITY OF HOSTING SERVICES OR OPERATING TEMPERATURE OF THE PANTHER CREEK FACILITY. THE HOSTING SERVICES AND FACILITY ARE PROVIDED ON AN “AS-IS” BASIS. STRONGHOLD DOES NOT PROVIDE MECHANICAL COOLING OR BACKUP POWER AND THE PANTHER CREEK FACILITY IS SUBJECT TO SWINGS IN LOCAL TEMPERATURE, WIND, HUMIDITY, AND OTHER CONDITIONS. SERVICE PROVIDER MAKES NO WARRANTIES, WITH RESPECT TO GOODS AND SERVICES SUBJECT TO THIS AGREEMENT, INCLUDING AND (A) WARRANTY OF MERCHANTABILITY; (B) WARRANTY OF FITNESS FOR A PARTICULAR PURPOSE; (C) WARRANTY OF NONINFRINGEMENT AND (D) WARRANTY AGAINST INTERFERENCE. STRONGHOLD DOES NOT WARRANT THAT (A) THE HOSTING SERVICE WILL BE FREE FROM INTERRUPTION; (B) THE HOSTING SERVICE WILL MEET BITFARMS’S REQUIREMENTS OTHER THAN AS EXPRESSLY SET FORTH HEREIN; OR (C) THE HOSTING SERVICE WILL PROVIDE ANY FUNCTION NOT EXPRESSLY DESIGNATED AND SET FORTH HEREIN.</w:t>
      </w:r>
    </w:p>
    <w:p>
      <w:pPr>
        <w:spacing w:after="0" w:line="36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21" w:right="399" w:bottom="1440" w:gutter="0" w:footer="0" w:header="0"/>
        </w:sectPr>
      </w:pPr>
    </w:p>
    <w:bookmarkStart w:id="22" w:name="page23"/>
    <w:bookmarkEnd w:id="22"/>
    <w:p>
      <w:pPr>
        <w:ind w:left="180" w:right="4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u w:val="single" w:color="auto"/>
          <w:color w:val="auto"/>
        </w:rPr>
        <w:t>Whole Agreement</w:t>
      </w:r>
      <w:r>
        <w:rPr>
          <w:rFonts w:ascii="Times New Roman" w:cs="Times New Roman" w:eastAsia="Times New Roman" w:hAnsi="Times New Roman"/>
          <w:sz w:val="18"/>
          <w:szCs w:val="18"/>
          <w:color w:val="auto"/>
        </w:rPr>
        <w:t>. This Agreement represents the whole agreement between the Parties with respect to the subject matter herein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supersede and replace all prior or contemporaneous communications, agreements and understandings between them related thereto. The Parties have not made or relied upon any representations, understandings, or other agreements other than those contained in this Agreement. No course of prior dealing between the parties shall be relevant or admissible to supplement, explain, or vary any of the terms of this Agreement. Bitfarms acknowledges and agrees that it has not, and will not, rely upon any representations, understandings or other agreements not specifically set forth in this Agreement.</w:t>
      </w:r>
    </w:p>
    <w:p>
      <w:pPr>
        <w:spacing w:after="0" w:line="187" w:lineRule="exact"/>
        <w:rPr>
          <w:sz w:val="20"/>
          <w:szCs w:val="20"/>
          <w:color w:val="auto"/>
        </w:rPr>
      </w:pPr>
    </w:p>
    <w:p>
      <w:pPr>
        <w:ind w:left="180" w:right="2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u w:val="single" w:color="auto"/>
          <w:color w:val="auto"/>
        </w:rPr>
        <w:t>Waiver, Severability</w:t>
      </w:r>
      <w:r>
        <w:rPr>
          <w:rFonts w:ascii="Times New Roman" w:cs="Times New Roman" w:eastAsia="Times New Roman" w:hAnsi="Times New Roman"/>
          <w:sz w:val="18"/>
          <w:szCs w:val="18"/>
          <w:color w:val="auto"/>
        </w:rPr>
        <w:t>. The waiver of any breach or default does not constitute the waiver of any subsequent breach or default. If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provision of this Agreement is held to be illegal or unenforceable, it shall be deemed amended to conform to the applicable laws or regulations, or, if it cannot be so amended without materially altering the intention of the parties, it shall be stricken and the remainder of this Agreement shall continue in full force and effect.</w:t>
      </w:r>
    </w:p>
    <w:p>
      <w:pPr>
        <w:spacing w:after="0" w:line="180" w:lineRule="exact"/>
        <w:rPr>
          <w:sz w:val="20"/>
          <w:szCs w:val="20"/>
          <w:color w:val="auto"/>
        </w:rPr>
      </w:pPr>
    </w:p>
    <w:p>
      <w:pPr>
        <w:ind w:left="180" w:right="8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Amendments, modifications, or supplements to this Agreement must be in writing signed by authorized representatives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both Parties.</w:t>
      </w:r>
    </w:p>
    <w:p>
      <w:pPr>
        <w:spacing w:after="0" w:line="162" w:lineRule="exact"/>
        <w:rPr>
          <w:sz w:val="20"/>
          <w:szCs w:val="20"/>
          <w:color w:val="auto"/>
        </w:rPr>
      </w:pPr>
    </w:p>
    <w:p>
      <w:pPr>
        <w:ind w:left="180" w:right="4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liable in any way for delay, failure in performance, loss or damage due to any of the following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force majeure conditions; fire, strike, embargo, explosion, power failure, flood, lightning, war, water, electrical storms, labor disputes, civil disturbances, governmental regulations, orders, decrees, enforcement actions or other requirements, acts of civil or military authority, acts of God, acts of public enemies, changes in laws or regulations in any way adversely affecting Panther Creek, government acts or orders in any way adversely affecting Panther Creek, a regulatory change in any way adversely affecting Panther Creek, losses of power at Panther Creek not reasonably foreseeable by Stronghold, line-breaks to the Bitcoin Miners, PDUs and/or other equipment at Panther Creek not reasonably foreseeable by Stronghold, or other causes beyond its reasonable control, whether or not similar to the foregoing.</w:t>
      </w:r>
    </w:p>
    <w:p>
      <w:pPr>
        <w:spacing w:after="0" w:line="192" w:lineRule="exact"/>
        <w:rPr>
          <w:sz w:val="20"/>
          <w:szCs w:val="20"/>
          <w:color w:val="auto"/>
        </w:rPr>
      </w:pPr>
    </w:p>
    <w:p>
      <w:pPr>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u w:val="single" w:color="auto"/>
          <w:color w:val="auto"/>
        </w:rPr>
        <w:t>Exclusive Jurisdiction and Venue</w:t>
      </w:r>
      <w:r>
        <w:rPr>
          <w:rFonts w:ascii="Times New Roman" w:cs="Times New Roman" w:eastAsia="Times New Roman" w:hAnsi="Times New Roman"/>
          <w:sz w:val="18"/>
          <w:szCs w:val="18"/>
          <w:color w:val="auto"/>
        </w:rPr>
        <w:t>. Each Party hereby irrevocably consents and agrees that any legal action, suit or proceeding arising out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or in any way in connection with this Agreement may be instituted or brought in the courts of the State of New York or in the United States District Court for the Southern District of New York, and by execution and delivery of this Agreement, each party hereby irrevocably accepts and submits to, for itself and in respect of its property, generally and unconditionally, the non-exclusive jurisdiction of any such court, and to all proceedings in such courts. The Parties hereby expressly waive any objections to venue on forum non conveniens grounds.</w:t>
      </w:r>
    </w:p>
    <w:p>
      <w:pPr>
        <w:spacing w:after="0" w:line="187" w:lineRule="exact"/>
        <w:rPr>
          <w:sz w:val="20"/>
          <w:szCs w:val="20"/>
          <w:color w:val="auto"/>
        </w:rPr>
      </w:pPr>
    </w:p>
    <w:p>
      <w:pPr>
        <w:ind w:left="180" w:right="10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internal laws of the State of New York (without regard to the conflict of laws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principles of such state, except as to the effect of Sections 5-1401 and 5-1402 of the New York General Obligations Law).</w:t>
      </w:r>
    </w:p>
    <w:p>
      <w:pPr>
        <w:spacing w:after="0" w:line="3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21" w:right="399" w:bottom="1440" w:gutter="0" w:footer="0" w:header="0"/>
        </w:sectPr>
      </w:pPr>
    </w:p>
    <w:bookmarkStart w:id="23" w:name="page24"/>
    <w:bookmarkEnd w:id="23"/>
    <w:p>
      <w:pPr>
        <w:ind w:left="640" w:right="8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TO THE FULLEST EXTENT PERMITTED BY LAW, WAIVES ITS RIGHTS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A JURY TRIAL OF ANY CLAIM OR CAUSE OF ACTION BASED UPON, ARISING OUT OF OR RELATED TO THIS AGREEMENT.</w:t>
      </w:r>
    </w:p>
    <w:p>
      <w:pPr>
        <w:spacing w:after="0" w:line="176" w:lineRule="exact"/>
        <w:rPr>
          <w:sz w:val="20"/>
          <w:szCs w:val="20"/>
          <w:color w:val="auto"/>
        </w:rPr>
      </w:pPr>
    </w:p>
    <w:p>
      <w:pPr>
        <w:ind w:left="640" w:right="10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The Parties agree that their relationship hereunder is in the nature of independent contractors. Neither Party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be deemed to be the agent, partner, joint venturer nor employee of the other, and neither shall have any authority to make any agreements or representations on the other’s behalf. Each Party shall be solely responsible for the payment of compensation, insurance and taxes of its own personnel, and such personnel are not entitled to the provisions of any employee benefits from the other party. Neither Party shall have any authority to make any agreements or representations on the other’s behalf without the other’s written consent. Additionally, Stronghold shall not be responsible for any costs and expenses arising from Bitfarms’s performance of its duties and obligations pursuant to this Agreement, and Bitfarms shall not be responsible for any costs and expenses arising from Stronghold’s performance of its duties and obligations pursuant to this Agreement.</w:t>
      </w:r>
    </w:p>
    <w:p>
      <w:pPr>
        <w:spacing w:after="0" w:line="192" w:lineRule="exact"/>
        <w:rPr>
          <w:sz w:val="20"/>
          <w:szCs w:val="20"/>
          <w:color w:val="auto"/>
        </w:rPr>
      </w:pPr>
    </w:p>
    <w:p>
      <w:pPr>
        <w:ind w:left="640" w:right="26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Nothing in this Agreement is intended, nor shall anything herein be construed to confer any rights, legal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equitable, in any person or entity other than the Parties hereto and their respective successors and permitted assigns.</w:t>
      </w:r>
    </w:p>
    <w:p>
      <w:pPr>
        <w:spacing w:after="0" w:line="162" w:lineRule="exact"/>
        <w:rPr>
          <w:sz w:val="20"/>
          <w:szCs w:val="20"/>
          <w:color w:val="auto"/>
        </w:rPr>
      </w:pPr>
    </w:p>
    <w:p>
      <w:pPr>
        <w:ind w:left="640" w:right="2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Any rule of construction to the effect that ambiguities are to be resolved against the drafting party shall not apply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interpretation and construction of this Agreement, and this Agreement shall be construed as having been jointly drafted by the parties. The titles and headings for particular paragraphs, sections and subsections of this Agreement have been inserted solely for reference purposes and shall not be used to interpret or construe the terms of this Agreement.</w:t>
      </w:r>
    </w:p>
    <w:p>
      <w:pPr>
        <w:spacing w:after="0" w:line="180" w:lineRule="exact"/>
        <w:rPr>
          <w:sz w:val="20"/>
          <w:szCs w:val="20"/>
          <w:color w:val="auto"/>
        </w:rPr>
      </w:pPr>
    </w:p>
    <w:p>
      <w:pPr>
        <w:ind w:left="640" w:right="16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delivered electronically, each of which shall be deemed 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original, but which together shall constitute one and the same document.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11.16.</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Other than the survival period set forth in</w:t>
      </w:r>
      <w:r>
        <w:rPr>
          <w:rFonts w:ascii="Times New Roman" w:cs="Times New Roman" w:eastAsia="Times New Roman" w:hAnsi="Times New Roman"/>
          <w:sz w:val="18"/>
          <w:szCs w:val="18"/>
          <w:u w:val="single" w:color="auto"/>
          <w:color w:val="auto"/>
        </w:rPr>
        <w:t xml:space="preserve"> Section </w:t>
      </w:r>
      <w:r>
        <w:rPr>
          <w:rFonts w:ascii="Times New Roman" w:cs="Times New Roman" w:eastAsia="Times New Roman" w:hAnsi="Times New Roman"/>
          <w:sz w:val="18"/>
          <w:szCs w:val="18"/>
          <w:color w:val="auto"/>
        </w:rPr>
        <w:t>10 which shall supersede this</w:t>
      </w:r>
      <w:r>
        <w:rPr>
          <w:rFonts w:ascii="Times New Roman" w:cs="Times New Roman" w:eastAsia="Times New Roman" w:hAnsi="Times New Roman"/>
          <w:sz w:val="18"/>
          <w:szCs w:val="18"/>
          <w:u w:val="single" w:color="auto"/>
          <w:color w:val="auto"/>
        </w:rPr>
        <w:t xml:space="preserve"> Section </w:t>
      </w:r>
      <w:r>
        <w:rPr>
          <w:rFonts w:ascii="Times New Roman" w:cs="Times New Roman" w:eastAsia="Times New Roman" w:hAnsi="Times New Roman"/>
          <w:sz w:val="18"/>
          <w:szCs w:val="18"/>
          <w:color w:val="auto"/>
        </w:rPr>
        <w:t>11.16, only</w:t>
      </w:r>
      <w:r>
        <w:rPr>
          <w:rFonts w:ascii="Times New Roman" w:cs="Times New Roman" w:eastAsia="Times New Roman" w:hAnsi="Times New Roman"/>
          <w:sz w:val="18"/>
          <w:szCs w:val="18"/>
          <w:u w:val="single" w:color="auto"/>
          <w:color w:val="auto"/>
        </w:rPr>
        <w:t xml:space="preserve"> Sections </w:t>
      </w:r>
      <w:r>
        <w:rPr>
          <w:rFonts w:ascii="Times New Roman" w:cs="Times New Roman" w:eastAsia="Times New Roman" w:hAnsi="Times New Roman"/>
          <w:sz w:val="18"/>
          <w:szCs w:val="18"/>
          <w:color w:val="auto"/>
        </w:rPr>
        <w:t>2.3, 2.4, 2.5, 2.6,</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 7, 8, 9, 11.10, 11.11, 11.14 and 11.19 shall survive termination of this Agreement.</w:t>
      </w:r>
    </w:p>
    <w:p>
      <w:pPr>
        <w:spacing w:after="0" w:line="20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11.17.</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inure to the benefit of the Parties’ successors and assigns and no merger, sale of all or substantially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assets or stock or other transfer shall terminate this Agreement. Neither Party shall assign this Agreement or its rights hereunder without the prior written consent of the other Party, which consent may be withheld in the exercise of its sole discretion.</w:t>
      </w:r>
    </w:p>
    <w:p>
      <w:pPr>
        <w:spacing w:after="0" w:line="34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21" w:right="359" w:bottom="1440" w:gutter="0" w:footer="0" w:header="0"/>
        </w:sectPr>
      </w:pPr>
    </w:p>
    <w:bookmarkStart w:id="24" w:name="page25"/>
    <w:bookmarkEnd w:id="24"/>
    <w:p>
      <w:pPr>
        <w:ind w:left="640" w:right="30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written notices required to be given by any Party under this Agreement shall be given via email to the Parties at the email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address set forth below.</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Stronghold</w:t>
      </w:r>
    </w:p>
    <w:p>
      <w:pPr>
        <w:spacing w:after="0" w:line="225" w:lineRule="exact"/>
        <w:rPr>
          <w:sz w:val="20"/>
          <w:szCs w:val="20"/>
          <w:color w:val="auto"/>
        </w:rPr>
      </w:pPr>
    </w:p>
    <w:p>
      <w:pPr>
        <w:ind w:left="1300" w:right="80" w:hanging="647"/>
        <w:spacing w:after="0" w:line="282" w:lineRule="auto"/>
        <w:rPr>
          <w:sz w:val="20"/>
          <w:szCs w:val="20"/>
          <w:color w:val="auto"/>
        </w:rPr>
      </w:pPr>
      <w:r>
        <w:rPr>
          <w:rFonts w:ascii="Times New Roman" w:cs="Times New Roman" w:eastAsia="Times New Roman" w:hAnsi="Times New Roman"/>
          <w:sz w:val="18"/>
          <w:szCs w:val="18"/>
          <w:color w:val="auto"/>
        </w:rPr>
        <w:t>Email: XXXXXX@XXXXXX and XXXXXX@XXXXXX for written notices; XXXXXX@XXXXXX and XXXXXX@XXXXXX for invoices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Bitfarms</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Email: XXXXXX@XXXXXX; XXXXXX@XXXXXX, XXXXXX@XXXXXX and all invoices to XXXXXX@XXXXXX</w:t>
      </w:r>
    </w:p>
    <w:p>
      <w:pPr>
        <w:spacing w:after="0" w:line="225" w:lineRule="exact"/>
        <w:rPr>
          <w:sz w:val="20"/>
          <w:szCs w:val="20"/>
          <w:color w:val="auto"/>
        </w:rPr>
      </w:pPr>
    </w:p>
    <w:p>
      <w:pPr>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11.19.</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for the rights expressly granted herein, this Agreement does not transfer from Stronghold to Bitfarms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Stronghold technology, and all right, title and interest in and to Stronghold technology will remain solely with Stronghold. Except for the rights expressly granted herein, this Agreement does not transfer from Bitfarms to Stronghold any Bitfarms technology, and all right, title and interest in and to Bitfarms technology will remain solely with Bitfarms. The Parties each agrees that it will not, directly or indirectly, reverse engineer, decompile, disassemble or otherwise attempt to derive source code or other trade secrets from the other Party.</w:t>
      </w:r>
    </w:p>
    <w:p>
      <w:pPr>
        <w:spacing w:after="0" w:line="183" w:lineRule="exact"/>
        <w:rPr>
          <w:sz w:val="20"/>
          <w:szCs w:val="20"/>
          <w:color w:val="auto"/>
        </w:rPr>
      </w:pPr>
    </w:p>
    <w:p>
      <w:pPr>
        <w:jc w:val="both"/>
        <w:ind w:left="640" w:right="6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11.20.</w:t>
      </w:r>
      <w:r>
        <w:rPr>
          <w:sz w:val="20"/>
          <w:szCs w:val="20"/>
          <w:color w:val="auto"/>
        </w:rPr>
        <w:tab/>
      </w:r>
      <w:r>
        <w:rPr>
          <w:rFonts w:ascii="Times New Roman" w:cs="Times New Roman" w:eastAsia="Times New Roman" w:hAnsi="Times New Roman"/>
          <w:sz w:val="18"/>
          <w:szCs w:val="18"/>
          <w:u w:val="single" w:color="auto"/>
          <w:color w:val="auto"/>
        </w:rPr>
        <w:t>Bi-lateral Non-interference</w:t>
      </w:r>
      <w:r>
        <w:rPr>
          <w:rFonts w:ascii="Times New Roman" w:cs="Times New Roman" w:eastAsia="Times New Roman" w:hAnsi="Times New Roman"/>
          <w:sz w:val="18"/>
          <w:szCs w:val="18"/>
          <w:color w:val="auto"/>
        </w:rPr>
        <w:t>. The Parties each warrants that neither Party shall interfere with the operations of the other unless otherwise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provided in this Agreement, or unless required by Law, or a legal order, or to prevent an emergency that would impact safety, security, or property rights.</w:t>
      </w:r>
    </w:p>
    <w:p>
      <w:pPr>
        <w:spacing w:after="0" w:line="176" w:lineRule="exact"/>
        <w:rPr>
          <w:sz w:val="20"/>
          <w:szCs w:val="20"/>
          <w:color w:val="auto"/>
        </w:rPr>
      </w:pPr>
    </w:p>
    <w:p>
      <w:pPr>
        <w:ind w:left="640" w:right="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11.21.</w:t>
      </w:r>
      <w:r>
        <w:rPr>
          <w:sz w:val="20"/>
          <w:szCs w:val="20"/>
          <w:color w:val="auto"/>
        </w:rPr>
        <w:tab/>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agrees to provide such information, execute and deliver any instruments and documents and to take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actions as may be necessary or reasonably requested by the other Party which are not inconsistent with the provisions of this Agreement and which do not involve the assumptions of obligations other than those provided for in this Agreement in order to give full effect to this Agreement and to carry out the intent of this Agreement.</w:t>
      </w:r>
    </w:p>
    <w:p>
      <w:pPr>
        <w:spacing w:after="0" w:line="3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Agreement as of the date first written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STRONGHOLD DIGITAL MINING HOSTING, LLC</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BITFARMS LTD.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Hosting Agreement</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7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BITFARMS EQUIPMENT</w:t>
            </w: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Miner Model</w:t>
            </w:r>
          </w:p>
        </w:tc>
        <w:tc>
          <w:tcPr>
            <w:tcW w:w="2720" w:type="dxa"/>
            <w:vAlign w:val="bottom"/>
            <w:gridSpan w:val="4"/>
          </w:tcPr>
          <w:p>
            <w:pPr>
              <w:jc w:val="right"/>
              <w:ind w:right="1640"/>
              <w:spacing w:after="0"/>
              <w:rPr>
                <w:sz w:val="20"/>
                <w:szCs w:val="20"/>
                <w:color w:val="auto"/>
              </w:rPr>
            </w:pPr>
            <w:r>
              <w:rPr>
                <w:rFonts w:ascii="Times New Roman" w:cs="Times New Roman" w:eastAsia="Times New Roman" w:hAnsi="Times New Roman"/>
                <w:sz w:val="18"/>
                <w:szCs w:val="18"/>
                <w:b w:val="1"/>
                <w:bCs w:val="1"/>
                <w:color w:val="auto"/>
                <w:w w:val="97"/>
              </w:rPr>
              <w:t>TH per Miner</w:t>
            </w:r>
          </w:p>
        </w:tc>
        <w:tc>
          <w:tcPr>
            <w:tcW w:w="2800" w:type="dxa"/>
            <w:vAlign w:val="bottom"/>
            <w:gridSpan w:val="2"/>
          </w:tcPr>
          <w:p>
            <w:pPr>
              <w:jc w:val="right"/>
              <w:ind w:right="1620"/>
              <w:spacing w:after="0"/>
              <w:rPr>
                <w:sz w:val="20"/>
                <w:szCs w:val="20"/>
                <w:color w:val="auto"/>
              </w:rPr>
            </w:pPr>
            <w:r>
              <w:rPr>
                <w:rFonts w:ascii="Times New Roman" w:cs="Times New Roman" w:eastAsia="Times New Roman" w:hAnsi="Times New Roman"/>
                <w:sz w:val="18"/>
                <w:szCs w:val="18"/>
                <w:b w:val="1"/>
                <w:bCs w:val="1"/>
                <w:color w:val="auto"/>
                <w:w w:val="97"/>
              </w:rPr>
              <w:t>Total # of Units</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 PH/s</w:t>
            </w: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tcBorders>
              <w:left w:val="single" w:sz="8" w:color="CAEFFF"/>
            </w:tcBorders>
            <w:gridSpan w:val="3"/>
            <w:shd w:val="clear" w:color="auto" w:fill="CAEFFF"/>
          </w:tcPr>
          <w:p>
            <w:pPr>
              <w:spacing w:after="0"/>
              <w:rPr>
                <w:sz w:val="20"/>
                <w:szCs w:val="20"/>
                <w:color w:val="auto"/>
              </w:rPr>
            </w:pPr>
            <w:r>
              <w:rPr>
                <w:rFonts w:ascii="Times New Roman" w:cs="Times New Roman" w:eastAsia="Times New Roman" w:hAnsi="Times New Roman"/>
                <w:sz w:val="18"/>
                <w:szCs w:val="18"/>
                <w:color w:val="auto"/>
              </w:rPr>
              <w:t>Bitmain T21 Miners</w:t>
            </w:r>
          </w:p>
        </w:tc>
        <w:tc>
          <w:tcPr>
            <w:tcW w:w="1560" w:type="dxa"/>
            <w:vAlign w:val="bottom"/>
            <w:gridSpan w:val="3"/>
            <w:shd w:val="clear" w:color="auto" w:fill="CAEFFF"/>
          </w:tcPr>
          <w:p>
            <w:pPr>
              <w:jc w:val="right"/>
              <w:ind w:right="480"/>
              <w:spacing w:after="0"/>
              <w:rPr>
                <w:sz w:val="20"/>
                <w:szCs w:val="20"/>
                <w:color w:val="auto"/>
              </w:rPr>
            </w:pPr>
            <w:r>
              <w:rPr>
                <w:rFonts w:ascii="Times New Roman" w:cs="Times New Roman" w:eastAsia="Times New Roman" w:hAnsi="Times New Roman"/>
                <w:sz w:val="18"/>
                <w:szCs w:val="18"/>
                <w:color w:val="auto"/>
              </w:rPr>
              <w:t>190-233</w:t>
            </w:r>
          </w:p>
        </w:tc>
        <w:tc>
          <w:tcPr>
            <w:tcW w:w="1160" w:type="dxa"/>
            <w:vAlign w:val="bottom"/>
            <w:shd w:val="clear" w:color="auto" w:fill="CAEFFF"/>
          </w:tcPr>
          <w:p>
            <w:pPr>
              <w:spacing w:after="0"/>
              <w:rPr>
                <w:sz w:val="18"/>
                <w:szCs w:val="18"/>
                <w:color w:val="auto"/>
              </w:rPr>
            </w:pPr>
          </w:p>
        </w:tc>
        <w:tc>
          <w:tcPr>
            <w:tcW w:w="2800" w:type="dxa"/>
            <w:vAlign w:val="bottom"/>
            <w:gridSpan w:val="2"/>
            <w:shd w:val="clear" w:color="auto" w:fill="CAEFFF"/>
          </w:tcPr>
          <w:p>
            <w:pPr>
              <w:jc w:val="right"/>
              <w:ind w:right="1620"/>
              <w:spacing w:after="0"/>
              <w:rPr>
                <w:sz w:val="20"/>
                <w:szCs w:val="20"/>
                <w:color w:val="auto"/>
              </w:rPr>
            </w:pPr>
            <w:r>
              <w:rPr>
                <w:rFonts w:ascii="Times New Roman" w:cs="Times New Roman" w:eastAsia="Times New Roman" w:hAnsi="Times New Roman"/>
                <w:sz w:val="18"/>
                <w:szCs w:val="18"/>
                <w:color w:val="auto"/>
              </w:rPr>
              <w:t>10,000</w:t>
            </w:r>
          </w:p>
        </w:tc>
        <w:tc>
          <w:tcPr>
            <w:tcW w:w="1180" w:type="dxa"/>
            <w:vAlign w:val="bottom"/>
            <w:tcBorders>
              <w:right w:val="single" w:sz="8" w:color="CAEFFF"/>
            </w:tcBorders>
            <w:gridSpan w:val="2"/>
            <w:shd w:val="clear" w:color="auto" w:fill="CAEFFF"/>
          </w:tcPr>
          <w:p>
            <w:pPr>
              <w:jc w:val="right"/>
              <w:spacing w:after="0"/>
              <w:rPr>
                <w:sz w:val="20"/>
                <w:szCs w:val="20"/>
                <w:color w:val="auto"/>
              </w:rPr>
            </w:pPr>
            <w:r>
              <w:rPr>
                <w:rFonts w:ascii="Times New Roman" w:cs="Times New Roman" w:eastAsia="Times New Roman" w:hAnsi="Times New Roman"/>
                <w:sz w:val="18"/>
                <w:szCs w:val="18"/>
                <w:color w:val="auto"/>
              </w:rPr>
              <w:t>1,900 – 2,330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tcBorders>
            <w:gridSpan w:val="3"/>
            <w:shd w:val="clear" w:color="auto" w:fill="3C4A3E"/>
          </w:tcPr>
          <w:p>
            <w:pPr>
              <w:ind w:left="20"/>
              <w:spacing w:after="0"/>
              <w:rPr>
                <w:sz w:val="20"/>
                <w:szCs w:val="20"/>
                <w:color w:val="auto"/>
              </w:rPr>
            </w:pPr>
            <w:r>
              <w:rPr>
                <w:rFonts w:ascii="Times New Roman" w:cs="Times New Roman" w:eastAsia="Times New Roman" w:hAnsi="Times New Roman"/>
                <w:sz w:val="18"/>
                <w:szCs w:val="18"/>
                <w:b w:val="1"/>
                <w:bCs w:val="1"/>
                <w:color w:val="FFFFFF"/>
              </w:rPr>
              <w:t>Total</w:t>
            </w:r>
          </w:p>
        </w:tc>
        <w:tc>
          <w:tcPr>
            <w:tcW w:w="620" w:type="dxa"/>
            <w:vAlign w:val="bottom"/>
            <w:shd w:val="clear" w:color="auto" w:fill="3C4A3E"/>
          </w:tcPr>
          <w:p>
            <w:pPr>
              <w:spacing w:after="0"/>
              <w:rPr>
                <w:sz w:val="18"/>
                <w:szCs w:val="18"/>
                <w:color w:val="auto"/>
              </w:rPr>
            </w:pPr>
          </w:p>
        </w:tc>
        <w:tc>
          <w:tcPr>
            <w:tcW w:w="460" w:type="dxa"/>
            <w:vAlign w:val="bottom"/>
            <w:shd w:val="clear" w:color="auto" w:fill="3C4A3E"/>
          </w:tcPr>
          <w:p>
            <w:pPr>
              <w:spacing w:after="0"/>
              <w:rPr>
                <w:sz w:val="18"/>
                <w:szCs w:val="18"/>
                <w:color w:val="auto"/>
              </w:rPr>
            </w:pPr>
          </w:p>
        </w:tc>
        <w:tc>
          <w:tcPr>
            <w:tcW w:w="480" w:type="dxa"/>
            <w:vAlign w:val="bottom"/>
            <w:shd w:val="clear" w:color="auto" w:fill="3C4A3E"/>
          </w:tcPr>
          <w:p>
            <w:pPr>
              <w:spacing w:after="0"/>
              <w:rPr>
                <w:sz w:val="18"/>
                <w:szCs w:val="18"/>
                <w:color w:val="auto"/>
              </w:rPr>
            </w:pPr>
          </w:p>
        </w:tc>
        <w:tc>
          <w:tcPr>
            <w:tcW w:w="1160" w:type="dxa"/>
            <w:vAlign w:val="bottom"/>
            <w:shd w:val="clear" w:color="auto" w:fill="3C4A3E"/>
          </w:tcPr>
          <w:p>
            <w:pPr>
              <w:spacing w:after="0"/>
              <w:rPr>
                <w:sz w:val="18"/>
                <w:szCs w:val="18"/>
                <w:color w:val="auto"/>
              </w:rPr>
            </w:pPr>
          </w:p>
        </w:tc>
        <w:tc>
          <w:tcPr>
            <w:tcW w:w="2800" w:type="dxa"/>
            <w:vAlign w:val="bottom"/>
            <w:gridSpan w:val="2"/>
            <w:shd w:val="clear" w:color="auto" w:fill="3C4A3E"/>
          </w:tcPr>
          <w:p>
            <w:pPr>
              <w:jc w:val="right"/>
              <w:ind w:right="1620"/>
              <w:spacing w:after="0"/>
              <w:rPr>
                <w:sz w:val="20"/>
                <w:szCs w:val="20"/>
                <w:color w:val="auto"/>
              </w:rPr>
            </w:pPr>
            <w:r>
              <w:rPr>
                <w:rFonts w:ascii="Times New Roman" w:cs="Times New Roman" w:eastAsia="Times New Roman" w:hAnsi="Times New Roman"/>
                <w:sz w:val="18"/>
                <w:szCs w:val="18"/>
                <w:b w:val="1"/>
                <w:bCs w:val="1"/>
                <w:color w:val="FFFFFF"/>
              </w:rPr>
              <w:t>10,000</w:t>
            </w:r>
          </w:p>
        </w:tc>
        <w:tc>
          <w:tcPr>
            <w:tcW w:w="1180" w:type="dxa"/>
            <w:vAlign w:val="bottom"/>
            <w:tcBorders>
              <w:right w:val="single" w:sz="8" w:color="auto"/>
            </w:tcBorders>
            <w:gridSpan w:val="2"/>
            <w:shd w:val="clear" w:color="auto" w:fill="3C4A3E"/>
          </w:tcPr>
          <w:p>
            <w:pPr>
              <w:jc w:val="right"/>
              <w:ind w:right="20"/>
              <w:spacing w:after="0"/>
              <w:rPr>
                <w:sz w:val="20"/>
                <w:szCs w:val="20"/>
                <w:color w:val="auto"/>
              </w:rPr>
            </w:pPr>
            <w:r>
              <w:rPr>
                <w:rFonts w:ascii="Times New Roman" w:cs="Times New Roman" w:eastAsia="Times New Roman" w:hAnsi="Times New Roman"/>
                <w:sz w:val="18"/>
                <w:szCs w:val="18"/>
                <w:b w:val="1"/>
                <w:bCs w:val="1"/>
                <w:color w:val="FFFFFF"/>
              </w:rPr>
              <w:t>1,900 – 2,330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PDU Model</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Total # of Units</w:t>
            </w: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tcBorders>
              <w:left w:val="single" w:sz="8" w:color="CAEFFF"/>
            </w:tcBorders>
            <w:gridSpan w:val="3"/>
            <w:shd w:val="clear" w:color="auto" w:fill="CAEFFF"/>
          </w:tcPr>
          <w:p>
            <w:pPr>
              <w:spacing w:after="0"/>
              <w:rPr>
                <w:sz w:val="20"/>
                <w:szCs w:val="20"/>
                <w:color w:val="auto"/>
              </w:rPr>
            </w:pPr>
            <w:r>
              <w:rPr>
                <w:rFonts w:ascii="Times New Roman" w:cs="Times New Roman" w:eastAsia="Times New Roman" w:hAnsi="Times New Roman"/>
                <w:sz w:val="18"/>
                <w:szCs w:val="18"/>
                <w:color w:val="auto"/>
              </w:rPr>
              <w:t>BITF-150-415V-RPDU</w:t>
            </w:r>
          </w:p>
        </w:tc>
        <w:tc>
          <w:tcPr>
            <w:tcW w:w="620" w:type="dxa"/>
            <w:vAlign w:val="bottom"/>
            <w:shd w:val="clear" w:color="auto" w:fill="CAEFFF"/>
          </w:tcPr>
          <w:p>
            <w:pPr>
              <w:spacing w:after="0"/>
              <w:rPr>
                <w:sz w:val="18"/>
                <w:szCs w:val="18"/>
                <w:color w:val="auto"/>
              </w:rPr>
            </w:pPr>
          </w:p>
        </w:tc>
        <w:tc>
          <w:tcPr>
            <w:tcW w:w="460" w:type="dxa"/>
            <w:vAlign w:val="bottom"/>
            <w:shd w:val="clear" w:color="auto" w:fill="CAEFFF"/>
          </w:tcPr>
          <w:p>
            <w:pPr>
              <w:spacing w:after="0"/>
              <w:rPr>
                <w:sz w:val="18"/>
                <w:szCs w:val="18"/>
                <w:color w:val="auto"/>
              </w:rPr>
            </w:pPr>
          </w:p>
        </w:tc>
        <w:tc>
          <w:tcPr>
            <w:tcW w:w="480" w:type="dxa"/>
            <w:vAlign w:val="bottom"/>
            <w:shd w:val="clear" w:color="auto" w:fill="CAEFFF"/>
          </w:tcPr>
          <w:p>
            <w:pPr>
              <w:spacing w:after="0"/>
              <w:rPr>
                <w:sz w:val="18"/>
                <w:szCs w:val="18"/>
                <w:color w:val="auto"/>
              </w:rPr>
            </w:pPr>
          </w:p>
        </w:tc>
        <w:tc>
          <w:tcPr>
            <w:tcW w:w="1160" w:type="dxa"/>
            <w:vAlign w:val="bottom"/>
            <w:shd w:val="clear" w:color="auto" w:fill="CAEFFF"/>
          </w:tcPr>
          <w:p>
            <w:pPr>
              <w:spacing w:after="0"/>
              <w:rPr>
                <w:sz w:val="18"/>
                <w:szCs w:val="18"/>
                <w:color w:val="auto"/>
              </w:rPr>
            </w:pPr>
          </w:p>
        </w:tc>
        <w:tc>
          <w:tcPr>
            <w:tcW w:w="1180" w:type="dxa"/>
            <w:vAlign w:val="bottom"/>
            <w:shd w:val="clear" w:color="auto" w:fill="CAEFFF"/>
          </w:tcPr>
          <w:p>
            <w:pPr>
              <w:spacing w:after="0"/>
              <w:rPr>
                <w:sz w:val="18"/>
                <w:szCs w:val="18"/>
                <w:color w:val="auto"/>
              </w:rPr>
            </w:pPr>
          </w:p>
        </w:tc>
        <w:tc>
          <w:tcPr>
            <w:tcW w:w="1620" w:type="dxa"/>
            <w:vAlign w:val="bottom"/>
            <w:shd w:val="clear" w:color="auto" w:fill="CAEFFF"/>
          </w:tcPr>
          <w:p>
            <w:pPr>
              <w:spacing w:after="0"/>
              <w:rPr>
                <w:sz w:val="18"/>
                <w:szCs w:val="18"/>
                <w:color w:val="auto"/>
              </w:rPr>
            </w:pPr>
          </w:p>
        </w:tc>
        <w:tc>
          <w:tcPr>
            <w:tcW w:w="1180" w:type="dxa"/>
            <w:vAlign w:val="bottom"/>
            <w:tcBorders>
              <w:right w:val="single" w:sz="8" w:color="CAEFFF"/>
            </w:tcBorders>
            <w:gridSpan w:val="2"/>
            <w:shd w:val="clear" w:color="auto" w:fill="CAEF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3C4A3E"/>
            </w:tcBorders>
            <w:gridSpan w:val="3"/>
            <w:shd w:val="clear" w:color="auto" w:fill="3C4A3E"/>
          </w:tcPr>
          <w:p>
            <w:pPr>
              <w:spacing w:after="0"/>
              <w:rPr>
                <w:sz w:val="20"/>
                <w:szCs w:val="20"/>
                <w:color w:val="auto"/>
              </w:rPr>
            </w:pPr>
            <w:r>
              <w:rPr>
                <w:rFonts w:ascii="Times New Roman" w:cs="Times New Roman" w:eastAsia="Times New Roman" w:hAnsi="Times New Roman"/>
                <w:sz w:val="18"/>
                <w:szCs w:val="18"/>
                <w:b w:val="1"/>
                <w:bCs w:val="1"/>
                <w:color w:val="FFFFFF"/>
              </w:rPr>
              <w:t>Total</w:t>
            </w:r>
          </w:p>
        </w:tc>
        <w:tc>
          <w:tcPr>
            <w:tcW w:w="620" w:type="dxa"/>
            <w:vAlign w:val="bottom"/>
            <w:shd w:val="clear" w:color="auto" w:fill="3C4A3E"/>
          </w:tcPr>
          <w:p>
            <w:pPr>
              <w:spacing w:after="0"/>
              <w:rPr>
                <w:sz w:val="18"/>
                <w:szCs w:val="18"/>
                <w:color w:val="auto"/>
              </w:rPr>
            </w:pPr>
          </w:p>
        </w:tc>
        <w:tc>
          <w:tcPr>
            <w:tcW w:w="460" w:type="dxa"/>
            <w:vAlign w:val="bottom"/>
            <w:shd w:val="clear" w:color="auto" w:fill="3C4A3E"/>
          </w:tcPr>
          <w:p>
            <w:pPr>
              <w:spacing w:after="0"/>
              <w:rPr>
                <w:sz w:val="18"/>
                <w:szCs w:val="18"/>
                <w:color w:val="auto"/>
              </w:rPr>
            </w:pPr>
          </w:p>
        </w:tc>
        <w:tc>
          <w:tcPr>
            <w:tcW w:w="480" w:type="dxa"/>
            <w:vAlign w:val="bottom"/>
            <w:shd w:val="clear" w:color="auto" w:fill="3C4A3E"/>
          </w:tcPr>
          <w:p>
            <w:pPr>
              <w:spacing w:after="0"/>
              <w:rPr>
                <w:sz w:val="18"/>
                <w:szCs w:val="18"/>
                <w:color w:val="auto"/>
              </w:rPr>
            </w:pPr>
          </w:p>
        </w:tc>
        <w:tc>
          <w:tcPr>
            <w:tcW w:w="1160" w:type="dxa"/>
            <w:vAlign w:val="bottom"/>
            <w:shd w:val="clear" w:color="auto" w:fill="3C4A3E"/>
          </w:tcPr>
          <w:p>
            <w:pPr>
              <w:spacing w:after="0"/>
              <w:rPr>
                <w:sz w:val="18"/>
                <w:szCs w:val="18"/>
                <w:color w:val="auto"/>
              </w:rPr>
            </w:pPr>
          </w:p>
        </w:tc>
        <w:tc>
          <w:tcPr>
            <w:tcW w:w="1180" w:type="dxa"/>
            <w:vAlign w:val="bottom"/>
            <w:shd w:val="clear" w:color="auto" w:fill="3C4A3E"/>
          </w:tcPr>
          <w:p>
            <w:pPr>
              <w:spacing w:after="0"/>
              <w:rPr>
                <w:sz w:val="18"/>
                <w:szCs w:val="18"/>
                <w:color w:val="auto"/>
              </w:rPr>
            </w:pPr>
          </w:p>
        </w:tc>
        <w:tc>
          <w:tcPr>
            <w:tcW w:w="1620" w:type="dxa"/>
            <w:vAlign w:val="bottom"/>
            <w:shd w:val="clear" w:color="auto" w:fill="3C4A3E"/>
          </w:tcPr>
          <w:p>
            <w:pPr>
              <w:spacing w:after="0"/>
              <w:rPr>
                <w:sz w:val="18"/>
                <w:szCs w:val="18"/>
                <w:color w:val="auto"/>
              </w:rPr>
            </w:pPr>
          </w:p>
        </w:tc>
        <w:tc>
          <w:tcPr>
            <w:tcW w:w="1180" w:type="dxa"/>
            <w:vAlign w:val="bottom"/>
            <w:tcBorders>
              <w:right w:val="single" w:sz="8" w:color="3C4A3E"/>
            </w:tcBorders>
            <w:gridSpan w:val="2"/>
            <w:shd w:val="clear" w:color="auto" w:fill="3C4A3E"/>
          </w:tcPr>
          <w:p>
            <w:pPr>
              <w:jc w:val="right"/>
              <w:spacing w:after="0"/>
              <w:rPr>
                <w:sz w:val="20"/>
                <w:szCs w:val="20"/>
                <w:color w:val="auto"/>
              </w:rPr>
            </w:pPr>
            <w:r>
              <w:rPr>
                <w:rFonts w:ascii="Times New Roman" w:cs="Times New Roman" w:eastAsia="Times New Roman" w:hAnsi="Times New Roman"/>
                <w:sz w:val="18"/>
                <w:szCs w:val="18"/>
                <w:b w:val="1"/>
                <w:bCs w:val="1"/>
                <w:color w:val="FFFFFF"/>
              </w:rPr>
              <w:t>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7"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“Actual Payment Amount” means the Bitfarms Share of Power Revenue (as defined herein)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Bitfarms Share of Cost (as defined herein)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reimbursement for taxes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the Upfront Monthly Payment.</w:t>
      </w:r>
    </w:p>
    <w:p>
      <w:pPr>
        <w:spacing w:after="0" w:line="16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“Agreement Cost of Power” means the amount determined by calculating the quotient of a) “Agreement Dollar Cost of Power” (defined herein)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110% and b) “Calculation MWh” (defined herein).</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“Agreement Dollar Cost of Power” means all fuel costs, operations and maintenance expenses, general and administrative expenses, and financing charges incurred by the plant, with the following adjustments and exceptions: (i) sales to Pennsylvania Tier II Alternative Energy Credits will be excluded from the reported fuel cost, and they will be replaced with an accrual calculated as the product of the difference of the Calculation MWh and the number of megawatt-hours imported from the grid, a 0.85 factor, and the weighted-average net price received by Stronghold for its 100,000 most-recently sold Pennsylvania Tier II Alternative Energy Credits; (ii) the cost of importing power from the grid, which is netted out of revenue for the purposes of reporting, will increase the Agreement Dollar Cost of Power; (iii) capacity revenue will be added back, reducing the Agreement Dollar Cost of Power; (iv) reactive energy revenue will be added back, reducing the Agreement Dollar Cost of Power; (v) revenue from sales of ash will be added back, reducing the Agreement Dollar Cost of Power; (vi) any general and administrative expenses of Stronghold that flow through the books of Panther Creek, will be excluded from the Agreement Dollar Cost of Power; (vii) any one-time costs, including major plant upgrades, may be excluded from the Agreement Dollar Cost of Power; and (viii) depreciation, amortization, impairments, and other similar non-cash expenses will not be included in the Agreement Dollar Cost of Power.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“Agreement Revenue” means “Mining Revenue” (as defined herein)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“Power Revenue” (as defined herein).</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“Associated Equipment” means electrical infrastructure at Panther Creek that facilitates the operation of the Bitcoin Miners and/or PDUs and does not otherwise include the power generation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“Average Grid Price” means the average grid pricing realized at Panther Creek.</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“Average Monthly Transaction Fees as a % of Block Reward” means the average of the daily Bitcoin network transaction fees during the month (per https://explorer.btc.com/stats/fee).</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“Business Day” means a day other than a day on which the banks in Toronto, Ontario, Canada, the State of New York or the State of Delaware are authorized or obligated to be closed.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“Calculation MWh” means the sum of the number of megawatt hours sold to the grid and the number of megawatt hours delivered to the Mining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“Curtailment Electricity” means, in respect of each hour when Stronghold elects to curtail the Bitcoin Miners, the amount calculated by determining the difference between (x) the average number of megawatts used by the Bitcoin Miners and the Associated Equipment over the most recent twenty-four (24)-hour period and (y) the number of megawatts used by the Bitcoin Miners and the Associated Equipment for the hour then-being measured.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“Bitfarms Share” equals 50%.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“Bitfarms Share of Cost” mean the product of the Total Cost and the Bitfarms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“Bitfarms Share of Mining Revenue” means the product of the Mining Revenue and the Bitfarms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“Bitfarms Share of Power Revenue” means the product of the Power Revenue and the Bitfarms Share.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“Grid Fees” means fees in addition to the Average Grid Price that may be charged at Panther Creek, additional fees that may be charged from time to time in respect of balancing transmission congestion, balancing transmission losses and balancing operating revenue.</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“Hash Price” shall mean the quotient of (x) the product of the average daily close Bitcoin price during the month (per https://finance.yahoo.com/quote/BTC-USD/history?p=BTC-USD) and the prevailing block subsidy and 86,400,000,000,000,000 and (1+ Average Monthly Transaction Fees as a % of Block Reward and (y) the product of the average difficulty (per https://btc.com/stats/diff) and 4,294,967,296.</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“Implied Bitcoin Mining Revenue” means the quotient of (x) the product of Hash Price and 1,000,000 and (y) the product of “Specification Miner Efficiency” (as defined herein) and 24.36.</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“Interest Period” means the period commencing on the date Bitfarms provides the Deposit to Stronghold pursuant to Section 3.6.1 of the Agreement and ending on the last Business Day of each March, June, September and December (commencing with the last Business Day of the first full calendar quarter ended after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Interest Period shall extent beyond the date the Deposit is refunded pursuant to Section 3.6.1 of the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Rate” means an interest rate per annum equal to the sum of the SOFR Rate and 1.00%.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“Interest Payment Date” means the last day of each calendar quarter therefor and the date on which the Deposit is refunded pursuant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3.6.1.</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“Merger Agreement” means the Agreement and Plan of Merger, dated August 21, 2024, among Bitfarms Ltd., Backbone Mining Solutions LLC, HPC &amp; AI Megacorp, Inc. and Stronghold Digital Mining, Inc., as amended by the Merger Agreement Amendment (as the same may be amended, restated, modified or supplemented from time to time).</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“Merger Agreement Amendment” means Amendment No. 1 to the Merger Agreement, dated September 12, 2024, among Bitfarms, Ltd., Backbone Mining Solutions LLC, HPC &amp; AI Megacorp, Inc. and Stronghold Digital Mining, Inc.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“Mining Facility” means the data center collocated at Panther Creek.</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“Mining Revenue” means the revenue generated, collectively, by all of the Bitcoin Miners expressed in terms of total Bitcoins produced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the price of Bitcoin on Coinbase.com at 4:00 p.m. Eastern time on a given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“Monthly Service Fees” means Profit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Bitfarms Share for each month.</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“Power Revenue” means the product of a) Curtailment Electricity and b) the Average Grid Price less Grid Fees, as calculated on an hourly basis during each month (i.e., Curtailment Electricity x (Average Grid Price – Grid Fees).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“Profit” means the difference between Agreement Revenue and “Total Cost” (as defined herein) (i.e., Agreement Revenue – Total Cost).</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“SOFR Administrator”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“SOFR Rate” means the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Day</w:t>
      </w:r>
      <w:r>
        <w:rPr>
          <w:rFonts w:ascii="Times New Roman" w:cs="Times New Roman" w:eastAsia="Times New Roman" w:hAnsi="Times New Roman"/>
          <w:sz w:val="18"/>
          <w:szCs w:val="18"/>
          <w:color w:val="auto"/>
        </w:rPr>
        <w:t xml:space="preserve">”) that is two (2) Business Days prior to the first day of such Interest Period, as such rate is published by the SOFR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as of 5:00 p.m., New York City time, on any Periodic SOFR Determination Day, the SOFR Reference Rate for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tenor has not been published by the SOFR Administrator, then the SOFR Rate will be the SOFR Reference Rate for such tenor as published by the SOFR Administrator on the first preceding Business Day for which such SOFR Reference Rate for such tenor was published by the SOFR Administrator so long as such first preceding Business Day is not more than three (3) Business Days prior to such Periodic SOFR Determination Day;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“SOFR Reference Rate” means the forward-looking term rate based on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“Specification Miner Efficiency” represents the efficiency of a Bitcoin Miner, measured in joules per terahash.</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“Stronghold Net Revenue” is the Agreement Revenue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Monthly Service Fees for each month.</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Cost” means the product of the “Utilized MWh” (as defined herein) and the Agreement Cost of Power.</w:t>
      </w:r>
    </w:p>
    <w:p>
      <w:pPr>
        <w:spacing w:after="0" w:line="225"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“Utilized MWh” means the sum of the Curtailment Electricity and the number of megawatt-hours delivered to the Bitcoin Miners and the Associated Equipment.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 AGREEMENT AND PLAN OF MERGER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AMENDMENT NO. 1 TO THE AGREEMENT AND PLAN OF MERGER, dated as of September 12, 2024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is entered into by and among Bitfarms Ltd., a corporation organized under the Business Corporations Act (Ontario) (“</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and a wholly owned, indirect Subsidiary of Parent (“</w:t>
      </w:r>
      <w:r>
        <w:rPr>
          <w:rFonts w:ascii="Times New Roman" w:cs="Times New Roman" w:eastAsia="Times New Roman" w:hAnsi="Times New Roman"/>
          <w:sz w:val="18"/>
          <w:szCs w:val="18"/>
          <w:b w:val="1"/>
          <w:bCs w:val="1"/>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and Stronghold Digital Mining,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Each of Parent, BMS, Merger Sub, and the Company are referred to herein as a “</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and together as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on August 21, 2024, the Parties entered into the Agreement and Plan of Merger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 accordance with Section 9.12 of the Merger Agreement, the Parties desire to amend the Merger Agreement as set forth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the Parties hereby agree as follows:</w:t>
      </w:r>
    </w:p>
    <w:p>
      <w:pPr>
        <w:spacing w:after="0" w:line="158" w:lineRule="exact"/>
        <w:rPr>
          <w:sz w:val="20"/>
          <w:szCs w:val="20"/>
          <w:color w:val="auto"/>
        </w:rPr>
      </w:pPr>
    </w:p>
    <w:p>
      <w:pPr>
        <w:ind w:right="380" w:firstLine="1304"/>
        <w:spacing w:after="0" w:line="286" w:lineRule="auto"/>
        <w:tabs>
          <w:tab w:leader="none" w:pos="18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Each capitalized term used but not otherwise defined herein shall have the meaning ascribed to such term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as amended hereby.</w:t>
      </w:r>
    </w:p>
    <w:p>
      <w:pPr>
        <w:spacing w:after="0" w:line="154"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the Merger Agreement</w:t>
      </w:r>
      <w:r>
        <w:rPr>
          <w:rFonts w:ascii="Times New Roman" w:cs="Times New Roman" w:eastAsia="Times New Roman" w:hAnsi="Times New Roman"/>
          <w:sz w:val="18"/>
          <w:szCs w:val="18"/>
          <w:u w:val="single" w:color="auto"/>
          <w:color w:val="auto"/>
        </w:rPr>
        <w:t>.</w:t>
      </w:r>
    </w:p>
    <w:p>
      <w:pPr>
        <w:spacing w:after="0" w:line="229" w:lineRule="exact"/>
        <w:rPr>
          <w:sz w:val="20"/>
          <w:szCs w:val="20"/>
          <w:color w:val="auto"/>
        </w:rPr>
      </w:pPr>
    </w:p>
    <w:p>
      <w:pPr>
        <w:ind w:left="1900" w:hanging="596"/>
        <w:spacing w:after="0"/>
        <w:tabs>
          <w:tab w:leader="none" w:pos="1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4.2(a) of the Merger Agreement is hereby amended and restated to read as follows:</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Agreement, the authorized capital stock of the Company consists of (i) 238,000,000 shares of Company Class A Common Stock, (ii) 50,000,000 shares of Company Class V Common Stock and (iii) 50,000,000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920" w:hanging="616"/>
        <w:spacing w:after="0"/>
        <w:tabs>
          <w:tab w:leader="none" w:pos="1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6.1(b)(ii) of the Merger Agreement is hereby amended and restated to read as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1" w:name="page32"/>
    <w:bookmarkEnd w:id="31"/>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the issuance of Company Common Stock upon the vesting or lapse of any restrictions on any shares related to Company RSUs or other awards granted under the Company Equity Plans and outstanding on the date hereof or issued in compliance with clause (B) below; (B) the issuance of equity awards granted under the Company Equity Plans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xml:space="preserve">; (C) the issuance of Company Common Stock upon the exercise of any Company Options; (D) the issuance of Company Common Stock upon the conversion of any Company Preferred Stock; (E) the issuance of Company Common Stock upon the exercise of any Company Warrants in accordance with the terms of the applicable warrant agreement; (F) issuances by a wholly-owned Subsidiary of the Company or Company Holdco of such Subsidiary’s capital stock or other equity interests to the Company or Company Holdco or any other wholly-owned Subsidiary of the Company or Company Holdco; and (G) issuances of any Company Common Stock in connection with a redemption of Company Holdco Units in accordance with the Company Holdco LLC Agreement (for the avoidance of doubt, the filing of a registration statement by the Company shall not be deemed as a breach of this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xml:space="preserve"> so long as the Company does not issue any equity interests pursuant to such registration statement without Parent’s prior written consent);”</w:t>
      </w:r>
    </w:p>
    <w:p>
      <w:pPr>
        <w:spacing w:after="0" w:line="187" w:lineRule="exact"/>
        <w:rPr>
          <w:sz w:val="20"/>
          <w:szCs w:val="20"/>
          <w:color w:val="auto"/>
        </w:rPr>
      </w:pPr>
    </w:p>
    <w:p>
      <w:pPr>
        <w:ind w:left="2020" w:hanging="716"/>
        <w:spacing w:after="0"/>
        <w:tabs>
          <w:tab w:leader="none" w:pos="2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in Annex A of the Merger Agreement is hereby amended and restated to read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5"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means $12,500,000,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the Deposit (as defined in the Hosting Agreement) held by the Company and not yet returned to Parent under the Hosting Agreement as of the date of the termination of this Agreement up to a maximum of $5,000,000, payable in cash and/or Bitcoin as elected by Parent.”</w:t>
      </w:r>
    </w:p>
    <w:p>
      <w:pPr>
        <w:spacing w:after="0" w:line="175" w:lineRule="exact"/>
        <w:rPr>
          <w:sz w:val="20"/>
          <w:szCs w:val="20"/>
          <w:color w:val="auto"/>
        </w:rPr>
      </w:pPr>
    </w:p>
    <w:p>
      <w:pPr>
        <w:ind w:right="720" w:firstLine="1304"/>
        <w:spacing w:after="0" w:line="282" w:lineRule="auto"/>
        <w:tabs>
          <w:tab w:leader="none" w:pos="18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definition of “</w:t>
      </w:r>
      <w:r>
        <w:rPr>
          <w:rFonts w:ascii="Times New Roman" w:cs="Times New Roman" w:eastAsia="Times New Roman" w:hAnsi="Times New Roman"/>
          <w:sz w:val="18"/>
          <w:szCs w:val="18"/>
          <w:u w:val="single" w:color="auto"/>
          <w:color w:val="auto"/>
        </w:rPr>
        <w:t>Hosting Agreement</w:t>
      </w:r>
      <w:r>
        <w:rPr>
          <w:rFonts w:ascii="Times New Roman" w:cs="Times New Roman" w:eastAsia="Times New Roman" w:hAnsi="Times New Roman"/>
          <w:sz w:val="18"/>
          <w:szCs w:val="18"/>
          <w:color w:val="auto"/>
        </w:rPr>
        <w:t>” is hereby added to Annex A of the Merger Agreement immediately above the definition of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to read as follows: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Hosting Agreement</w:t>
      </w:r>
      <w:r>
        <w:rPr>
          <w:rFonts w:ascii="Times New Roman" w:cs="Times New Roman" w:eastAsia="Times New Roman" w:hAnsi="Times New Roman"/>
          <w:sz w:val="18"/>
          <w:szCs w:val="18"/>
          <w:color w:val="auto"/>
        </w:rPr>
        <w:t>’ means that certain Hosting Agreement, dated September 12, 2024, by and between Stronghold Digital Mining Hosting, LLC and Parent.”</w:t>
      </w:r>
    </w:p>
    <w:p>
      <w:pPr>
        <w:spacing w:after="0" w:line="162" w:lineRule="exact"/>
        <w:rPr>
          <w:sz w:val="20"/>
          <w:szCs w:val="20"/>
          <w:color w:val="auto"/>
        </w:rPr>
      </w:pPr>
    </w:p>
    <w:p>
      <w:pPr>
        <w:ind w:firstLine="1304"/>
        <w:spacing w:after="0" w:line="282" w:lineRule="auto"/>
        <w:tabs>
          <w:tab w:leader="none" w:pos="19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of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xml:space="preserve"> of the Company Disclosure Letter is hereby removed in its entirety and shall be deemed null and void, as though it had never been included in the Company Disclosure Letter.</w:t>
      </w:r>
    </w:p>
    <w:p>
      <w:pPr>
        <w:spacing w:after="0" w:line="158" w:lineRule="exact"/>
        <w:rPr>
          <w:sz w:val="20"/>
          <w:szCs w:val="20"/>
          <w:color w:val="auto"/>
        </w:rPr>
      </w:pPr>
    </w:p>
    <w:p>
      <w:pPr>
        <w:ind w:right="20" w:firstLine="1304"/>
        <w:spacing w:after="0" w:line="256" w:lineRule="auto"/>
        <w:tabs>
          <w:tab w:leader="none" w:pos="18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References to and Effect on the Merger Agreement</w:t>
      </w:r>
      <w:r>
        <w:rPr>
          <w:rFonts w:ascii="Times New Roman" w:cs="Times New Roman" w:eastAsia="Times New Roman" w:hAnsi="Times New Roman"/>
          <w:sz w:val="18"/>
          <w:szCs w:val="18"/>
          <w:color w:val="auto"/>
        </w:rPr>
        <w:t>. On and after the date hereof, each reference in the Merger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“herein,” “hereby,” “hereunder,” “hereof,” or words of similar import referring to the Merger Agreement, and any reference to the Merger Agreement in any other agreements, instruments and documents executed and delivered in connection therewith, shall mean the Merger Agreement as amended by this Amendment. The provisions set forth in this Amendment shall be deemed to be and shall be construed as part of the Merger Agreement to the same extent as if fully set forth verbatim therein. All references in the Merger Agreement, as amended by this Amendment, to “the date hereof,” “the date of this Agreement” and words of similar import, and all references to the date of the Merger Agreement in any other agreements, instruments and documents executed and delivered in connection therewith, shall in all instances continue to refer to August 21, 2024.</w:t>
      </w:r>
    </w:p>
    <w:p>
      <w:pPr>
        <w:spacing w:after="0" w:line="182" w:lineRule="exact"/>
        <w:rPr>
          <w:rFonts w:ascii="Times New Roman" w:cs="Times New Roman" w:eastAsia="Times New Roman" w:hAnsi="Times New Roman"/>
          <w:sz w:val="18"/>
          <w:szCs w:val="18"/>
          <w:color w:val="auto"/>
        </w:rPr>
      </w:pPr>
    </w:p>
    <w:p>
      <w:pPr>
        <w:ind w:right="40" w:firstLine="1304"/>
        <w:spacing w:after="0" w:line="286" w:lineRule="auto"/>
        <w:tabs>
          <w:tab w:leader="none" w:pos="18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Except as expressly amended by this Amendment, the terms of the Merger Agreement shall remain unchanged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in full force and effect.</w:t>
      </w:r>
    </w:p>
    <w:p>
      <w:pPr>
        <w:spacing w:after="0" w:line="154" w:lineRule="exact"/>
        <w:rPr>
          <w:rFonts w:ascii="Times New Roman" w:cs="Times New Roman" w:eastAsia="Times New Roman" w:hAnsi="Times New Roman"/>
          <w:sz w:val="18"/>
          <w:szCs w:val="18"/>
          <w:color w:val="auto"/>
        </w:rPr>
      </w:pPr>
    </w:p>
    <w:p>
      <w:pPr>
        <w:ind w:right="140" w:firstLine="1304"/>
        <w:spacing w:after="0" w:line="268" w:lineRule="auto"/>
        <w:tabs>
          <w:tab w:leader="none" w:pos="18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Miscellaneous Terms</w:t>
      </w:r>
      <w:r>
        <w:rPr>
          <w:rFonts w:ascii="Times New Roman" w:cs="Times New Roman" w:eastAsia="Times New Roman" w:hAnsi="Times New Roman"/>
          <w:sz w:val="18"/>
          <w:szCs w:val="18"/>
          <w:color w:val="auto"/>
        </w:rPr>
        <w:t>. The provisions of Article IX of the Merger Agreement shall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to the Merger Agreement as modified by this Amendment, taken together as a single agreement, reflecting the terms therein as modified hereby.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 officers thereunto duly authorized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BITFARMS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3" w:name="page34"/>
    <w:bookmarkEnd w:id="3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 officers thereunto duly authorized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BMS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BACKBONE MINING SOLUTIONS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Lucas</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Financial Officer</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4" w:name="page35"/>
    <w:bookmarkEnd w:id="3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 officers thereunto duly authorized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HPC &amp; AI MEGACORP,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Patricia Osorio</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Patricia Osorio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&amp; Corporate Secretary</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5" w:name="page36"/>
    <w:bookmarkEnd w:id="3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 officers thereunto duly authorized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&amp; Chairman</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3"/>
    </w:lvl>
  </w:abstractNum>
  <w:abstractNum w:abstractNumId="9">
    <w:nsid w:val="519B500D"/>
    <w:multiLevelType w:val="hybridMultilevel"/>
    <w:lvl w:ilvl="0">
      <w:lvlJc w:val="left"/>
      <w:lvlText w:val="(%1)"/>
      <w:numFmt w:val="lowerRoman"/>
      <w:start w:val="2"/>
    </w:lvl>
  </w:abstractNum>
  <w:abstractNum w:abstractNumId="10">
    <w:nsid w:val="431BD7B7"/>
    <w:multiLevelType w:val="hybridMultilevel"/>
    <w:lvl w:ilvl="0">
      <w:lvlJc w:val="left"/>
      <w:lvlText w:val="%1."/>
      <w:numFmt w:val="decimal"/>
      <w:start w:val="4"/>
    </w:lvl>
  </w:abstractNum>
  <w:abstractNum w:abstractNumId="11">
    <w:nsid w:val="3F2DBA31"/>
    <w:multiLevelType w:val="hybridMultilevel"/>
    <w:lvl w:ilvl="0">
      <w:lvlJc w:val="left"/>
      <w:lvlText w:val="%1."/>
      <w:numFmt w:val="decimal"/>
      <w:start w:val="5"/>
    </w:lvl>
  </w:abstractNum>
  <w:abstractNum w:abstractNumId="12">
    <w:nsid w:val="7C83E458"/>
    <w:multiLevelType w:val="hybridMultilevel"/>
    <w:lvl w:ilvl="0">
      <w:lvlJc w:val="left"/>
      <w:lvlText w:val="%1."/>
      <w:numFmt w:val="decimal"/>
      <w:start w:val="6"/>
    </w:lvl>
  </w:abstractNum>
  <w:abstractNum w:abstractNumId="13">
    <w:nsid w:val="257130A3"/>
    <w:multiLevelType w:val="hybridMultilevel"/>
    <w:lvl w:ilvl="0">
      <w:lvlJc w:val="left"/>
      <w:lvlText w:val="%1."/>
      <w:numFmt w:val="decimal"/>
      <w:start w:val="7"/>
    </w:lvl>
  </w:abstractNum>
  <w:abstractNum w:abstractNumId="14">
    <w:nsid w:val="62BBD95A"/>
    <w:multiLevelType w:val="hybridMultilevel"/>
    <w:lvl w:ilvl="0">
      <w:lvlJc w:val="left"/>
      <w:lvlText w:val="(%1)"/>
      <w:numFmt w:val="upperLetter"/>
      <w:start w:val="4"/>
    </w:lvl>
  </w:abstractNum>
  <w:abstractNum w:abstractNumId="15">
    <w:nsid w:val="436C6125"/>
    <w:multiLevelType w:val="hybridMultilevel"/>
    <w:lvl w:ilvl="0">
      <w:lvlJc w:val="left"/>
      <w:lvlText w:val="%1."/>
      <w:numFmt w:val="decimal"/>
      <w:start w:val="8"/>
    </w:lvl>
  </w:abstractNum>
  <w:abstractNum w:abstractNumId="16">
    <w:nsid w:val="628C895D"/>
    <w:multiLevelType w:val="hybridMultilevel"/>
    <w:lvl w:ilvl="0">
      <w:lvlJc w:val="left"/>
      <w:lvlText w:val="%1."/>
      <w:numFmt w:val="decimal"/>
      <w:start w:val="10"/>
    </w:lvl>
  </w:abstractNum>
  <w:abstractNum w:abstractNumId="17">
    <w:nsid w:val="333AB105"/>
    <w:multiLevelType w:val="hybridMultilevel"/>
    <w:lvl w:ilvl="0">
      <w:lvlJc w:val="left"/>
      <w:lvlText w:val="%1."/>
      <w:numFmt w:val="decimal"/>
      <w:start w:val="1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2"/>
    </w:lvl>
  </w:abstractNum>
  <w:abstractNum w:abstractNumId="21">
    <w:nsid w:val="6763845E"/>
    <w:multiLevelType w:val="hybridMultilevel"/>
    <w:lvl w:ilvl="0">
      <w:lvlJc w:val="left"/>
      <w:lvlText w:val="(%1)"/>
      <w:numFmt w:val="lowerLetter"/>
      <w:start w:val="3"/>
    </w:lvl>
  </w:abstractNum>
  <w:abstractNum w:abstractNumId="22">
    <w:nsid w:val="75A2A8D4"/>
    <w:multiLevelType w:val="hybridMultilevel"/>
    <w:lvl w:ilvl="0">
      <w:lvlJc w:val="left"/>
      <w:lvlText w:val="(%1)"/>
      <w:numFmt w:val="lowerLetter"/>
      <w:start w:val="4"/>
    </w:lvl>
  </w:abstractNum>
  <w:abstractNum w:abstractNumId="23">
    <w:nsid w:val="8EDBDAB"/>
    <w:multiLevelType w:val="hybridMultilevel"/>
    <w:lvl w:ilvl="0">
      <w:lvlJc w:val="left"/>
      <w:lvlText w:val="(%1)"/>
      <w:numFmt w:val="lowerLetter"/>
      <w:start w:val="5"/>
    </w:lvl>
  </w:abstractNum>
  <w:abstractNum w:abstractNumId="24">
    <w:nsid w:val="79838CB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2024-09-13T15:46:44Z</dcterms:created>
  <dcterms:modified xsi:type="dcterms:W3CDTF">2024-09-13T15:46:44Z</dcterms:modified>
</cp:coreProperties>
</file>