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 w:name="page2"/>
    <w:bookmarkEnd w:id="1"/>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2 of 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13D</w:t>
      </w:r>
    </w:p>
    <w:p>
      <w:pPr>
        <w:spacing w:after="0" w:line="256" w:lineRule="exact"/>
        <w:rPr>
          <w:sz w:val="20"/>
          <w:szCs w:val="20"/>
          <w:color w:val="auto"/>
        </w:rPr>
      </w:pPr>
    </w:p>
    <w:p>
      <w:pPr>
        <w:ind w:left="580" w:hanging="55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Riot Platforms, Inc.</w:t>
      </w:r>
    </w:p>
    <w:p>
      <w:pPr>
        <w:spacing w:after="0" w:line="27" w:lineRule="exact"/>
        <w:rPr>
          <w:sz w:val="20"/>
          <w:szCs w:val="20"/>
          <w:color w:val="auto"/>
        </w:rPr>
      </w:pPr>
    </w:p>
    <w:p>
      <w:pPr>
        <w:ind w:left="480" w:hanging="459"/>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10000"/>
        <w:spacing w:after="0" w:line="207" w:lineRule="exact"/>
        <w:tabs>
          <w:tab w:leader="none" w:pos="10400" w:val="left"/>
          <w:tab w:leader="none" w:pos="10740" w:val="left"/>
        </w:tabs>
        <w:rPr>
          <w:sz w:val="20"/>
          <w:szCs w:val="20"/>
          <w:color w:val="auto"/>
        </w:rPr>
      </w:pPr>
      <w:r>
        <w:rPr>
          <w:rFonts w:ascii="Times New Roman" w:cs="Times New Roman" w:eastAsia="Times New Roman" w:hAnsi="Times New Roman"/>
          <w:sz w:val="18"/>
          <w:szCs w:val="18"/>
          <w:color w:val="auto"/>
        </w:rPr>
        <w:t>(a)</w:t>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(b)</w:t>
      </w:r>
    </w:p>
    <w:p>
      <w:pPr>
        <w:spacing w:after="0" w:line="9" w:lineRule="exact"/>
        <w:rPr>
          <w:sz w:val="20"/>
          <w:szCs w:val="20"/>
          <w:color w:val="auto"/>
        </w:rPr>
      </w:pPr>
    </w:p>
    <w:p>
      <w:pPr>
        <w:ind w:left="10000"/>
        <w:spacing w:after="0" w:line="181" w:lineRule="exact"/>
        <w:rPr>
          <w:sz w:val="20"/>
          <w:szCs w:val="20"/>
          <w:color w:val="auto"/>
        </w:rPr>
      </w:pPr>
      <w:r>
        <w:rPr>
          <w:rFonts w:ascii="MS PGothic" w:cs="MS PGothic" w:eastAsia="MS PGothic" w:hAnsi="MS PGothic"/>
          <w:sz w:val="18"/>
          <w:szCs w:val="18"/>
          <w:color w:val="auto"/>
        </w:rPr>
        <w:t>☐</w:t>
      </w:r>
    </w:p>
    <w:p>
      <w:pPr>
        <w:spacing w:after="0" w:line="43" w:lineRule="exact"/>
        <w:rPr>
          <w:sz w:val="20"/>
          <w:szCs w:val="20"/>
          <w:color w:val="auto"/>
        </w:rPr>
      </w:pPr>
    </w:p>
    <w:p>
      <w:pPr>
        <w:ind w:left="580" w:hanging="559"/>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580" w:hanging="55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42424"/>
        </w:rPr>
        <w:t>WC</w:t>
      </w:r>
    </w:p>
    <w:p>
      <w:pPr>
        <w:spacing w:after="0" w:line="27" w:lineRule="exact"/>
        <w:rPr>
          <w:sz w:val="20"/>
          <w:szCs w:val="20"/>
          <w:color w:val="auto"/>
        </w:rPr>
      </w:pPr>
    </w:p>
    <w:p>
      <w:pPr>
        <w:ind w:left="580" w:hanging="55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00" w:lineRule="exact"/>
        <w:rPr>
          <w:sz w:val="20"/>
          <w:szCs w:val="20"/>
          <w:color w:val="auto"/>
        </w:rPr>
      </w:pPr>
    </w:p>
    <w:p>
      <w:pPr>
        <w:spacing w:after="0" w:line="250" w:lineRule="exact"/>
        <w:rPr>
          <w:sz w:val="20"/>
          <w:szCs w:val="20"/>
          <w:color w:val="auto"/>
        </w:rPr>
      </w:pPr>
    </w:p>
    <w:p>
      <w:pPr>
        <w:ind w:left="580" w:right="7000" w:hanging="559"/>
        <w:spacing w:after="0" w:line="38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Nevada</w:t>
      </w:r>
    </w:p>
    <w:p>
      <w:pPr>
        <w:spacing w:after="0" w:line="1" w:lineRule="exact"/>
        <w:rPr>
          <w:sz w:val="20"/>
          <w:szCs w:val="20"/>
          <w:color w:val="auto"/>
        </w:rPr>
      </w:pPr>
    </w:p>
    <w:p>
      <w:pPr>
        <w:ind w:left="3520" w:hanging="785"/>
        <w:spacing w:after="0"/>
        <w:tabs>
          <w:tab w:leader="none" w:pos="3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0"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0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81,040,216</w:t>
            </w:r>
          </w:p>
        </w:tc>
        <w:tc>
          <w:tcPr>
            <w:tcW w:w="0" w:type="dxa"/>
            <w:vAlign w:val="bottom"/>
          </w:tcPr>
          <w:p>
            <w:pPr>
              <w:spacing w:after="0"/>
              <w:rPr>
                <w:sz w:val="1"/>
                <w:szCs w:val="1"/>
                <w:color w:val="auto"/>
              </w:rPr>
            </w:pPr>
          </w:p>
        </w:tc>
      </w:tr>
      <w:tr>
        <w:trPr>
          <w:trHeight w:val="191"/>
        </w:trPr>
        <w:tc>
          <w:tcPr>
            <w:tcW w:w="2000" w:type="dxa"/>
            <w:vAlign w:val="bottom"/>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802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2000" w:type="dxa"/>
            <w:vAlign w:val="bottom"/>
          </w:tcPr>
          <w:p>
            <w:pPr>
              <w:jc w:val="center"/>
              <w:ind w:right="6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02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81,040,216</w:t>
            </w:r>
          </w:p>
        </w:tc>
        <w:tc>
          <w:tcPr>
            <w:tcW w:w="0" w:type="dxa"/>
            <w:vAlign w:val="bottom"/>
          </w:tcPr>
          <w:p>
            <w:pPr>
              <w:spacing w:after="0"/>
              <w:rPr>
                <w:sz w:val="1"/>
                <w:szCs w:val="1"/>
                <w:color w:val="auto"/>
              </w:rPr>
            </w:pPr>
          </w:p>
        </w:tc>
      </w:tr>
      <w:tr>
        <w:trPr>
          <w:trHeight w:val="32"/>
        </w:trPr>
        <w:tc>
          <w:tcPr>
            <w:tcW w:w="200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2"/>
                <w:szCs w:val="2"/>
                <w:color w:val="auto"/>
              </w:rPr>
            </w:pPr>
          </w:p>
        </w:tc>
        <w:tc>
          <w:tcPr>
            <w:tcW w:w="8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right="4100" w:hanging="559"/>
        <w:spacing w:after="0" w:line="383"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81,040,216</w:t>
      </w:r>
    </w:p>
    <w:p>
      <w:pPr>
        <w:ind w:left="480" w:hanging="45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580" w:right="5520" w:hanging="559"/>
        <w:spacing w:after="0" w:line="383"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(11) </w:t>
      </w:r>
      <w:r>
        <w:rPr>
          <w:rFonts w:ascii="Times New Roman" w:cs="Times New Roman" w:eastAsia="Times New Roman" w:hAnsi="Times New Roman"/>
          <w:sz w:val="18"/>
          <w:szCs w:val="18"/>
          <w:color w:val="242424"/>
        </w:rPr>
        <w:t>18.0%</w:t>
      </w:r>
    </w:p>
    <w:p>
      <w:pPr>
        <w:ind w:left="580" w:right="8160" w:hanging="559"/>
        <w:spacing w:after="0" w:line="527"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9 to Schedule 13D (“</w:t>
      </w:r>
      <w:r>
        <w:rPr>
          <w:rFonts w:ascii="Times New Roman" w:cs="Times New Roman" w:eastAsia="Times New Roman" w:hAnsi="Times New Roman"/>
          <w:sz w:val="18"/>
          <w:szCs w:val="18"/>
          <w:u w:val="single" w:color="auto"/>
          <w:color w:val="auto"/>
        </w:rPr>
        <w:t>Amendment No. 9</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Amendment No. 5 dated June 13, 2024, Amendment No. 6 dated June 24, 2024, Amendment No. 7 dated July 31, 2024 and Amendment No. 8 dated August 5,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principal executive offices are located at 110 Yonge Street, Suite 1601, Toronto, Ontario, M5C 1T4.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9,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US$181,304,529.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(b) of the Schedule 13D is hereby amended and restated to read in full as follows:</w:t>
      </w:r>
    </w:p>
    <w:p>
      <w:pPr>
        <w:spacing w:after="0" w:line="225" w:lineRule="exact"/>
        <w:rPr>
          <w:sz w:val="20"/>
          <w:szCs w:val="20"/>
          <w:color w:val="auto"/>
        </w:rPr>
      </w:pPr>
    </w:p>
    <w:p>
      <w:pPr>
        <w:ind w:right="260" w:firstLine="8"/>
        <w:spacing w:after="0" w:line="258"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percentages used herein are calculated based on an aggregate of </w:t>
      </w:r>
      <w:r>
        <w:rPr>
          <w:rFonts w:ascii="Times New Roman" w:cs="Times New Roman" w:eastAsia="Times New Roman" w:hAnsi="Times New Roman"/>
          <w:sz w:val="18"/>
          <w:szCs w:val="18"/>
          <w:color w:val="242424"/>
        </w:rPr>
        <w:t>451,286,000</w:t>
      </w:r>
      <w:r>
        <w:rPr>
          <w:rFonts w:ascii="Times New Roman" w:cs="Times New Roman" w:eastAsia="Times New Roman" w:hAnsi="Times New Roman"/>
          <w:sz w:val="18"/>
          <w:szCs w:val="18"/>
          <w:color w:val="auto"/>
        </w:rPr>
        <w:t xml:space="preserve"> Common Shares outstanding, based on the information contained in the Company’s management’s discussion and analysis for the three and six months ended June 30, 2024, filed as Exhibit 99.2 to the Company’s Report of Foreign Private Issuer filed on Form 6-K on August 8,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right="20" w:firstLine="8"/>
        <w:spacing w:after="0" w:line="282" w:lineRule="auto"/>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680" w:type="dxa"/>
            <w:vAlign w:val="bottom"/>
          </w:tcPr>
          <w:p>
            <w:pPr>
              <w:spacing w:after="0"/>
              <w:rPr>
                <w:sz w:val="18"/>
                <w:szCs w:val="18"/>
                <w:color w:val="auto"/>
              </w:rPr>
            </w:pPr>
          </w:p>
        </w:tc>
      </w:tr>
      <w:tr>
        <w:trPr>
          <w:trHeight w:val="238"/>
        </w:trPr>
        <w:tc>
          <w:tcPr>
            <w:tcW w:w="29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10"/>
        </w:trPr>
        <w:tc>
          <w:tcPr>
            <w:tcW w:w="28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08/07/2024</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1,725,000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 – 2.06</w:t>
            </w:r>
          </w:p>
        </w:tc>
      </w:tr>
      <w:tr>
        <w:trPr>
          <w:trHeight w:val="234"/>
        </w:trPr>
        <w:tc>
          <w:tcPr>
            <w:tcW w:w="2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08/08/2024</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3,047,898</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1.96 – 2.35</w:t>
            </w:r>
          </w:p>
        </w:tc>
      </w:tr>
      <w:tr>
        <w:trPr>
          <w:trHeight w:val="657"/>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Yee</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Colin Yee</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2024-08-09T06:07:01Z</dcterms:created>
  <dcterms:modified xsi:type="dcterms:W3CDTF">2024-08-09T06:07:01Z</dcterms:modified>
</cp:coreProperties>
</file>