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ind w:left="130" w:right="0" w:hanging="0"/>
        <w:jc w:val="left"/>
        <w:rPr>
          <w:caps w:val="false"/>
          <w:smallCaps w:val="false"/>
        </w:rPr>
      </w:pPr>
      <w:bookmarkStart w:id="0" w:name="ea0263448-6k_bitfarms.htm"/>
      <w:bookmarkStart w:id="1" w:name="ksea02634486k_bitfarms"/>
      <w:bookmarkEnd w:id="0"/>
      <w:bookmarkEnd w:id="1"/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60" w:after="60"/>
        <w:jc w:val="left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979" w:right="979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  <w:t>UNITED STATES</w:t>
      </w:r>
    </w:p>
    <w:p>
      <w:pPr>
        <w:pStyle w:val="TextBody"/>
        <w:bidi w:val="0"/>
        <w:spacing w:before="0" w:after="0"/>
        <w:ind w:left="979" w:right="979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  <w:t>SECURITIES AND EXCHANGE COMMISSION</w:t>
      </w:r>
    </w:p>
    <w:p>
      <w:pPr>
        <w:pStyle w:val="TextBody"/>
        <w:bidi w:val="0"/>
        <w:spacing w:before="0" w:after="0"/>
        <w:ind w:left="979" w:right="979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</w:r>
    </w:p>
    <w:p>
      <w:pPr>
        <w:pStyle w:val="TextBody"/>
        <w:bidi w:val="0"/>
        <w:spacing w:before="60" w:after="6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979" w:right="978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  <w:t>FORM 6-K</w:t>
      </w:r>
    </w:p>
    <w:p>
      <w:pPr>
        <w:pStyle w:val="TextBody"/>
        <w:bidi w:val="0"/>
        <w:spacing w:before="0" w:after="0"/>
        <w:ind w:left="979" w:right="978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60" w:after="60"/>
        <w:ind w:left="0" w:right="0" w:hanging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2907" w:right="2903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REPORT OF FOREIGN PRIVATE ISSUER PURSUANT TO RULE 13a-16 OR 15d-16</w:t>
      </w:r>
    </w:p>
    <w:p>
      <w:pPr>
        <w:pStyle w:val="TextBody"/>
        <w:bidi w:val="0"/>
        <w:spacing w:before="0" w:after="0"/>
        <w:ind w:left="979" w:right="979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UNDER THE SECURITIES EXCHANGE ACT OF 1934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979" w:right="979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 the month of October 2025</w:t>
      </w:r>
    </w:p>
    <w:p>
      <w:pPr>
        <w:pStyle w:val="TextBody"/>
        <w:bidi w:val="0"/>
        <w:spacing w:before="0" w:after="0"/>
        <w:ind w:left="979" w:right="979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60" w:after="60"/>
        <w:ind w:left="0" w:right="0" w:hanging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</w:r>
    </w:p>
    <w:p>
      <w:pPr>
        <w:pStyle w:val="TextBody"/>
        <w:bidi w:val="0"/>
        <w:spacing w:before="0" w:after="0"/>
        <w:ind w:left="979" w:right="977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 xml:space="preserve">Commission File Number: 001-40370 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</w:r>
    </w:p>
    <w:p>
      <w:pPr>
        <w:pStyle w:val="TextBody"/>
        <w:bidi w:val="0"/>
        <w:spacing w:before="60" w:after="6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 </w:t>
      </w:r>
    </w:p>
    <w:p>
      <w:pPr>
        <w:pStyle w:val="TextBody"/>
        <w:bidi w:val="0"/>
        <w:spacing w:before="0" w:after="0"/>
        <w:ind w:left="978" w:right="979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  <w:t>BITFARMS LTD.</w:t>
      </w:r>
    </w:p>
    <w:p>
      <w:pPr>
        <w:pStyle w:val="TextBody"/>
        <w:bidi w:val="0"/>
        <w:spacing w:before="0" w:after="0"/>
        <w:ind w:left="978" w:right="979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(Translation of registrant’s name into English)</w:t>
      </w:r>
    </w:p>
    <w:p>
      <w:pPr>
        <w:pStyle w:val="TextBody"/>
        <w:bidi w:val="0"/>
        <w:spacing w:before="0" w:after="0"/>
        <w:ind w:left="978" w:right="979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60" w:after="60"/>
        <w:ind w:left="0" w:right="0" w:hanging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979" w:right="979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110 Yonge Street, Suite 1601, Toronto, Ontario, Canada M5C 1T4</w:t>
      </w:r>
    </w:p>
    <w:p>
      <w:pPr>
        <w:pStyle w:val="TextBody"/>
        <w:bidi w:val="0"/>
        <w:spacing w:before="0" w:after="0"/>
        <w:ind w:left="979" w:right="979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(Address of principal executive offices)</w:t>
      </w:r>
    </w:p>
    <w:p>
      <w:pPr>
        <w:pStyle w:val="TextBody"/>
        <w:bidi w:val="0"/>
        <w:spacing w:before="0" w:after="0"/>
        <w:ind w:left="979" w:right="979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60" w:after="60"/>
        <w:ind w:left="0" w:right="0" w:hanging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160" w:right="152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of Form 20-F or Form 40-F.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1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Form 20-F ☐</w:t>
        <w:tab/>
        <w:t>Form 40-F ☒</w:t>
      </w:r>
    </w:p>
    <w:p>
      <w:pPr>
        <w:pStyle w:val="TextBody"/>
        <w:bidi w:val="0"/>
        <w:spacing w:before="0" w:after="0"/>
        <w:ind w:left="1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60" w:after="60"/>
        <w:ind w:left="1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1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 </w:t>
      </w:r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ind w:left="979" w:right="977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979" w:right="977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DOCUMENTS INCLUDED AS PART OF THIS FORM 6-K</w:t>
      </w:r>
    </w:p>
    <w:p>
      <w:pPr>
        <w:pStyle w:val="TextBody"/>
        <w:bidi w:val="0"/>
        <w:spacing w:before="0" w:after="0"/>
        <w:ind w:left="979" w:right="977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On October 30, 2025, the Registrant filed with the Canadian Securities Regulatory Authorities on the System for Electronic Data Analysis and Retrieval + (SEDAR +) a press release, a copy of which is attached hereto as Exhibit 99.1, which is incorporated herein by reference.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See the Exhibits listed below.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97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0"/>
        <w:gridCol w:w="2990"/>
      </w:tblGrid>
      <w:tr>
        <w:trPr/>
        <w:tc>
          <w:tcPr>
            <w:tcW w:w="9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Exhibits</w:t>
            </w:r>
          </w:p>
        </w:tc>
        <w:tc>
          <w:tcPr>
            <w:tcW w:w="29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9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9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9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sz w:val="20"/>
              </w:rPr>
            </w:pPr>
            <w:r>
              <w:rPr>
                <w:sz w:val="20"/>
              </w:rPr>
              <w:t>Exhibit No.</w:t>
            </w:r>
          </w:p>
        </w:tc>
        <w:tc>
          <w:tcPr>
            <w:tcW w:w="29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sz w:val="20"/>
              </w:rPr>
            </w:pPr>
            <w:r>
              <w:rPr>
                <w:sz w:val="20"/>
              </w:rPr>
              <w:t>Description</w:t>
            </w:r>
          </w:p>
        </w:tc>
      </w:tr>
      <w:tr>
        <w:trPr/>
        <w:tc>
          <w:tcPr>
            <w:tcW w:w="9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29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98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sz w:val="20"/>
              </w:rPr>
            </w:pPr>
            <w:r>
              <w:rPr>
                <w:sz w:val="20"/>
              </w:rPr>
              <w:t>99.1</w:t>
            </w:r>
          </w:p>
        </w:tc>
        <w:tc>
          <w:tcPr>
            <w:tcW w:w="299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hyperlink w:anchor="ea026344801ex99-1_bitfarms.htm">
              <w:r>
                <w:rPr>
                  <w:rStyle w:val="InternetLink"/>
                  <w:sz w:val="20"/>
                </w:rPr>
                <w:t>Press release dated October 30, 2025</w:t>
              </w:r>
            </w:hyperlink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3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2 </w:t>
            </w:r>
          </w:p>
        </w:tc>
      </w:tr>
    </w:tbl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979" w:right="978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SIGNATURE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ind w:left="16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45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365"/>
        <w:gridCol w:w="650"/>
        <w:gridCol w:w="2360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37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BITFARMS LTD.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By:</w:t>
            </w:r>
          </w:p>
        </w:tc>
        <w:tc>
          <w:tcPr>
            <w:tcW w:w="3010" w:type="dxa"/>
            <w:gridSpan w:val="2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/s/ Ben Gagnon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Name:</w:t>
            </w:r>
          </w:p>
        </w:tc>
        <w:tc>
          <w:tcPr>
            <w:tcW w:w="2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  <w:r>
              <w:rPr/>
              <w:t>Ben Gagnon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Title:</w:t>
            </w:r>
          </w:p>
        </w:tc>
        <w:tc>
          <w:tcPr>
            <w:tcW w:w="2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  <w:r>
              <w:rPr/>
              <w:t>Chief Executive Officer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Date: October 31, 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3</w:t>
      </w:r>
    </w:p>
    <w:p>
      <w:pPr>
        <w:pStyle w:val="TextBody"/>
        <w:bidi w:val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160" w:right="0" w:hanging="36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/>
      </w:pPr>
      <w:bookmarkStart w:id="2" w:name="ea026344801ex99-1_bitfarms.htm"/>
      <w:bookmarkStart w:id="3" w:name="ksea026344801ex991_bitfarms"/>
      <w:bookmarkEnd w:id="2"/>
      <w:bookmarkEnd w:id="3"/>
      <w:r>
        <w:rPr/>
        <w:t> </w:t>
      </w:r>
      <w:r>
        <w:br w:type="page"/>
      </w:r>
    </w:p>
    <w:p>
      <w:pPr>
        <w:pStyle w:val="TextBody"/>
        <w:bidi w:val="0"/>
        <w:jc w:val="right"/>
        <w:rPr>
          <w:b/>
        </w:rPr>
      </w:pPr>
      <w:r>
        <w:rPr>
          <w:b/>
        </w:rPr>
        <w:t>Exhibit 99.1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shd w:fill="FFFFFF" w:val="clear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drawing>
          <wp:inline distT="0" distB="0" distL="0" distR="0">
            <wp:extent cx="2613660" cy="43434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60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ind w:left="72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234"/>
        <w:ind w:left="72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 xml:space="preserve">Bitfarms Schedules Third Quarter 2025 Conference Call on November 13, 2025 </w:t>
      </w:r>
    </w:p>
    <w:p>
      <w:pPr>
        <w:pStyle w:val="TextBody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234"/>
        <w:ind w:left="10" w:right="0" w:hanging="1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Toronto, Ontario and New York, New York (October 30, 2025)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 - Bitfarms Ltd. (NASDAQ/TSX: BITF) (“Bitfarms” or the “Company”), a North American energy and digital infrastructure company, will report its third quarter 2025 financial results on Thursday, November 13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position w:val="7"/>
          <w:sz w:val="16"/>
          <w:sz w:val="20"/>
        </w:rPr>
        <w:t>th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 before the market opens. Management will host a conference call on the same day at 8:00 am EST. All Q3 2025 materials will be available before the call and can be accessed on the ‘Financial Results’ section of the Bitfarms investor site.</w:t>
      </w:r>
    </w:p>
    <w:p>
      <w:pPr>
        <w:pStyle w:val="TextBody"/>
        <w:bidi w:val="0"/>
        <w:spacing w:before="0" w:after="234"/>
        <w:ind w:left="10" w:right="0" w:hanging="1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The live webcast and a webcast replay of the conference call can be accessed here. To access the call by telephone, register here to receive dial-in numbers and a unique PIN to join the call.</w:t>
      </w:r>
    </w:p>
    <w:p>
      <w:pPr>
        <w:pStyle w:val="TextBody"/>
        <w:shd w:fill="FEFEFE" w:val="clear"/>
        <w:bidi w:val="0"/>
        <w:ind w:left="11" w:right="0" w:hanging="11"/>
        <w:jc w:val="both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About Bitfarms Ltd.</w:t>
      </w:r>
    </w:p>
    <w:p>
      <w:pPr>
        <w:pStyle w:val="TextBody"/>
        <w:shd w:fill="FEFEFE" w:val="clear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EFEFE" w:val="clear"/>
        <w:bidi w:val="0"/>
        <w:ind w:left="11" w:right="0" w:hanging="11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Bitfarms is a North American energy and digital infrastructure company that builds and operates vertically integrated, state-of-the-art data centers and energy infrastructure for high-performance computing and Bitcoin mining.</w:t>
      </w:r>
    </w:p>
    <w:p>
      <w:pPr>
        <w:pStyle w:val="TextBody"/>
        <w:shd w:fill="FEFEFE" w:val="clear"/>
        <w:bidi w:val="0"/>
        <w:ind w:left="11" w:right="0" w:hanging="11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EFEFE" w:val="clear"/>
        <w:bidi w:val="0"/>
        <w:ind w:left="11" w:right="0" w:hanging="11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With a focus on U.S. growth, Bitfarms’ 1.3 GW energy pipeline is more than 80% U.S.-based and clustered in data center hotspots with robust access to power and fiber infrastructure.</w:t>
      </w:r>
    </w:p>
    <w:p>
      <w:pPr>
        <w:pStyle w:val="TextBody"/>
        <w:shd w:fill="FEFEFE" w:val="clear"/>
        <w:bidi w:val="0"/>
        <w:ind w:left="11" w:right="0" w:hanging="11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EFEFE" w:val="clear"/>
        <w:bidi w:val="0"/>
        <w:ind w:left="11" w:right="0" w:hanging="11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Bitfarms was founded in 2017 and is a proven leader in digital infrastructure with operations throughout the Americas. Bitfarms is headquartered in New York, NY and Toronto, ON and traded on the Nasdaq and Toronto Stock Exchange.</w:t>
      </w:r>
    </w:p>
    <w:p>
      <w:pPr>
        <w:pStyle w:val="TextBody"/>
        <w:shd w:fill="FEFEFE" w:val="clear"/>
        <w:bidi w:val="0"/>
        <w:ind w:left="11" w:right="0" w:hanging="11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EFEFE" w:val="clear"/>
        <w:bidi w:val="0"/>
        <w:ind w:left="11" w:right="0" w:hanging="11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To learn more about Bitfarms’ events, developments, and online communities:</w:t>
      </w:r>
    </w:p>
    <w:tbl>
      <w:tblPr>
        <w:tblW w:w="5000" w:type="pct"/>
        <w:jc w:val="left"/>
        <w:tblInd w:w="0" w:type="dxa"/>
        <w:shd w:fill="FEFEFE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1"/>
        <w:gridCol w:w="9802"/>
        <w:gridCol w:w="202"/>
      </w:tblGrid>
      <w:tr>
        <w:trPr/>
        <w:tc>
          <w:tcPr>
            <w:tcW w:w="201" w:type="dxa"/>
            <w:tcBorders/>
            <w:shd w:fill="FEFEF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02" w:type="dxa"/>
            <w:tcBorders/>
            <w:shd w:fill="FEFEF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www.bitfarms.com</w:t>
            </w:r>
          </w:p>
        </w:tc>
        <w:tc>
          <w:tcPr>
            <w:tcW w:w="202" w:type="dxa"/>
            <w:tcBorders/>
            <w:shd w:fill="FEFEF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shd w:fill="FEFEFE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"/>
        <w:gridCol w:w="9892"/>
        <w:gridCol w:w="157"/>
      </w:tblGrid>
      <w:tr>
        <w:trPr/>
        <w:tc>
          <w:tcPr>
            <w:tcW w:w="156" w:type="dxa"/>
            <w:tcBorders/>
            <w:shd w:fill="FEFEF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92" w:type="dxa"/>
            <w:tcBorders/>
            <w:shd w:fill="FEFEF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https://x.com/Bitfarms_io</w:t>
            </w:r>
          </w:p>
        </w:tc>
        <w:tc>
          <w:tcPr>
            <w:tcW w:w="157" w:type="dxa"/>
            <w:tcBorders/>
            <w:shd w:fill="FEFEF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shd w:fill="FEFEFE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"/>
        <w:gridCol w:w="10028"/>
        <w:gridCol w:w="89"/>
      </w:tblGrid>
      <w:tr>
        <w:trPr/>
        <w:tc>
          <w:tcPr>
            <w:tcW w:w="88" w:type="dxa"/>
            <w:tcBorders/>
            <w:shd w:fill="FEFEF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8" w:type="dxa"/>
            <w:tcBorders/>
            <w:shd w:fill="FEFEF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https://www.linkedin.com/company/bitfarms/</w:t>
            </w:r>
          </w:p>
        </w:tc>
        <w:tc>
          <w:tcPr>
            <w:tcW w:w="89" w:type="dxa"/>
            <w:tcBorders/>
            <w:shd w:fill="FEFEF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hd w:fill="FEFEFE" w:val="clear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EFEFE" w:val="clear"/>
        <w:bidi w:val="0"/>
        <w:jc w:val="both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Investor Relations Contact:</w:t>
      </w:r>
    </w:p>
    <w:p>
      <w:pPr>
        <w:pStyle w:val="TextBody"/>
        <w:shd w:fill="FEFEFE" w:val="clear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Laine Yonker</w:t>
      </w:r>
    </w:p>
    <w:p>
      <w:pPr>
        <w:pStyle w:val="TextBody"/>
        <w:shd w:fill="FEFEFE" w:val="clear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Investors@bitfarms.com</w:t>
      </w:r>
    </w:p>
    <w:p>
      <w:pPr>
        <w:pStyle w:val="TextBody"/>
        <w:shd w:fill="FEFEFE" w:val="clear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EFEFE" w:val="clear"/>
        <w:bidi w:val="0"/>
        <w:jc w:val="both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 xml:space="preserve">Media Contact: </w:t>
      </w:r>
    </w:p>
    <w:p>
      <w:pPr>
        <w:pStyle w:val="TextBody"/>
        <w:shd w:fill="FEFEFE" w:val="clear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Caroline Brady Baker</w:t>
      </w:r>
    </w:p>
    <w:p>
      <w:pPr>
        <w:pStyle w:val="TextBody"/>
        <w:shd w:fill="FEFEFE" w:val="clear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cbaker@bitfarms.com</w:t>
      </w:r>
    </w:p>
    <w:p>
      <w:pPr>
        <w:pStyle w:val="TextBody"/>
        <w:shd w:fill="FEFEFE" w:val="clear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EFEFE" w:val="clear"/>
        <w:bidi w:val="0"/>
        <w:spacing w:before="0" w:after="283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459</Words>
  <Characters>2556</Characters>
  <CharactersWithSpaces>3038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