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7077-8k_keelinfra.htm"/>
      <w:bookmarkStart w:id="1" w:name="ksea02970778k_keelinfra"/>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C_edei--DocumentType_c20260705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July 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9_edei--EntityRegistrantName_c2026"/>
      <w:bookmarkEnd w:id="4"/>
      <w:r>
        <w:rPr>
          <w:rFonts w:ascii="Times New Roman;Times;Serif" w:hAnsi="Times New Roman;Times;Serif"/>
          <w:b/>
          <w:i w:val="false"/>
          <w:caps w:val="false"/>
          <w:smallCaps w:val="false"/>
          <w:sz w:val="20"/>
        </w:rPr>
        <w:t>Keel Infrastructure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255" w:type="dxa"/>
        <w:jc w:val="left"/>
        <w:tblInd w:w="0" w:type="dxa"/>
        <w:tblLayout w:type="fixed"/>
        <w:tblCellMar>
          <w:top w:w="0" w:type="dxa"/>
          <w:left w:w="0" w:type="dxa"/>
          <w:bottom w:w="28" w:type="dxa"/>
          <w:right w:w="0" w:type="dxa"/>
        </w:tblCellMar>
      </w:tblPr>
      <w:tblGrid>
        <w:gridCol w:w="2270"/>
        <w:gridCol w:w="60"/>
        <w:gridCol w:w="2300"/>
        <w:gridCol w:w="60"/>
        <w:gridCol w:w="1565"/>
      </w:tblGrid>
      <w:tr>
        <w:trPr/>
        <w:tc>
          <w:tcPr>
            <w:tcW w:w="22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5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7_edei--EntityFileNumber_c20260705"/>
            <w:bookmarkEnd w:id="6"/>
            <w:r>
              <w:rPr>
                <w:rFonts w:ascii="Times New Roman;Times;Serif" w:hAnsi="Times New Roman;Times;Serif"/>
                <w:b/>
                <w:sz w:val="20"/>
              </w:rPr>
              <w:t>001-40370</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3_edei--EntityTaxIdentificationNum"/>
            <w:bookmarkEnd w:id="7"/>
            <w:r>
              <w:rPr>
                <w:rFonts w:ascii="Times New Roman;Times;Serif" w:hAnsi="Times New Roman;Times;Serif"/>
                <w:b/>
                <w:sz w:val="20"/>
              </w:rPr>
              <w:t>41-4266374</w:t>
            </w:r>
          </w:p>
        </w:tc>
      </w:tr>
      <w:tr>
        <w:trPr/>
        <w:tc>
          <w:tcPr>
            <w:tcW w:w="227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110" w:type="dxa"/>
        <w:jc w:val="left"/>
        <w:tblInd w:w="0" w:type="dxa"/>
        <w:tblLayout w:type="fixed"/>
        <w:tblCellMar>
          <w:top w:w="0" w:type="dxa"/>
          <w:left w:w="0" w:type="dxa"/>
          <w:bottom w:w="28" w:type="dxa"/>
          <w:right w:w="0" w:type="dxa"/>
        </w:tblCellMar>
      </w:tblPr>
      <w:tblGrid>
        <w:gridCol w:w="4115"/>
        <w:gridCol w:w="60"/>
        <w:gridCol w:w="935"/>
      </w:tblGrid>
      <w:tr>
        <w:trPr/>
        <w:tc>
          <w:tcPr>
            <w:tcW w:w="41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8" w:name="xdx_90C_edei--EntityAddressAddressLine1_"/>
            <w:bookmarkEnd w:id="8"/>
            <w:r>
              <w:rPr>
                <w:rFonts w:ascii="Times New Roman;Times;Serif" w:hAnsi="Times New Roman;Times;Serif"/>
                <w:b/>
                <w:sz w:val="20"/>
              </w:rPr>
              <w:t xml:space="preserve">120 Broadway, </w:t>
            </w:r>
            <w:bookmarkStart w:id="9" w:name="xdx_90C_edei--EntityAddressAddressLine2_"/>
            <w:bookmarkEnd w:id="9"/>
            <w:r>
              <w:rPr>
                <w:rFonts w:ascii="Times New Roman;Times;Serif" w:hAnsi="Times New Roman;Times;Serif"/>
                <w:b/>
                <w:sz w:val="20"/>
              </w:rPr>
              <w:t xml:space="preserve">Suite 1075, </w:t>
            </w:r>
            <w:bookmarkStart w:id="10" w:name="xdx_90C_edei--EntityAddressCityOrTown_c2"/>
            <w:bookmarkEnd w:id="10"/>
            <w:r>
              <w:rPr>
                <w:rFonts w:ascii="Times New Roman;Times;Serif" w:hAnsi="Times New Roman;Times;Serif"/>
                <w:b/>
                <w:sz w:val="20"/>
              </w:rPr>
              <w:t xml:space="preserve">New York, </w:t>
            </w:r>
            <w:bookmarkStart w:id="11" w:name="xdx_903_edei--EntityAddressStateOrProvin"/>
            <w:bookmarkEnd w:id="11"/>
            <w:r>
              <w:rPr>
                <w:rFonts w:ascii="Times New Roman;Times;Serif" w:hAnsi="Times New Roman;Times;Serif"/>
                <w:b/>
                <w:sz w:val="20"/>
              </w:rPr>
              <w:t>New York</w:t>
            </w:r>
          </w:p>
        </w:tc>
        <w:tc>
          <w:tcPr>
            <w:tcW w:w="60" w:type="dxa"/>
            <w:tcBorders/>
            <w:tcMar>
              <w:bottom w:w="0" w:type="dxa"/>
            </w:tcMar>
            <w:vAlign w:val="center"/>
          </w:tcPr>
          <w:p>
            <w:pPr>
              <w:pStyle w:val="TableContents"/>
              <w:bidi w:val="0"/>
              <w:spacing w:before="0" w:after="283"/>
              <w:jc w:val="left"/>
              <w:rPr/>
            </w:pPr>
            <w:r>
              <w:rPr/>
              <w:t> </w:t>
            </w:r>
          </w:p>
        </w:tc>
        <w:tc>
          <w:tcPr>
            <w:tcW w:w="9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12" w:name="xdx_903_edei--EntityAddressPostalZipCode"/>
            <w:bookmarkEnd w:id="12"/>
            <w:r>
              <w:rPr>
                <w:rFonts w:ascii="Times New Roman;Times;Serif" w:hAnsi="Times New Roman;Times;Serif"/>
                <w:b/>
                <w:sz w:val="20"/>
              </w:rPr>
              <w:t>10004</w:t>
            </w:r>
          </w:p>
        </w:tc>
      </w:tr>
      <w:tr>
        <w:trPr/>
        <w:tc>
          <w:tcPr>
            <w:tcW w:w="411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F_edei--CityAreaCode_c20260705__20"/>
      <w:bookmarkEnd w:id="13"/>
      <w:r>
        <w:rPr>
          <w:rFonts w:ascii="Times New Roman;Times;Serif" w:hAnsi="Times New Roman;Times;Serif"/>
          <w:b/>
          <w:i w:val="false"/>
          <w:caps w:val="false"/>
          <w:smallCaps w:val="false"/>
          <w:sz w:val="20"/>
        </w:rPr>
        <w:t>929)-</w:t>
      </w:r>
      <w:bookmarkStart w:id="14" w:name="xdx_90E_edei--LocalPhoneNumber_c20260705"/>
      <w:bookmarkEnd w:id="14"/>
      <w:r>
        <w:rPr>
          <w:rFonts w:ascii="Times New Roman;Times;Serif" w:hAnsi="Times New Roman;Times;Serif"/>
          <w:b/>
          <w:i w:val="false"/>
          <w:caps w:val="false"/>
          <w:smallCaps w:val="false"/>
          <w:sz w:val="20"/>
        </w:rPr>
        <w:t>264-5151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8_edei--WrittenCommunications_c202"/>
            <w:bookmarkEnd w:id="15"/>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E_edei--SolicitingMaterial_c202607"/>
            <w:bookmarkEnd w:id="16"/>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D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5_edei--PreCommencementIssuerTende"/>
            <w:bookmarkEnd w:id="18"/>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280" w:type="dxa"/>
        <w:jc w:val="left"/>
        <w:tblInd w:w="0" w:type="dxa"/>
        <w:tblLayout w:type="fixed"/>
        <w:tblCellMar>
          <w:top w:w="0" w:type="dxa"/>
          <w:left w:w="0" w:type="dxa"/>
          <w:bottom w:w="28" w:type="dxa"/>
          <w:right w:w="0" w:type="dxa"/>
        </w:tblCellMar>
      </w:tblPr>
      <w:tblGrid>
        <w:gridCol w:w="2750"/>
        <w:gridCol w:w="60"/>
        <w:gridCol w:w="1700"/>
        <w:gridCol w:w="60"/>
        <w:gridCol w:w="3710"/>
      </w:tblGrid>
      <w:tr>
        <w:trPr/>
        <w:tc>
          <w:tcPr>
            <w:tcW w:w="27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70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Trading Symbol(s)</w:t>
            </w:r>
            <w:r>
              <w:rPr>
                <w:rFonts w:ascii="Times New Roman;Times;Serif" w:hAnsi="Times New Roman;Times;Serif"/>
                <w:sz w:val="20"/>
              </w:rPr>
              <w:t xml:space="preserve">  </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7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A_edei--Security12bTitle_c20260705"/>
            <w:bookmarkEnd w:id="19"/>
            <w:r>
              <w:rPr>
                <w:rFonts w:ascii="Times New Roman;Times;Serif" w:hAnsi="Times New Roman;Times;Serif"/>
                <w:sz w:val="20"/>
              </w:rPr>
              <w:t>Common Stock, $0.001 par value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D_edei--TradingSymbol_c20260705__2"/>
            <w:bookmarkEnd w:id="20"/>
            <w:r>
              <w:rPr>
                <w:rFonts w:ascii="Times New Roman;Times;Serif" w:hAnsi="Times New Roman;Times;Serif"/>
                <w:sz w:val="20"/>
              </w:rPr>
              <w:t>KEEL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F_edei--SecurityExchangeName_c2026"/>
            <w:bookmarkEnd w:id="21"/>
            <w:r>
              <w:rPr>
                <w:rFonts w:ascii="Times New Roman;Times;Serif" w:hAnsi="Times New Roman;Times;Serif"/>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8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5, 2026, Keel Infrastructure Corp. (the “Company”) appointed Ganesh Aiyer, age 55, as President, effective July 6, 2026. Mr. Aiyer will report directly to the Company’s Chief Executive Officer. Mr. Aiyer most recently served as Chief Business Officer at Digital Realty Trust, one of the largest data center REITs in the world that owns and operates over 300 data centers across 25 countries, since 2019. At Digital Realty, Mr. Aiyer led global commercial strategy and business operations spanning hyperscale, cloud, enterprise and channel customers. Prior to that role, Mr. Aiyer held senior executive roles at Schneider Electric and Dell Technologies, driving large-scale growth, sales, and go-to-market strategies across the full data center infrastructure stack.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Aiyer’s appointment, Backbone Hosting Solutions (USA) Inc., a subsidiary of the Company, entered into an employment agreement with Mr. Aiyer, dated July 5, 2026 (the “employment agreement”), and the Company has guaranteed the obligations of Backbone Hosting Solutions (USA) Inc. under the agreement. The employment agreement provides that Mr. Aiyer’s employment is at-will. Mr. Aiyer will receive an annual base salary of USD $500,000, less statutory deductions and withholdings, payable bi-weekly in accordance with the Company’s usual payroll practices, and subject to annual review. Capitalized terms used but not defined in this report have the meanings ascribed to them in the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Aiyer will be eligible to participate in the Company’s short-term incentive plan, with a target annual bonus opportunity equal to one hundred percent (100%) of his annual base salary, with performance measured based on seventy-five percent (75%) corporate KPIs and twenty-five percent (25%) individual KPIs. Bonuses under the short-term incentive plan are payable annually in cash based on achievement of pre-established corporate and individual performance objectives, are prorated for the first year of employment based on time of service, are earned and payable only upon completion of the relevant fiscal year and are subject to the applicable short-term incentive plan document and the Company’s clawback policy as in effect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Aiyer will be eligible to participate in the Company’s annual long-term incentive plan beginning in 2027, as determined at the sole discretion of the Company and its Board of Directors and pursuant to the terms and conditions of the Company’s long-term incentive plan. Subject to approval by the Board of Directors, on or around July 9, 2026, Mr. Aiyer will receive a one-time grant of one hundred thousand (100,000) stock options, which will fully vest in January 2027, and restricted stock units with a value of USD $1,500,000, which will vest fifty percent (50%) in January 2027, twenty-five percent (25%) in July 2027 and twenty-five percent (25%) in January 2028. Awards under the long-term incentive plan may include stock options, restricted stock units, performance stock units or other equity-based awards, and will be subject to the applicable plan documents, vesting schedules, performance conditions, award agreements and applicable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Aiyer will be eligible to participate in the Company’s health plan effective from the first day of the month following his July 6, 2026 employment start date, subject to applicable eligibility requirements, with the Company paying a portion of plan premiums and Mr. Aiyer responsible for the balance of premiums and any selected plan upgrades. Mr. Aiyer will also be eligible to participate in the Company’s 401(k) or other group retirement savings plan, subject to the terms and conditions of the governing plan document. The employment agreement also provides for paid vacation, sick time and flexible time in accordance with the Company’s applicable paid time off policies, reimbursement of reasonable business expenses in accordance with the Company’s travel and expense policy, reimbursement of reasonable costs related to the use of Mr. Aiyer’s personal cell phone for Company-related activities or the option to request a Company-provided cell phone and, if required as part of his day-to-day responsibilities, use of an assigned Company vehicle.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Aiyer’s employment is terminated by the Company without Cause or by Mr. Aiyer for Good Reason, he will be entitled to accrued benefits and, subject to execution and non-revocation of a general release of claims, separation entitlements under the employment agreement. If Mr. Aiyer has completed at least six (6) months of employment, those separation entitlements include severance pay equal to twelve (12) months of base salary, plus two (2) additional months for each completed year of service, capped at a total of eighteen (18) months, payable in a lump sum within twenty (20) days after the later of receipt of an executed release or expiration of any revocation period under the executed release. The separation entitlements also include any unpaid annual bonus under the short-term incentive plan for the year prior to the year of termination, based on actual achievement of individual and corporate performance, and a pro-rata bonus under the short-term incentive plan for the year of termination, based on actual achievement of individual performance and 100% achievement of corporate performance, payable at the same time bonuses for such year are paid to other senior executives of the Company or on the first payroll date after the sixtieth (60th) day following the termination date, whichever is later. In addition, upon such a termination, unvested equity will vest in accordance with the terms of the long-term incentive plan then in effect as of the date one year prior to Mr. Aiyer’s separation, and, subject to timely election of COBRA continuation coverage and continued eligibility, Mr. Aiyer will be entitled to continued participation in the Company’s health plan at the Company’s expense for the duration of the severance period, subject to cessation if he obtains other employment that offers group health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Aiyer experiences a Qualified Change of Control Termination, defined as a termination by the Company without Cause, other than due to death or Disability, or by Mr. Aiyer for Good Reason, within eighteen (18) months following or in the six (6) months preceding a Change of Control, he will be entitled to accrued benefits and the Qualified Change of Control Termination Entitlements under the employment agreement. Those entitlements include severance pay equal to twenty-four (24) months of base salary. They also include any unpaid annual bonus under the short-term incentive plan for the year prior to the year of termination, based on 200% of individual and corporate performance, and a pro-rata bonus under the short-term incentive plan for the year of termination, based on actual achievement of individual performance and 200% achievement of corporate performance, payable at the same time bonuses for such year are paid to other senior executives of the Company or on the first payroll date after the sixtieth (60th) day following the termination date, whichever is later. Upon a Qualified Change of Control Termination, unvested equity will vest in accordance with the terms of the long-term incentive plan then in effect as of the date one year prior to the Qualified Change of Control, and, subject to timely election of COBRA continuation coverage and continued eligibility, Mr. Aiyer will be entitled to continued participation in the Company’s health plan at the Company’s expense during the Qualified Change of Control severance period, subject to cessation if he obtains other employment that offers group health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is also contingent upon satisfactory completion of standard background checks, execution of the confidentiality, non-solicitation, non-competition and intellectual property agreement and proof of authorization to work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Mr. Aiyer and any director or executive officer of the Company. There are no arrangements or understandings between Mr. Aiyer and any other person pursuant to which Mr. Aiyer was selected as President. Mr. Aiyer has no direct or indirect material interest in any transaction required to be disclosed pursuant to Item 404(a)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the Company issued a press release announcing the appointment described herein. A copy of the press release is attached to this report as Exhibit 99.1 and is hereby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this Item 7.01 and in Exhibit 99.1 attached hereto is intended to be furnished and shall not be deemed “filed” for purposes of Section 18 of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bidi w:val="0"/>
        <w:spacing w:before="0" w:after="283"/>
        <w:jc w:val="left"/>
        <w:rPr/>
      </w:pPr>
      <w:r>
        <w:rPr/>
        <w:t> </w:t>
      </w:r>
    </w:p>
    <w:tbl>
      <w:tblPr>
        <w:tblW w:w="7795" w:type="dxa"/>
        <w:jc w:val="left"/>
        <w:tblInd w:w="0" w:type="dxa"/>
        <w:tblLayout w:type="fixed"/>
        <w:tblCellMar>
          <w:top w:w="0" w:type="dxa"/>
          <w:left w:w="0" w:type="dxa"/>
          <w:bottom w:w="28" w:type="dxa"/>
          <w:right w:w="0" w:type="dxa"/>
        </w:tblCellMar>
      </w:tblPr>
      <w:tblGrid>
        <w:gridCol w:w="1205"/>
        <w:gridCol w:w="60"/>
        <w:gridCol w:w="6530"/>
      </w:tblGrid>
      <w:tr>
        <w:trPr/>
        <w:tc>
          <w:tcPr>
            <w:tcW w:w="1205"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0" w:type="dxa"/>
            <w:tcBorders/>
            <w:shd w:fill="CCEEFF" w:val="clear"/>
            <w:tcMar>
              <w:bottom w:w="0" w:type="dxa"/>
            </w:tcMar>
            <w:vAlign w:val="center"/>
          </w:tcPr>
          <w:p>
            <w:pPr>
              <w:pStyle w:val="TableContents"/>
              <w:bidi w:val="0"/>
              <w:spacing w:before="0" w:after="283"/>
              <w:jc w:val="left"/>
              <w:rPr/>
            </w:pPr>
            <w:hyperlink w:anchor="ea029707701ex99-1.htm">
              <w:r>
                <w:rPr>
                  <w:rStyle w:val="InternetLink"/>
                  <w:rFonts w:ascii="Times New Roman;Times;Serif" w:hAnsi="Times New Roman;Times;Serif"/>
                  <w:sz w:val="20"/>
                </w:rPr>
                <w:t>Press Release dated July 6, 2026.</w:t>
              </w:r>
            </w:hyperlink>
          </w:p>
        </w:tc>
      </w:tr>
      <w:tr>
        <w:trPr/>
        <w:tc>
          <w:tcPr>
            <w:tcW w:w="12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715" w:type="dxa"/>
        <w:jc w:val="left"/>
        <w:tblInd w:w="0" w:type="dxa"/>
        <w:tblLayout w:type="fixed"/>
        <w:tblCellMar>
          <w:top w:w="0" w:type="dxa"/>
          <w:left w:w="0" w:type="dxa"/>
          <w:bottom w:w="0" w:type="dxa"/>
          <w:right w:w="0" w:type="dxa"/>
        </w:tblCellMar>
      </w:tblPr>
      <w:tblGrid>
        <w:gridCol w:w="1520"/>
        <w:gridCol w:w="365"/>
        <w:gridCol w:w="3830"/>
      </w:tblGrid>
      <w:tr>
        <w:trPr/>
        <w:tc>
          <w:tcPr>
            <w:tcW w:w="1520" w:type="dxa"/>
            <w:tcBorders/>
            <w:vAlign w:val="center"/>
          </w:tcPr>
          <w:p>
            <w:pPr>
              <w:pStyle w:val="TableContents"/>
              <w:bidi w:val="0"/>
              <w:spacing w:before="0" w:after="283"/>
              <w:jc w:val="left"/>
              <w:rPr/>
            </w:pPr>
            <w:r>
              <w:rPr/>
              <w:t> </w:t>
            </w:r>
          </w:p>
        </w:tc>
        <w:tc>
          <w:tcPr>
            <w:tcW w:w="419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Keel Infrastructure Corp.</w:t>
            </w:r>
          </w:p>
        </w:tc>
      </w:tr>
      <w:tr>
        <w:trPr/>
        <w:tc>
          <w:tcPr>
            <w:tcW w:w="1520" w:type="dxa"/>
            <w:tcBorders/>
            <w:vAlign w:val="center"/>
          </w:tcPr>
          <w:p>
            <w:pPr>
              <w:pStyle w:val="TableContents"/>
              <w:bidi w:val="0"/>
              <w:spacing w:before="0" w:after="283"/>
              <w:jc w:val="left"/>
              <w:rPr/>
            </w:pPr>
            <w:r>
              <w:rPr/>
              <w:t> </w:t>
            </w:r>
          </w:p>
        </w:tc>
        <w:tc>
          <w:tcPr>
            <w:tcW w:w="419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(Registrant)</w:t>
            </w:r>
          </w:p>
        </w:tc>
      </w:tr>
      <w:tr>
        <w:trPr/>
        <w:tc>
          <w:tcPr>
            <w:tcW w:w="15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6, 2026</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38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Rachel Silverstein</w:t>
            </w:r>
          </w:p>
        </w:tc>
      </w:tr>
      <w:tr>
        <w:trPr/>
        <w:tc>
          <w:tcPr>
            <w:tcW w:w="15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Rachel Silverstein</w:t>
            </w:r>
          </w:p>
        </w:tc>
      </w:tr>
      <w:tr>
        <w:trPr/>
        <w:tc>
          <w:tcPr>
            <w:tcW w:w="15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EVP, General Counsel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29707701ex99-1.htm"/>
      <w:bookmarkStart w:id="24" w:name="ksea029707701ex991"/>
      <w:bookmarkEnd w:id="23"/>
      <w:bookmarkEnd w:id="24"/>
      <w:r>
        <w:rPr>
          <w:rFonts w:ascii="Times New Roman;Times;Serif" w:hAnsi="Times New Roman;Times;Serif"/>
          <w:b/>
          <w:i w:val="false"/>
          <w:caps w:val="false"/>
          <w:smallCaps w:val="false"/>
          <w:sz w:val="20"/>
        </w:rPr>
        <w:t>Exhibit 99.1</w:t>
      </w:r>
      <w:r>
        <w:br w:type="page"/>
      </w:r>
    </w:p>
    <w:p>
      <w:pPr>
        <w:pStyle w:val="TextBody"/>
        <w:bidi w:val="0"/>
        <w:spacing w:before="0" w:after="0"/>
        <w:jc w:val="center"/>
        <w:rPr/>
      </w:pPr>
      <w:r>
        <w:rPr/>
        <w:t> </w:t>
      </w:r>
    </w:p>
    <w:p>
      <w:pPr>
        <w:pStyle w:val="TextBody"/>
        <w:bidi w:val="0"/>
        <w:spacing w:before="0" w:after="0"/>
        <w:jc w:val="center"/>
        <w:rPr/>
      </w:pPr>
      <w:r>
        <w:rPr/>
        <w:drawing>
          <wp:inline distT="0" distB="0" distL="0" distR="0">
            <wp:extent cx="1924050" cy="847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24050" cy="8477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Keel Infrastructure Appoints Ganesh Aiyer as President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Mr. Aiyer most recently served as Digital Realty Trust’s Chief Business Officer and brings 25 years of experience leading growth and commercial strategy across the data center and technology sectors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July 6, 2026</w:t>
      </w:r>
      <w:r>
        <w:rPr>
          <w:rFonts w:ascii="Times New Roman;Times;Serif" w:hAnsi="Times New Roman;Times;Serif"/>
          <w:b w:val="false"/>
          <w:i w:val="false"/>
          <w:caps w:val="false"/>
          <w:smallCaps w:val="false"/>
          <w:sz w:val="20"/>
        </w:rPr>
        <w:t xml:space="preserve"> – Keel Infrastructure Corp. (Nasdaq: KEEL; TSX: KEEL) (“Keel Infrastructure” or “Keel”), a North American digital infrastructure and energy company, today announced the appointment of Ganesh Aiyer as President. Mr. Aiyer will report to CEO Ben Gagnon and lead Keel’s commercial and pipeline expansion activities, positioning the Company for long-term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Aiyer most recently served as Chief Business Officer at Digital Realty Trust, one of the world’s largest data center REITs, which owns and operates more than 300 data centers across 25 countries. At Digital Realty, Mr. Aiyer led global commercial strategy and business operations for hyperscale, cloud, enterprise and channel customers. Before that, Mr. Aiyer held senior executive roles at Schneider Electric and Dell Technologies, driving large-scale growth, sales, and go-to-market strategies across the full data center infrastructure stack.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thrilled to welcome Ganesh to the Keel crew at such an exciting time for the Company,” said CEO Ben Gagnon. “Ganesh has a strong track record of execution and understands how to build go-to-market strategies around differentiated products, and put in place the systems and teams that make growth repeatable and sustainable. As a proven leader, he will be an invaluable asset as we continue to build on Keel’s current commercial momentum for our U.S. sites and expand our power pipeline.”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28800" cy="2743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28800" cy="27432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Ganesh Aiyer, President of Keel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 have spent my career at the intersection of infrastructure and commercial strategy and believe Keel’s portfolio is distinctly positioned to meet accelerating demand for HPC and AI infrastructure solutions,” said Ganesh Aiyer, President of Keel. “After helping shape the strategy, growth, and transformation of one of the world’s largest digital infrastructure platforms, I have seen firsthand what it takes to build and scale an enduring infrastructure business. I look forward to working with Ben and the team to execute Keel’s strategy and convert our power portfolio into long-term partnerships.”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Keel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Keel Infrastructure is a North American digital infrastructure and energy company that develops and owns data centers and energy infrastructure for high-performance computing workloads, including AI. With a development pipeline of 2.2 gigawatts and established grid interconnections in place, Keel delivers scalable infrastructure solutions in high-demand power markets across Pennsylvania, Washington and Québec. Keel is headquartered in New York City and trades under the ticker symbol “KEEL” on Nasdaq and TSX. Learn more at www.keelinfra.com.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applicable U.S. federal securities laws and Canadian securities laws, including statements regarding Keel’s business strategy, development pipeline, energy infrastructure, customer demand, execution plans, investor outreach and expected future progress. Forward-looking statements are based on current expectations, estimates, assumptions and projections and are subject to risks and uncertainties that could cause actual results to differ materially from those expressed or implied by such statements. These risks and uncertainties include, among others, risks related to project development, power availability, grid interconnections, customer demand, financing, construction, regulatory approvals, market conditions and other risks described in Keel’s filings with the U.S. Securities and Exchange Commission and applicable Canadian securities regulators. Keel undertakes no obligation to update or revise any forward-looking statements except as required by applicable law.</w:t>
      </w:r>
    </w:p>
    <w:p>
      <w:pPr>
        <w:pStyle w:val="TextBody"/>
        <w:bidi w:val="0"/>
        <w:spacing w:before="0" w:after="0"/>
        <w:ind w:left="0" w:right="0" w:hanging="0"/>
        <w:jc w:val="both"/>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2390"/>
        <w:gridCol w:w="1820"/>
      </w:tblGrid>
      <w:tr>
        <w:trPr/>
        <w:tc>
          <w:tcPr>
            <w:tcW w:w="2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Investor Relations Contact:</w:t>
            </w:r>
            <w:r>
              <w:rPr>
                <w:rFonts w:ascii="Times New Roman;Times;Serif" w:hAnsi="Times New Roman;Times;Serif"/>
                <w:sz w:val="20"/>
              </w:rPr>
              <w:t> </w:t>
            </w:r>
          </w:p>
        </w:tc>
        <w:tc>
          <w:tcPr>
            <w:tcW w:w="18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Media Contact:</w:t>
            </w:r>
          </w:p>
        </w:tc>
      </w:tr>
      <w:tr>
        <w:trPr/>
        <w:tc>
          <w:tcPr>
            <w:tcW w:w="239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sz w:val="20"/>
              </w:rPr>
            </w:pPr>
            <w:r>
              <w:rPr>
                <w:sz w:val="20"/>
              </w:rPr>
              <w:t>Laine Yonker</w:t>
            </w:r>
          </w:p>
        </w:tc>
        <w:tc>
          <w:tcPr>
            <w:tcW w:w="1820" w:type="dxa"/>
            <w:tcBorders/>
            <w:vAlign w:val="center"/>
          </w:tcPr>
          <w:p>
            <w:pPr>
              <w:pStyle w:val="TableContents"/>
              <w:bidi w:val="0"/>
              <w:spacing w:before="0" w:after="283"/>
              <w:jc w:val="left"/>
              <w:rPr>
                <w:sz w:val="20"/>
              </w:rPr>
            </w:pPr>
            <w:r>
              <w:rPr>
                <w:sz w:val="20"/>
              </w:rPr>
              <w:t xml:space="preserve">Amanda Ignatius </w:t>
            </w:r>
          </w:p>
        </w:tc>
      </w:tr>
      <w:tr>
        <w:trPr/>
        <w:tc>
          <w:tcPr>
            <w:tcW w:w="2390" w:type="dxa"/>
            <w:tcBorders/>
            <w:vAlign w:val="center"/>
          </w:tcPr>
          <w:p>
            <w:pPr>
              <w:pStyle w:val="TableContents"/>
              <w:bidi w:val="0"/>
              <w:spacing w:before="0" w:after="283"/>
              <w:jc w:val="left"/>
              <w:rPr>
                <w:sz w:val="20"/>
              </w:rPr>
            </w:pPr>
            <w:r>
              <w:rPr>
                <w:sz w:val="20"/>
              </w:rPr>
              <w:t>ir@keelinfra.com</w:t>
            </w:r>
          </w:p>
        </w:tc>
        <w:tc>
          <w:tcPr>
            <w:tcW w:w="1820" w:type="dxa"/>
            <w:tcBorders/>
            <w:vAlign w:val="center"/>
          </w:tcPr>
          <w:p>
            <w:pPr>
              <w:pStyle w:val="TableContents"/>
              <w:bidi w:val="0"/>
              <w:spacing w:before="0" w:after="283"/>
              <w:jc w:val="left"/>
              <w:rPr>
                <w:sz w:val="20"/>
              </w:rPr>
            </w:pPr>
            <w:r>
              <w:rPr>
                <w:sz w:val="20"/>
              </w:rPr>
              <w:t>media@keelinfra.com</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2385</Words>
  <Characters>13431</Characters>
  <CharactersWithSpaces>15816</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