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001-40370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41-4266374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9"/>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120 Broadway, Suite 1075, New York, New York</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38"/>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(929)-264-5151</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14"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KEEL</w:t>
            </w:r>
          </w:p>
        </w:tc>
        <w:tc>
          <w:tcPr>
            <w:tcW w:w="20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Indenture and Convertible Notes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9, 2026, Keel Infrastructure Corp. (the “Company”) issued $458,000,000 aggregate principal amount of its 1.250% Convertible Senior Notes due 2032 (the “Notes”). The Notes were issued pursuant to, and are governed by, an indenture (the “Indenture”), dated as of June 9, 2026, among the Company, Bitfarms Ltd., as guarantor (the “Guarantor”), and Computershare Trust Company, N.A., as trustee (the “Trustee”). Pursuant to the purchase agreement, dated June 4, 2026, among the Company, the Guarantor and the representatives of the initial purchasers of the Notes, the Company granted the initial purchasers an option to purchase, for settlement within a period of 13 days from, and including, the date the Notes are first issued, up to an additional $58,000,000 aggregate principal amount of Notes. The Notes issued on June 9, 2026 include $58,000,000 aggregate principal amount of Notes issued pursuant to the full exercise by the initial purchasers of such option.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payment obligations under the Notes are fully and unconditionally guaranteed, on a senior, unsecured basis, by the Guarantor.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will be the Company’s senior unsecured obligations and will rank senior in right of payment to any of the Company’s indebtedness that is expressly subordinated in right of payment to the Notes; equal in right of payment with any of the Company’s unsecured indebtedness that is not so subordinated (including the Company’s obligations with respect to the Company’s existing 1.375% convertible senior Notes due 2031 (the “Existing Convertible Notes”)); and effectively junior in right of payment to any of the Company’s secured indebtedness to the extent of the value of the assets securing such indebtedness. In the event of the Company’s bankruptcy, liquidation, reorganization or other winding up, the Company’s assets that secure secured debt will be available to pay obligations on the Notes only after all indebtedness under such secured debt has been repaid in full. The Notes will rank structurally junior to all indebtedness and other liabilities (including trade payables but excluding intercompany obligations and liabilities of a type not required to be reflected on a balance sheet of such subsidiaries in accordance with GAAP) of the Company’s subsidiaries that do not guarantee the Notes.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guarantee of the Guarantor will be the Guarantor’s senior unsecured obligation and will rank senior in right of payment to any indebtedness of the Guarantor that is expressly subordinated in right of payment to the guarantee; equal in right of payment with any unsecured indebtedness of the Guarantor that is not so subordinated (including the Guarantor’s obligations with respect to the Existing Convertible Notes); and effectively junior in right of payment to any secured indebtedness of the Guarantor, to the extent of the value of the assets securing such indebtedness. The guarantee will rank structurally junior to all indebtedness and other liabilities (including trade payables but excluding intercompany obligations and liabilities of a type not required to be reflected on a balance sheet of such subsidiaries in accordance with GAAP) of the Guarantor’s subsidiaries.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accrue interest at a rate of 1.250% per annum, payable semi-annually on January 15 and July 15 of each year, beginning on January 15, 2027. The Notes will mature on January 15, 2032, unless earlier repurchased, redeemed or converted. Before the close of business on the business day immediately preceding October 15, 2031, holders of the Notes will have the right to convert their Notes only upon the occurrence of certain events. On or after October 15, 2031, holders of the Notes may convert their Notes at any time at their election until the close of business on the second scheduled trading day immediately preceding the maturity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have the right to elect to settle conversions by paying or delivering, as applicable, cash, shares of the Company’s Common Stock, or any combination of cash and shares of the Company’s Common Stock. The initial conversion rate is 134.9073 shares of Common Stock per $1,000 principal amount of Notes, which represents an initial conversion price of approximately $7.41 per share.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will be redeemable, in whole or in part, at the Company’s option at any time, and from time to time, on or after July 20, 2029 and before the 31st scheduled trading day immediately preceding the maturity date, but only if the last reported sale price per share of the Company’s Common Stock is at least 130% of the conversion price for at least twenty (20) trading days (whether or not consecutive) during any thirty (30) consecutive trading day period (including the last trading day of such period) ending on, and including, the trading day immediately preceding the date on which the Company provides such redemption notice. The redemption price will be a cash amount equal to the principal amount of the Notes to be redeemed, plus accrued and unpaid interest to, but excluding, the redemption date. In addition, calling any Note for redemption will result in the conversion rate applicable to the conversion of that Note being increased in certain circumstances if it is converted after it is called for redemption.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Indenture) occur, then, subject to certain conditions,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among other events, certain business combination transactions involving the Company.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will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when due; (iii) a default in the Company’s obligation to convert a Note upon the exercise of the conversion right with respect thereto, if such default is not cured within three business days after its occurrence; (iv) the failure by the Company or the Guarantor to comply with certain covenants in the Indenture relating to the ability of the Company or the Guarantor to consolidate with or merge with or into, or sell, lease or otherwise transfer, in one transaction or a series of transactions, all or substantially all of the assets of the Company or the Guarantor, as applicable, and its subsidiaries, taken as a whole, to another person; (v) a default by the Company or the Guarantor in its other obligations or agreements under the Indenture or the Notes if such default is not cured or waived within 60 days after notice is given in accordance with the Indenture;</w:t>
      </w:r>
    </w:p>
    <w:p>
      <w:pPr>
        <w:spacing w:after="0" w:line="1" w:lineRule="exact"/>
        <w:rPr>
          <w:sz w:val="20"/>
          <w:szCs w:val="20"/>
          <w:color w:val="auto"/>
        </w:rPr>
      </w:pPr>
    </w:p>
    <w:p>
      <w:pPr>
        <w:jc w:val="both"/>
        <w:ind w:firstLine="8"/>
        <w:spacing w:after="0" w:line="252" w:lineRule="auto"/>
        <w:tabs>
          <w:tab w:leader="none" w:pos="3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defaults by the Company, the Guarantor or any of the Company’s significant subsidiaries with respect to indebtedness for borrowed money in excess of $25,000,000; (vii) the rendering of certain judgments against the Company, the Guarantor or any of the Company’s significant subsidiaries for the payment of at least $25,000,000, where such judgments are not discharged or stayed within 60 days after date on which the right to appeal has expired or on which all rights to appeal have been extinguished; (viii) certain events of bankruptcy, insolvency and reorganization involving the Company, the Guarantor or any of the Company’s significant subsidiaries; (ix) a termination of trading occurs and (x) except as permitted by the Indenture, any guarantee of the Notes ceases to be in full force and effect or the Guarantor denies or disaffirms its obligations under its guarantee of the Notes.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or the Guarantor or any of the Company’s significant subsidiaries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if any, on, all of the Notes then outstanding to become due and payable immediately.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termination of trading occurs, the Company may cure such Event of Default by offering to purchase the outstanding Notes as if the occurrence of the termination of trading were a fundamental change and make-whole fundamental change.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description of the Indenture and the Notes is a summary and is not complete. A copy of the Indenture and the form of the certificate representing the Notes are filed as exhibits 4.1 and 4.2, respectively, to this Current Report on Form 8-K, and are incorporated herein by reference. The above summary is qualified by reference to the terms of the Indenture and the Notes set forth in such exhibits.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Capped Call Transactions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4, 2026, in connection with the pricing of the Notes, the Company entered into privately negotiated capped call transactions (the “Base Capped Call Transactions”) with one or more of the initial purchasers or their respective affiliates and/or one or more other financial institutions (the “Option Counterparties”). In addition, on June 5, 2026,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anti-dilution adjustments substantially similar to those applicable to the Notes, the number of shares of the Company’s Common Stock initially underlying the Notes, and are expected generally to reduce potential dilution to the Company’s Common Stock upon any conversion of the Notes and/or offset any cash payments the Company could be required to make in excess of the principal amount of converted Notes, as the case may be, upon conversion of the Notes, with such reduction and/or offset subject to a cap. The cap price of the Capped Call Transactions is initially $11.86 per share (subject to adjustment under the terms of the Capped Call Transactions), which represents a premium of 100.0% over the last reported sale price of the Company’s Common Stock on June 4, 2026. The cost of the Capped Call Transactions was approximately $41.7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The Capped Call Transactions are separate transactions, each between the Company and the applicable Option Counterparty, and are not part of the terms of the Notes and will not affect any noteholder’s rights under the Notes or the Indenture. Noteholders of the Notes will not have any rights with respect to the Capped Call Transactions.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description of the Capped Call Transactions is a summary and is not complete. A copy of the form of confirmation for the Capped Call Transactions is filed as exhibit 10.1 to this Current Report on Form 8-K, and are incorporated herein by reference. The above summary is qualified by reference to the terms of the form of confirmation set forth in such exhibit.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3.02. The Notes were issued to the initial purchasers in reliance upon Section 4(a)(2) of the Securities Act of 1933, as amended (the “Securities Act”), in transactions not involving any public offering. The Notes were resold by the initial purchasers to persons whom the initial purchasers reasonably believe are “qualified institutional buyers,” as defined in, and in accordance with, Rule 144A under the Securities Act. Any shares of Common Stock that may be issued upon conversion of the Notes will be issued in reliance upon Section 3(a)(9) of the Securities Act as involving an exchange by the Company exclusively with its security holders. Initially, a maximum of 77,234,372 shares of Common Stock may be issued upon conversion of the Notes, based on the initial maximum conversion rate of 168.6340 shares of Common Stock per $1,000 principal amount of Notes, which is subject to customary anti-dilution adjustment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 Release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Closing Date, the Company issued a press release announcing that it has completed the sale of the Notes, pursuant to the purchase agreement among the Company, the Guarantor and the initial purchasers of the Notes. A copy of the Company’s press release is attached hereto as Exhibit 99.1,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certain “forward-looking information” and “forward-looking statements” (collectively, “forward-looking information”) that are based on expectations, estimates, and projections as at the date of this news release and are covered by safe harbors under U.S. and Canadian securities laws.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“positioning”, “prospects”, “believes”, “on track” or “intends” or variations of such words and phrases or stating that certain actions, events or results “may” or “could”, “would”, “might” or “will” be taken to occur or be achieved) are not statements of historical fact and may be forward-looking information. This forward-looking information is contained throughout this Current Report in Form 8-K.</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Keel at the time they were made, and involves known and unknown risks, uncertainties, and other factors which may cause the actual results, performance, or achievements of Keel to be materially different from any future results, performance, or achievements expressed or implied by such forward-looking information. Such factors, risks, and uncertainties include risks and uncertainties disclosed in Keel’s filings with the U.S. Securities and Exchange Commission (“SEC”) at www.sec.gov and under its profile at www.sedarplus.ca, including the Company’s Annual Report on Form 10-K for the fiscal year ended December 31, 2025, and subsequent filings with the SEC. There may be other factors that cause results not to be as anticipated, estimated, or intended, including factors that are currently unknown to or deemed immaterial by Keel. There can be no assurance that such statements will prove to be accurate as actual results, and future events could differ materially from those anticipated in such statements. Accordingly, readers should not place undue reliance on any forward-looking information. Keel does not undertake any obligation to revise or update any forward-looking information other than as required by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Indenture, dated as of June 9, 2026, among Keel Infrastructure Corp. as Issuer, Bitfarms Ltd. as Guarantor, and Computershare Trust</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Company, N.A., as Trustee.</w:t>
            </w:r>
          </w:p>
        </w:tc>
        <w:tc>
          <w:tcPr>
            <w:tcW w:w="810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Form of certificate representing the 1.250% Convertible Senior Notes due 2032 (included as Exhibit A to Exhibit 4.1)</w:t>
            </w:r>
            <w:r>
              <w:rPr>
                <w:rFonts w:ascii="Times New Roman" w:cs="Times New Roman" w:eastAsia="Times New Roman" w:hAnsi="Times New Roman"/>
                <w:sz w:val="18"/>
                <w:szCs w:val="18"/>
                <w:color w:val="000000"/>
              </w:rPr>
              <w:t>.</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Form of Capped Call Transaction.</w:t>
            </w:r>
          </w:p>
        </w:tc>
        <w:tc>
          <w:tcPr>
            <w:tcW w:w="7640" w:type="dxa"/>
            <w:vAlign w:val="bottom"/>
            <w:tcBorders>
              <w:bottom w:val="single" w:sz="8" w:color="CCEEFF"/>
            </w:tcBorders>
            <w:gridSpan w:val="3"/>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Keel Infrastructure Corp. announcing the closing of its Convertible Notes offering, dated June 9,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Portions of this exhibit have been redacted in compliance with Item 601(a)(6) of Regulation S-K because disclosure would constitute a clearly unwarranted invasion of personal privacy. Redacted information is indicated by [***].</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8"/>
          <w:szCs w:val="18"/>
          <w:color w:val="auto"/>
        </w:rPr>
        <w:t>By:</w:t>
        <w:tab/>
        <w:t>/s/ Jonathan 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Jonathan Mir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Issuer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BITFARMS LTD.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Guarantor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COMPUTERSHARE TRUST COMPANY, N.A.</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June 9, 2026</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1.250% Convertible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883285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846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86"/>
        </w:trPr>
        <w:tc>
          <w:tcPr>
            <w:tcW w:w="1780" w:type="dxa"/>
            <w:vAlign w:val="bottom"/>
            <w:tcBorders>
              <w:bottom w:val="single" w:sz="8" w:color="CCEEFF"/>
            </w:tcBorders>
          </w:tcPr>
          <w:p>
            <w:pPr>
              <w:spacing w:after="0"/>
              <w:rPr>
                <w:sz w:val="24"/>
                <w:szCs w:val="24"/>
                <w:color w:val="auto"/>
              </w:rPr>
            </w:pPr>
          </w:p>
        </w:tc>
        <w:tc>
          <w:tcPr>
            <w:tcW w:w="84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w:t>
            </w:r>
            <w:r>
              <w:rPr>
                <w:rFonts w:ascii="Times New Roman" w:cs="Times New Roman" w:eastAsia="Times New Roman" w:hAnsi="Times New Roman"/>
                <w:sz w:val="12"/>
                <w:szCs w:val="12"/>
                <w:color w:val="auto"/>
              </w:rPr>
              <w:t>efinitions</w:t>
            </w:r>
          </w:p>
        </w:tc>
        <w:tc>
          <w:tcPr>
            <w:tcW w:w="8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1.02</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Definitions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1.03</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References to Interest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1000" w:type="dxa"/>
            <w:vAlign w:val="bottom"/>
          </w:tcPr>
          <w:p>
            <w:pPr>
              <w:spacing w:after="0"/>
              <w:rPr>
                <w:sz w:val="18"/>
                <w:szCs w:val="18"/>
                <w:color w:val="auto"/>
              </w:rPr>
            </w:pP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Designation and Amount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2.02</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2.03</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Date and Denomination of Notes; Payments of Principal, Interest and Defaulted Amounts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2.04</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 Authentication and Delivery of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2.05</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 and Registration of Transfer of Notes; Restrictions on Transfer; Depositary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2.06</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Mutilated, Destroyed, Lost or Stolen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2.07</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Temporary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Cancellation of Notes Paid, Converted, Etc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2.09</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CUSIP Numbers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2.10</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Notes; Repurchases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2.11</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Amounts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S</w:t>
            </w:r>
            <w:r>
              <w:rPr>
                <w:rFonts w:ascii="Times New Roman" w:cs="Times New Roman" w:eastAsia="Times New Roman" w:hAnsi="Times New Roman"/>
                <w:sz w:val="12"/>
                <w:szCs w:val="12"/>
                <w:color w:val="auto"/>
              </w:rPr>
              <w:t>atisfaction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p>
        </w:tc>
        <w:tc>
          <w:tcPr>
            <w:tcW w:w="1000" w:type="dxa"/>
            <w:vAlign w:val="bottom"/>
            <w:shd w:val="clear" w:color="auto" w:fill="CCEEFF"/>
          </w:tcPr>
          <w:p>
            <w:pPr>
              <w:spacing w:after="0"/>
              <w:rPr>
                <w:sz w:val="18"/>
                <w:szCs w:val="18"/>
                <w:color w:val="auto"/>
              </w:rPr>
            </w:pP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P</w:t>
            </w:r>
            <w:r>
              <w:rPr>
                <w:rFonts w:ascii="Times New Roman" w:cs="Times New Roman" w:eastAsia="Times New Roman" w:hAnsi="Times New Roman"/>
                <w:sz w:val="12"/>
                <w:szCs w:val="12"/>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1000" w:type="dxa"/>
            <w:vAlign w:val="bottom"/>
          </w:tcPr>
          <w:p>
            <w:pPr>
              <w:spacing w:after="0"/>
              <w:rPr>
                <w:sz w:val="18"/>
                <w:szCs w:val="18"/>
                <w:color w:val="auto"/>
              </w:rPr>
            </w:pP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4.01</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4.02</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4.03</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Appointments to Fill Vacancies in Trustee’s Office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4.04</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Provisions as to Paying Agent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4.05</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Existence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4.06</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144A Information Requirement and Annual Reports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4.07</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4.08</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Certificate; Statements as to Defaults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4.09</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Further Instruments and Acts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L</w:t>
            </w:r>
            <w:r>
              <w:rPr>
                <w:rFonts w:ascii="Times New Roman" w:cs="Times New Roman" w:eastAsia="Times New Roman" w:hAnsi="Times New Roman"/>
                <w:sz w:val="12"/>
                <w:szCs w:val="12"/>
                <w:color w:val="auto"/>
              </w:rPr>
              <w:t>ists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tc>
        <w:tc>
          <w:tcPr>
            <w:tcW w:w="1000" w:type="dxa"/>
            <w:vAlign w:val="bottom"/>
            <w:shd w:val="clear" w:color="auto" w:fill="CCEEFF"/>
          </w:tcPr>
          <w:p>
            <w:pPr>
              <w:spacing w:after="0"/>
              <w:rPr>
                <w:sz w:val="18"/>
                <w:szCs w:val="18"/>
                <w:color w:val="auto"/>
              </w:rPr>
            </w:pP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5.01</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Lists of Holders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5.02</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Preservation and Disclosure of Lists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D</w:t>
            </w:r>
            <w:r>
              <w:rPr>
                <w:rFonts w:ascii="Times New Roman" w:cs="Times New Roman" w:eastAsia="Times New Roman" w:hAnsi="Times New Roman"/>
                <w:sz w:val="12"/>
                <w:szCs w:val="12"/>
                <w:color w:val="auto"/>
              </w:rPr>
              <w:t>efaults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tc>
        <w:tc>
          <w:tcPr>
            <w:tcW w:w="1000" w:type="dxa"/>
            <w:vAlign w:val="bottom"/>
            <w:shd w:val="clear" w:color="auto" w:fill="CCEEFF"/>
          </w:tcPr>
          <w:p>
            <w:pPr>
              <w:spacing w:after="0"/>
              <w:rPr>
                <w:sz w:val="18"/>
                <w:szCs w:val="18"/>
                <w:color w:val="auto"/>
              </w:rPr>
            </w:pP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6.01</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Events of Default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6.02</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Acceleration; Rescission and Annulment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6.03</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Interest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6.04</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of Notes on Default; Suit Therefor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6.05</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Application of Monies Collected by Trustee</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6.06</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Proceedings by Holders</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6.07</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Proceedings by Trustee</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6.08</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Remedies Cumulative and Continuing</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6.09</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Direction of Proceedings and Waiver of Defaults by Majority of Holders</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6.10</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Defaults</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6.11</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92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C</w:t>
            </w:r>
            <w:r>
              <w:rPr>
                <w:rFonts w:ascii="Times New Roman" w:cs="Times New Roman" w:eastAsia="Times New Roman" w:hAnsi="Times New Roman"/>
                <w:sz w:val="12"/>
                <w:szCs w:val="12"/>
                <w:color w:val="auto"/>
              </w:rPr>
              <w:t>oncerning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tc>
        <w:tc>
          <w:tcPr>
            <w:tcW w:w="1320" w:type="dxa"/>
            <w:vAlign w:val="bottom"/>
            <w:shd w:val="clear" w:color="auto" w:fill="CCEEFF"/>
          </w:tcPr>
          <w:p>
            <w:pPr>
              <w:spacing w:after="0"/>
              <w:rPr>
                <w:sz w:val="18"/>
                <w:szCs w:val="18"/>
                <w:color w:val="auto"/>
              </w:rPr>
            </w:pP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7.01</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Duties and Responsibilities of Trustee</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7.02</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Reliance on Documents, Opinions, Etc</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7.03</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Responsibility for Recitals, Etc</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7.04</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Trustee, Paying Agents, Conversion Agents, Bid Solicitation Agent or Note Registrar May Own Notes</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7.05</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Monies and Common Stock to Be Held in Trust</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7.06</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and Expenses of Trustee</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7.07</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Officer’s Certificate as Evidence</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7.08</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Eligibility of Trustee</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7.09</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 or Removal of Trustee</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7.10</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Acceptance by Successor Trustee</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7.11</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Succession by Merger, Etc</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7.12</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Trustee’s Application for Instructions from the Company</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92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C</w:t>
            </w:r>
            <w:r>
              <w:rPr>
                <w:rFonts w:ascii="Times New Roman" w:cs="Times New Roman" w:eastAsia="Times New Roman" w:hAnsi="Times New Roman"/>
                <w:sz w:val="12"/>
                <w:szCs w:val="12"/>
                <w:color w:val="auto"/>
              </w:rPr>
              <w:t>oncerning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tc>
        <w:tc>
          <w:tcPr>
            <w:tcW w:w="1320" w:type="dxa"/>
            <w:vAlign w:val="bottom"/>
            <w:shd w:val="clear" w:color="auto" w:fill="CCEEFF"/>
          </w:tcPr>
          <w:p>
            <w:pPr>
              <w:spacing w:after="0"/>
              <w:rPr>
                <w:sz w:val="18"/>
                <w:szCs w:val="18"/>
                <w:color w:val="auto"/>
              </w:rPr>
            </w:pP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8.01</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Action by Holders</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8.02</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Proof of Execution by Holders</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8.03</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Who Are Deemed Absolute Owners</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8.04</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Company-Owned Notes Disregarded</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8.05</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Revocation of Consents; Future Holders Bound</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9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eetings</w:t>
            </w:r>
          </w:p>
        </w:tc>
        <w:tc>
          <w:tcPr>
            <w:tcW w:w="1320" w:type="dxa"/>
            <w:vAlign w:val="bottom"/>
          </w:tcPr>
          <w:p>
            <w:pPr>
              <w:spacing w:after="0"/>
              <w:rPr>
                <w:sz w:val="18"/>
                <w:szCs w:val="18"/>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9.01</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Purpose of Meetings</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9.02</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Call of Meetings by Trustee</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9.03</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Call of Meetings by Company or Holders</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9.04</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Qualifications for Voting</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9.05</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Regulations</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9.06</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Voting</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9.07</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Delay of Rights by Meeting</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92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 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ndentures</w:t>
            </w:r>
          </w:p>
        </w:tc>
        <w:tc>
          <w:tcPr>
            <w:tcW w:w="1320" w:type="dxa"/>
            <w:vAlign w:val="bottom"/>
            <w:shd w:val="clear" w:color="auto" w:fill="CCEEFF"/>
          </w:tcPr>
          <w:p>
            <w:pPr>
              <w:spacing w:after="0"/>
              <w:rPr>
                <w:sz w:val="18"/>
                <w:szCs w:val="18"/>
                <w:color w:val="auto"/>
              </w:rPr>
            </w:pP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10.01</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10.02</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Supplemental Indentures with Consent of Holders</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10.03</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10.04</w:t>
            </w:r>
          </w:p>
        </w:tc>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Notation on Notes</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10.05</w:t>
            </w: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Evidence of Compliance of Supplemental Indenture to Be Furnished to Trustee</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11 C</w:t>
            </w:r>
            <w:r>
              <w:rPr>
                <w:rFonts w:ascii="Times New Roman" w:cs="Times New Roman" w:eastAsia="Times New Roman" w:hAnsi="Times New Roman"/>
                <w:sz w:val="12"/>
                <w:szCs w:val="12"/>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onveyance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ease</w:t>
            </w:r>
          </w:p>
        </w:tc>
        <w:tc>
          <w:tcPr>
            <w:tcW w:w="860" w:type="dxa"/>
            <w:vAlign w:val="bottom"/>
            <w:shd w:val="clear" w:color="auto" w:fill="CCEEFF"/>
          </w:tcPr>
          <w:p>
            <w:pPr>
              <w:spacing w:after="0"/>
              <w:rPr>
                <w:sz w:val="18"/>
                <w:szCs w:val="18"/>
                <w:color w:val="auto"/>
              </w:rPr>
            </w:pP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11.01</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11.02</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Successor Corporation to Be Substituted</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3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12 I</w:t>
            </w:r>
            <w:r>
              <w:rPr>
                <w:rFonts w:ascii="Times New Roman" w:cs="Times New Roman" w:eastAsia="Times New Roman" w:hAnsi="Times New Roman"/>
                <w:sz w:val="12"/>
                <w:szCs w:val="12"/>
                <w:color w:val="auto"/>
              </w:rPr>
              <w:t>mmunity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tc>
        <w:tc>
          <w:tcPr>
            <w:tcW w:w="860" w:type="dxa"/>
            <w:vAlign w:val="bottom"/>
            <w:shd w:val="clear" w:color="auto" w:fill="CCEEFF"/>
          </w:tcPr>
          <w:p>
            <w:pPr>
              <w:spacing w:after="0"/>
              <w:rPr>
                <w:sz w:val="18"/>
                <w:szCs w:val="18"/>
                <w:color w:val="auto"/>
              </w:rPr>
            </w:pP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12.01</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Indenture and Notes Solely Corporate Obligations</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58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13</w:t>
            </w:r>
          </w:p>
        </w:tc>
        <w:tc>
          <w:tcPr>
            <w:tcW w:w="8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13.01</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Guarantee</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13.02</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 on Guarantor Liability</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13.03</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Execution and Delivery of Guarantee</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13.04</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When the Guarantor May Consolidate, Etc</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13.05</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Successor Guarantor to Be Substituted</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13.06</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of Guarantee</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38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C</w:t>
            </w:r>
            <w:r>
              <w:rPr>
                <w:rFonts w:ascii="Times New Roman" w:cs="Times New Roman" w:eastAsia="Times New Roman" w:hAnsi="Times New Roman"/>
                <w:sz w:val="12"/>
                <w:szCs w:val="12"/>
                <w:color w:val="auto"/>
              </w:rPr>
              <w:t>onversion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860" w:type="dxa"/>
            <w:vAlign w:val="bottom"/>
          </w:tcPr>
          <w:p>
            <w:pPr>
              <w:spacing w:after="0"/>
              <w:rPr>
                <w:sz w:val="18"/>
                <w:szCs w:val="18"/>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14.01</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 Privilege</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14.02</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 Procedure; Settlement Upon Conversion</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198"/>
        </w:trPr>
        <w:tc>
          <w:tcPr>
            <w:tcW w:w="15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Section 14.03</w:t>
            </w:r>
          </w:p>
        </w:tc>
        <w:tc>
          <w:tcPr>
            <w:tcW w:w="880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Increased  Conversion  Rate  Applicable  to  Certain  Notes  Surrendered  in  Connection  with  Make-Whole</w:t>
            </w:r>
          </w:p>
        </w:tc>
        <w:tc>
          <w:tcPr>
            <w:tcW w:w="860" w:type="dxa"/>
            <w:vAlign w:val="bottom"/>
            <w:shd w:val="clear" w:color="auto" w:fill="CCEEFF"/>
          </w:tcPr>
          <w:p>
            <w:pPr>
              <w:spacing w:after="0"/>
              <w:rPr>
                <w:sz w:val="17"/>
                <w:szCs w:val="17"/>
                <w:color w:val="auto"/>
              </w:rPr>
            </w:pPr>
          </w:p>
        </w:tc>
      </w:tr>
      <w:tr>
        <w:trPr>
          <w:trHeight w:val="234"/>
        </w:trPr>
        <w:tc>
          <w:tcPr>
            <w:tcW w:w="1580" w:type="dxa"/>
            <w:vAlign w:val="bottom"/>
            <w:shd w:val="clear" w:color="auto" w:fill="CCEEFF"/>
          </w:tcPr>
          <w:p>
            <w:pPr>
              <w:spacing w:after="0"/>
              <w:rPr>
                <w:sz w:val="20"/>
                <w:szCs w:val="20"/>
                <w:color w:val="auto"/>
              </w:rPr>
            </w:pP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Fundamental Changes or a Notice of Optional Redemption</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14.04</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 of Conversion Rate</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14.05</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of Prices</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14.06</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to Be Fully Paid</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14.07</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Recapitalizations, Reclassifications and Changes of the Common Stock</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14.08</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Covenants</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14.09</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Responsibility of Trustee</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14.10</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to Holders Prior to Certain Actions</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14.11</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Stockholder Rights Plans</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3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15 R</w:t>
            </w:r>
            <w:r>
              <w:rPr>
                <w:rFonts w:ascii="Times New Roman" w:cs="Times New Roman" w:eastAsia="Times New Roman" w:hAnsi="Times New Roman"/>
                <w:sz w:val="12"/>
                <w:szCs w:val="12"/>
                <w:color w:val="auto"/>
              </w:rPr>
              <w:t>equirement 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ffer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epurchase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860" w:type="dxa"/>
            <w:vAlign w:val="bottom"/>
            <w:shd w:val="clear" w:color="auto" w:fill="CCEEFF"/>
          </w:tcPr>
          <w:p>
            <w:pPr>
              <w:spacing w:after="0"/>
              <w:rPr>
                <w:sz w:val="18"/>
                <w:szCs w:val="18"/>
                <w:color w:val="auto"/>
              </w:rPr>
            </w:pP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15.01</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[Intentionally Omitted]</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15.02</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Requirement to Offer to Repurchase Notes Upon a Fundamental Change</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15.03</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Withdrawal of Fundamental Change Repurchase Offer Acceptance Notice</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15.04</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 of Fundamental Change Repurchase Price</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15.05</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Covenant to Comply with Applicable Laws Upon Repurchase of Notes</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38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16 O</w:t>
            </w:r>
            <w:r>
              <w:rPr>
                <w:rFonts w:ascii="Times New Roman" w:cs="Times New Roman" w:eastAsia="Times New Roman" w:hAnsi="Times New Roman"/>
                <w:sz w:val="12"/>
                <w:szCs w:val="12"/>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p>
        </w:tc>
        <w:tc>
          <w:tcPr>
            <w:tcW w:w="860" w:type="dxa"/>
            <w:vAlign w:val="bottom"/>
          </w:tcPr>
          <w:p>
            <w:pPr>
              <w:spacing w:after="0"/>
              <w:rPr>
                <w:sz w:val="18"/>
                <w:szCs w:val="18"/>
                <w:color w:val="auto"/>
              </w:rPr>
            </w:pP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16.01</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Optional Redemption</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16.02</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Optional Redemption; Selection of Notes</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16.03</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16.04</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16.05</w:t>
            </w:r>
          </w:p>
        </w:tc>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Notes Called for Redemption</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16.06</w:t>
            </w:r>
          </w:p>
        </w:tc>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Restrictions on Redemption</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17 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tc>
        <w:tc>
          <w:tcPr>
            <w:tcW w:w="1380" w:type="dxa"/>
            <w:vAlign w:val="bottom"/>
            <w:shd w:val="clear" w:color="auto" w:fill="CCEEFF"/>
          </w:tcPr>
          <w:p>
            <w:pPr>
              <w:spacing w:after="0"/>
              <w:rPr>
                <w:sz w:val="18"/>
                <w:szCs w:val="18"/>
                <w:color w:val="auto"/>
              </w:rPr>
            </w:pP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17.01</w:t>
            </w:r>
          </w:p>
        </w:tc>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Provisions Binding on Company’s Successors</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17.02</w:t>
            </w:r>
          </w:p>
        </w:tc>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Official Acts by Successor Corporation</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17.03</w:t>
            </w:r>
          </w:p>
        </w:tc>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Addresses for Notices, Etc</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17.04</w:t>
            </w:r>
          </w:p>
        </w:tc>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17.05</w:t>
            </w:r>
          </w:p>
        </w:tc>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Evidence of Compliance with Conditions Precedent; Certificates and Opinions of Counsel to Trustee</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17.06</w:t>
            </w:r>
          </w:p>
        </w:tc>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Legal Holidays</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17.07</w:t>
            </w:r>
          </w:p>
        </w:tc>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Security Interest Created</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17.08</w:t>
            </w:r>
          </w:p>
        </w:tc>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Benefits of Indenture</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17.09</w:t>
            </w:r>
          </w:p>
        </w:tc>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17.10</w:t>
            </w:r>
          </w:p>
        </w:tc>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Authenticating Agent</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17.11</w:t>
            </w:r>
          </w:p>
        </w:tc>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17.12</w:t>
            </w:r>
          </w:p>
        </w:tc>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17.13</w:t>
            </w:r>
          </w:p>
        </w:tc>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17.14</w:t>
            </w:r>
          </w:p>
        </w:tc>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Force Majeure</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17.15</w:t>
            </w:r>
          </w:p>
        </w:tc>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Calculations</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17.16</w:t>
            </w:r>
          </w:p>
        </w:tc>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USA PATRIOT Act</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98</w:t>
            </w:r>
          </w:p>
        </w:tc>
      </w:tr>
    </w:tbl>
    <w:p>
      <w:pPr>
        <w:spacing w:after="0" w:line="19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Appendix A</w:t>
      </w:r>
      <w:r>
        <w:rPr>
          <w:sz w:val="20"/>
          <w:szCs w:val="20"/>
          <w:color w:val="auto"/>
        </w:rPr>
        <w:tab/>
      </w:r>
      <w:r>
        <w:rPr>
          <w:rFonts w:ascii="Times New Roman" w:cs="Times New Roman" w:eastAsia="Times New Roman" w:hAnsi="Times New Roman"/>
          <w:sz w:val="17"/>
          <w:szCs w:val="17"/>
          <w:color w:val="auto"/>
        </w:rPr>
        <w:t>Provisions Relating to Initial Notes and Additional Notes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Note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1" w:name="page12"/>
    <w:bookmarkEnd w:id="1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INDENTURE dated as of June 9, 2026, among KEEL INFRASTRUCTURE CORP.,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BITFARMS LTD., a corporation organized and existing under the Business Corporations Act (Ontario), as guarantor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as more fully set forth in Section 1.01) and COMPUTERSHARE TRUST COMPANY, N.A.,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applicable, and as more fully set forth in Section 1.01).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1.250% Convertible Senior Notes due 2032, initially in an aggregate principal amount not to exceed $458,000,000 (the “</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 and in order to provide the terms and conditions upon which the Notes are to be authenticated, issued and delivered, the Company has duly authorized the execution and delivery of this Indenture;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Offer Acceptance Notice and the Form of Assignment and Transfer to be borne by the Notes are to be substantially in the forms hereinafter provided;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223"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1.01 Definitions</w:t>
      </w:r>
      <w:r>
        <w:rPr>
          <w:rFonts w:ascii="Times New Roman" w:cs="Times New Roman" w:eastAsia="Times New Roman" w:hAnsi="Times New Roman"/>
          <w:sz w:val="18"/>
          <w:szCs w:val="18"/>
          <w:color w:val="auto"/>
        </w:rPr>
        <w:t>. The terms defined in this Section 1.01 (except as herein otherwise expressly provided or unless the context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shall have the meaning specified in Section 2.11(b).</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means all amounts, if any, payable pursuant to Section 4.06(d), Section 4.06(e) and Section 6.03,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means additional Notes issued pursuant to Section 2.10.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“Affiliate” of another Person for purposes of this Indenture shall be made based on the facts at the time such determination is made or required to be made, as the case may be, hereunder.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Officers”</w:t>
      </w:r>
      <w:r>
        <w:rPr>
          <w:rFonts w:ascii="Times New Roman" w:cs="Times New Roman" w:eastAsia="Times New Roman" w:hAnsi="Times New Roman"/>
          <w:sz w:val="18"/>
          <w:szCs w:val="18"/>
          <w:color w:val="auto"/>
        </w:rPr>
        <w:t xml:space="preserve"> shall have the meaning specified in Section 17.03.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and Insolvency Act (Canada)</w:t>
      </w:r>
      <w:r>
        <w:rPr>
          <w:rFonts w:ascii="Times New Roman" w:cs="Times New Roman" w:eastAsia="Times New Roman" w:hAnsi="Times New Roman"/>
          <w:sz w:val="18"/>
          <w:szCs w:val="18"/>
          <w:color w:val="auto"/>
        </w:rPr>
        <w:t>” means Bankruptcy and Insolvency Act (Canada), as amended, and the rules and regulations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Federal or State bankruptcy, insolvency or similar law for the relief of debtors.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Company or the Person appointed by the Company to solicit bids for the Trading Price of the Notes in accordance with Section 14.01(b)(i). The Company shall initially act as the Bid Solicitation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for it 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shall have the meaning specified in Section 14.02(a).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 or any corresponding provision or provisions of succeeding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$0.001 per share, at the date of this Indenture, subject to Section 14.07.</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Creditors Arrangement Act (Canada)</w:t>
      </w:r>
      <w:r>
        <w:rPr>
          <w:rFonts w:ascii="Times New Roman" w:cs="Times New Roman" w:eastAsia="Times New Roman" w:hAnsi="Times New Roman"/>
          <w:sz w:val="18"/>
          <w:szCs w:val="18"/>
          <w:color w:val="auto"/>
        </w:rPr>
        <w:t>” means Companies’ Creditors Arrangement Act (Canada), as amended, and the rules and regulations promulgated thereunder.</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 successors and assigns.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any of its Officers and delivered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as of any time, $1,000, divided by the Conversion Rate as of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its corporate trust business shall be administered, which office at the date hereof is located at Computershare Trust Company, N.A., 1505 Energy Park Drive, St. Paul, MN 55108, Attn: Keel Infrastructure Corp.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DTC, with respect to the Global Notes, or any successor entity thereto.</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thirty (30) consecutive Trading Days during the Observation Period, 1/30th of the product of (a) the Conversion Rate on such Trading Day and (b) the Daily VWAP for such Trading Day.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means the Specified Dollar Amount (if any), divided by 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thirty (30) consecutive Trading Days during the Observation Period, shall consist of:</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cash in an amount equal to the lesser of (i) the Daily Measurement Value and (ii) the Daily Conversion Value on such Trading Day;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ind w:left="660" w:firstLine="644"/>
        <w:spacing w:after="0" w:line="266" w:lineRule="auto"/>
        <w:tabs>
          <w:tab w:leader="none" w:pos="1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Daily Conversion Value on such Trading Day exceeds the Daily Measurement Value, a number of shares of Common Stock equal to (i) the difference between the Daily Conversion Value and the Daily Measurement Value, divided by (ii) the Daily VWAP for such Trading Day.</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Trading Day, the per share volume-weighted average price as displayed under the heading “</w:t>
      </w:r>
      <w:r>
        <w:rPr>
          <w:rFonts w:ascii="Times New Roman" w:cs="Times New Roman" w:eastAsia="Times New Roman" w:hAnsi="Times New Roman"/>
          <w:sz w:val="18"/>
          <w:szCs w:val="18"/>
          <w:b w:val="1"/>
          <w:bCs w:val="1"/>
          <w:color w:val="auto"/>
        </w:rPr>
        <w:t>Bloomberg VWAP</w:t>
      </w:r>
      <w:r>
        <w:rPr>
          <w:rFonts w:ascii="Times New Roman" w:cs="Times New Roman" w:eastAsia="Times New Roman" w:hAnsi="Times New Roman"/>
          <w:sz w:val="18"/>
          <w:szCs w:val="18"/>
          <w:color w:val="auto"/>
        </w:rPr>
        <w:t>” on Bloomberg page “</w:t>
      </w:r>
      <w:r>
        <w:rPr>
          <w:rFonts w:ascii="Times New Roman" w:cs="Times New Roman" w:eastAsia="Times New Roman" w:hAnsi="Times New Roman"/>
          <w:sz w:val="18"/>
          <w:szCs w:val="18"/>
          <w:b w:val="1"/>
          <w:bCs w:val="1"/>
          <w:color w:val="auto"/>
        </w:rPr>
        <w:t>KEEL &lt;equity&gt; AQR</w:t>
      </w:r>
      <w:r>
        <w:rPr>
          <w:rFonts w:ascii="Times New Roman" w:cs="Times New Roman" w:eastAsia="Times New Roman" w:hAnsi="Times New Roman"/>
          <w:sz w:val="18"/>
          <w:szCs w:val="18"/>
          <w:color w:val="auto"/>
        </w:rPr>
        <w:t>”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“Daily VWAP” shall be determined without regard to afterhours trading or any other trading outside of the regular trading session trading hours.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shall have the meaning specified in Section 2.03(b).</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the Fundamental Change Repurchase Price, principal and interest) that are payable but are not punctually paid or duly provided for.</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Definitive Notes</w:t>
      </w:r>
      <w:r>
        <w:rPr>
          <w:rFonts w:ascii="Times New Roman" w:cs="Times New Roman" w:eastAsia="Times New Roman" w:hAnsi="Times New Roman"/>
          <w:sz w:val="18"/>
          <w:szCs w:val="18"/>
          <w:color w:val="auto"/>
        </w:rPr>
        <w:t>” means permanent certificated Notes in registered form issued in denominations of $1,000 principal amount and integral multiples thereof.</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“Depositary” shall mean or include such successor.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“distribution trigger irrevocable physical settlement period” </w:t>
      </w:r>
      <w:r>
        <w:rPr>
          <w:rFonts w:ascii="Times New Roman" w:cs="Times New Roman" w:eastAsia="Times New Roman" w:hAnsi="Times New Roman"/>
          <w:sz w:val="18"/>
          <w:szCs w:val="18"/>
          <w:color w:val="auto"/>
        </w:rPr>
        <w:t>shall have the meaning specified in Section 14.01(b)(ii).</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a dollar or other equivalent unit in such coin or currency of the United States of America as at the time shall be legal tender for the payment of public and private debts.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14.04 and Section 14.05,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shares of Common Stock trade on the applicable exchange or in the applicable market, regular way, reflecting the relevant share split or share combination, as applicable. For the avoidance of doubt, any alternative trading convention on the applicable exchange or market in respect of the Common Stock, under a separate ticker symbol or CUSIP number, will not be considered “regular way” for purposes of this definition.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Means”</w:t>
      </w:r>
      <w:r>
        <w:rPr>
          <w:rFonts w:ascii="Times New Roman" w:cs="Times New Roman" w:eastAsia="Times New Roman" w:hAnsi="Times New Roman"/>
          <w:sz w:val="18"/>
          <w:szCs w:val="18"/>
          <w:color w:val="auto"/>
        </w:rPr>
        <w:t xml:space="preserve"> shall mean the following communications methods: e-mail or secure electronic transmission containing applicable authorization codes, passwords and/or authentication keys issued by the Trustee, or another method or system specified by the Trustee by notice to the Holders and the Company as available for use in connection with its services 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the Common Stock trades on Nasdaq (or if the Common Stock is not then listed on Nasdaq, the principal securities exchange or market on which the Common Stock is traded),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the Common Stock, under a separate ticker symbol or CUSIP number, will not be considered “regular way” for purposes of this definition.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means the “Form of Assignment and Transfer” attached as Attachment 3 to the Form of Note attached hereto as Exhibit A.</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Offer Acceptance Notice</w:t>
      </w:r>
      <w:r>
        <w:rPr>
          <w:rFonts w:ascii="Times New Roman" w:cs="Times New Roman" w:eastAsia="Times New Roman" w:hAnsi="Times New Roman"/>
          <w:sz w:val="18"/>
          <w:szCs w:val="18"/>
          <w:color w:val="auto"/>
        </w:rPr>
        <w:t>” means the “Form of Fundamental Change Repurchase Offer Acceptance Notice” attached as Attachment 2 to the Form of Note attached hereto as Exhibit 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means the “Form of Note” attached hereto as Exhibit A.</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means the “Form of Notice of Conversion” attached as Attachment 1 to the Form of Note attached hereto as Exhibit A.</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225" w:lineRule="exact"/>
        <w:rPr>
          <w:sz w:val="20"/>
          <w:szCs w:val="20"/>
          <w:color w:val="auto"/>
        </w:rPr>
      </w:pPr>
    </w:p>
    <w:p>
      <w:pPr>
        <w:jc w:val="both"/>
        <w:ind w:left="660" w:firstLine="644"/>
        <w:spacing w:after="0" w:line="262" w:lineRule="auto"/>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within the meaning of Section 13(d) of the Exchange Act, other than the Company, its Wholly Owned Subsidiaries and the employee benefit plans of the Company and its Wholly Owned Subsidiaries has become the direct or indirect “beneficial owner,” as defined in Rule 13d-3 under the Exchange Act, of Common Equity of the Company representing more than 50% of the voting power of the Common Equity of the Company;</w:t>
      </w:r>
    </w:p>
    <w:p>
      <w:pPr>
        <w:spacing w:after="0" w:line="180"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7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any recapitalization, reclassification or change of the Common Stock (other than a change to par value or from par value to no par value, or changes resulting from a share split or consolidation) as a result of which the Common Stock would be converted into, or exchanged for, shares, other securities, other property or assets; (B) any share exchange, consolidation, amalgamation, arrangement or merger of the Company pursuant to which the Common Stock will be converted into cash, securities or other property or assets; or</w:t>
      </w:r>
    </w:p>
    <w:p>
      <w:pPr>
        <w:spacing w:after="0" w:line="2"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or other transfer in one transaction or a series of transactions of all or substantially all of the consolidated assets of the Company and its Subsidiaries, taken as a whole, to any Person other than one or more of the Company’s Wholly Owned Subsidiaries; provided, however, that a transaction described in clause (A) or (B) in which the holders of all classes of the Company’s Common Equity immediately prior to such transaction own, directly or indirectly, more than 50% of all classes of Common Equity of the continuing, resulting or surviving corporation or transferee or the parent thereof immediately after such transaction in substantially the same proportions as such ownership immediately prior to such transaction shall not be a Fundamental Change pursuant to this clause (b); or</w:t>
      </w:r>
    </w:p>
    <w:p>
      <w:pPr>
        <w:spacing w:after="0" w:line="18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any plan or proposal for the liquidation or dissolution of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transactions described in clause (a) or clause (b) above shall not constitute a Fundamental Change, if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90% of the consideration received or to be received by the holders of Common Stock of the Company, excluding cash payments for fractional shares, in connection with such transaction or transactions consists of Common Equity that are listed or quoted on any of the TSX, the TSX Venture Exchange, the New York Stock Exchange, the NYSE American, The Nasdaq Global Select Market, the Nasdaq Global Market or the Nasdaq Capital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(subject to the provisions of Section 14.02(a)). If any transaction in which the Common Stock are replaced by the securities of another entity occurs, following completion of any related Make-Whole Fundamental Change Period (or, in the case of a transaction that would have been a Fundamental Change or a Make-Whole Fundamental Change but for the proviso immediately following clause (c) of this definition, following the effective date of such transaction) references to the Company in this definition shall instead be references to such other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Offer Acceptance Notice</w:t>
      </w:r>
      <w:r>
        <w:rPr>
          <w:rFonts w:ascii="Times New Roman" w:cs="Times New Roman" w:eastAsia="Times New Roman" w:hAnsi="Times New Roman"/>
          <w:sz w:val="18"/>
          <w:szCs w:val="18"/>
          <w:color w:val="auto"/>
        </w:rPr>
        <w:t>” shall have the meaning specified in Section 15.02(b)(i).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sent</w:t>
      </w:r>
      <w:r>
        <w:rPr>
          <w:rFonts w:ascii="Times New Roman" w:cs="Times New Roman" w:eastAsia="Times New Roman" w:hAnsi="Times New Roman"/>
          <w:sz w:val="18"/>
          <w:szCs w:val="18"/>
          <w:color w:val="auto"/>
        </w:rPr>
        <w:t>” with respect to any notice to be given to a Holder pursuant to this Indenture, shall mean notice</w:t>
      </w:r>
    </w:p>
    <w:p>
      <w:pPr>
        <w:spacing w:after="0" w:line="31" w:lineRule="exact"/>
        <w:rPr>
          <w:sz w:val="20"/>
          <w:szCs w:val="20"/>
          <w:color w:val="auto"/>
        </w:rPr>
      </w:pPr>
    </w:p>
    <w:p>
      <w:pPr>
        <w:jc w:val="both"/>
        <w:ind w:firstLine="8"/>
        <w:spacing w:after="0" w:line="253" w:lineRule="auto"/>
        <w:tabs>
          <w:tab w:leader="none" w:pos="2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Definitive Note), in each case, in accordance with Section 17.03. Notice so “given” shall be deemed to include any notice to be “mailed” or “delivered,” as applicable, under this Indenture.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the guarantee by the Guarantor of the Company’s payment obligations under this Indenture and the Notes pursuant to Article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shall have the meaning specified in Section 13.01(a).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 successors and assigns; provided, however, that the Guarantor shall be deemed to cease to be a Guarantor from and after the release of the Guarantor’s Guarantee pursuant to Section 13.06.</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or “beneficial owner”), means any Person in whose name at the time a particular Note is registered on the Note Register.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shall have the meaning specified in Section 2.11(b)(iii).</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the several initial purchasers listed in Schedule I of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Act (Canada)</w:t>
      </w:r>
      <w:r>
        <w:rPr>
          <w:rFonts w:ascii="Times New Roman" w:cs="Times New Roman" w:eastAsia="Times New Roman" w:hAnsi="Times New Roman"/>
          <w:sz w:val="18"/>
          <w:szCs w:val="18"/>
          <w:color w:val="auto"/>
        </w:rPr>
        <w:t>” means Interest Act (Canada),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each January 15 and July 15 of each year, beginning on January 15, 2027.</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which is initially Nasdaq. If the Common Stock is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as reported in composite transactions for the principal Canadian securities exchange on which the Common Stock is traded. If the Common Stock is not traded on any U.S. national or regional securities exchange or any Canadian securities exchange,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Common Stock in the over-the-counter market on the relevant date as reported by OTC Markets Group Inc. or a similar organization. If the Common Stock is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Common Stock on the relevant date from each of at least three nationally recognized independent investment banking firms selected by the Company for this purpose.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will be determined without regard to after-hours trading or any other trading outside of regular trading-session hours. Any share price that is reported in Canadian dollars shall be deemed a reference to the amount, in U.S. dollars, into which such amount of Canadian dollars would be converted based on the most recently published daily exchange rate of the Bank of Canada on or immediately prior to the date of such share price.</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of the definition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Nasdaq (or, if the Common Stock is not then listed on Nasdaq, on the principal U.S. national or regional securities exchange on which the Common Stock is then listed, or, if the Common Stock is not then listed on any U.S. national or regional securities exchange, on the TSX or a Canadian securities exchange on which the Common Stock is then listed or, if the Common Stock is not then listed on any U.S. national or regional securities exchange or any Canadian securities exchange, on the principal other market on which the Common Stock is then traded)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January 15, 2032.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Event</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Initial Notes and more particularly means any Note authenticated and delivered under this Indenture. For all purposes of this Indenture, the term “Notes” shall also include any Additional Notes that may be issued under a supplemental indenture and Notes to be issued or authenticated upon transfer, replacement or exchange of Notes in accordance with this Indenture.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Optional Redemption</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with respect to any Note surrendered for conversion means: (i) subject to clause (ii), if the relevant Conversion Date occurs prior to October 15, 2031, the thirty (30) consecutive Trading Day period beginning on, and including, the second Trading Day immediately succeeding such Conversion Date; (ii) if the relevant Conversion Date occurs during a Redemption Period, the thirty (30) consecutive Trading Days beginning on, and including, the 31st Scheduled Trading Day immediately preceding such Redemption Date; and (iii) subject to clause (ii), if the relevant Conversion Date occurs on or after October 15, 2031, the thirty (30) consecutive Trading Days beginning on, and including, the 31st Scheduled Trading Day immediately preceding the Maturity Date.</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June 4, 2026, as supplemented by the related pricing term sheet dated June 4, 2026, relating to the offering and sale of the Notes.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Chief Executive Officer, the President, the Chief Financial Officer, the Corporate Secretary, the Vice President Finance and the Vice President Legal.</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legal officer of the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shall have the meaning specified in Section 16.01.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159" w:lineRule="exact"/>
        <w:rPr>
          <w:sz w:val="20"/>
          <w:szCs w:val="20"/>
          <w:color w:val="auto"/>
        </w:rPr>
      </w:pPr>
    </w:p>
    <w:p>
      <w:pPr>
        <w:ind w:left="1540" w:hanging="236"/>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 14 and required to be cancelled pursuant to Section 2.08;</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surrendered for purchase in accordance with Article 15 for which the Paying Agent holds money sufficient to pay the Fundamental Change Repurchase Price, in accordance with Section 15.04(b);</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repurchased by the Company pursuant to Section 2.10;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1300"/>
        <w:spacing w:after="0"/>
        <w:rPr>
          <w:sz w:val="20"/>
          <w:szCs w:val="20"/>
          <w:color w:val="auto"/>
        </w:rPr>
      </w:pPr>
      <w:r>
        <w:rPr>
          <w:rFonts w:ascii="Times New Roman" w:cs="Times New Roman" w:eastAsia="Times New Roman" w:hAnsi="Times New Roman"/>
          <w:sz w:val="18"/>
          <w:szCs w:val="18"/>
          <w:color w:val="auto"/>
        </w:rPr>
        <w:t>(g) Notes redeemed pursuant to Article 16.</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with respect to the Depositary, a Person who has an account with the Depositary.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Note</w:t>
      </w:r>
      <w:r>
        <w:rPr>
          <w:rFonts w:ascii="Times New Roman" w:cs="Times New Roman" w:eastAsia="Times New Roman" w:hAnsi="Times New Roman"/>
          <w:sz w:val="18"/>
          <w:szCs w:val="18"/>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as of June 4, 2026, among the Company, the Guarantor and Goldman Sachs &amp; Co. LLC and Morgan Stanley &amp; Co. LLC, as representatives of the Initial Purchasers.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are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statute,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means the date on which Notes are redeemed pursuant to an Optional Redemption.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 Date</w:t>
      </w:r>
      <w:r>
        <w:rPr>
          <w:rFonts w:ascii="Times New Roman" w:cs="Times New Roman" w:eastAsia="Times New Roman" w:hAnsi="Times New Roman"/>
          <w:sz w:val="18"/>
          <w:szCs w:val="18"/>
          <w:color w:val="auto"/>
        </w:rPr>
        <w:t>” means the date on which a Notice of Optional Redemption is delivered pursuant to Section 16.02.</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Period</w:t>
      </w:r>
      <w:r>
        <w:rPr>
          <w:rFonts w:ascii="Times New Roman" w:cs="Times New Roman" w:eastAsia="Times New Roman" w:hAnsi="Times New Roman"/>
          <w:sz w:val="18"/>
          <w:szCs w:val="18"/>
          <w:color w:val="auto"/>
        </w:rPr>
        <w:t>” means the period from, and including, the relevant Redemption Notice Date until the close of business on the second Scheduled Trading Day immediately preceding the related Redemption Date (or if the Company defaults in the payment of the Redemption Price, until the close of business on the Scheduled Trading Day immediately preceding the date on which the Redemption Price has been paid or duly provided for).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for any Notes to be redeemed pursuant to Section 16.01,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by the Company to Holders of record of such Notes as of the close of business on such Regular Record Date, and the Redemption Price will be equal to 100% of the principal amount of such Notes).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with respect to any Interest Payment Date, means the January 1 or July 1 (whether or not such day is a Business Day) immediately preceding the applicable January 15 or July 15 Interest Payment Date, respectively.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Taxing Jurisdiction</w:t>
      </w:r>
      <w:r>
        <w:rPr>
          <w:rFonts w:ascii="Times New Roman" w:cs="Times New Roman" w:eastAsia="Times New Roman" w:hAnsi="Times New Roman"/>
          <w:sz w:val="18"/>
          <w:szCs w:val="18"/>
          <w:color w:val="auto"/>
        </w:rPr>
        <w:t>” shall have the meaning specified in Section 2.11(a).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department of the Trustee who customarily performs functions similar to those performed by the persons who at the time shall be such officers,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xml:space="preserve">” means a day that is scheduled to be a Trading Day on Nasdaq or, if the Common Stock is not then listed on Nasdaq, on the principal U.S. national or regional securities exchange on which the Common Stock is then listed, or, if the Common Stock is not then listed on any U.S. national or regional securities exchange, on the TSX or a Canadian securities exchange on which the Common Stock is then listed or, if the Common Stock is not then listed on any U.S. national or regional securities exchange or any Canadian securities exchange, on the principal other market on which the Common Stock is then traded. If the Common Stock is not so listed or admitted for trading, </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xml:space="preserve"> means a Business Day.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has the meaning specified in Section 14.02(a)(v).</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with respect to any conversion of Notes, Physical Settlement, Cash Settlement or Combination Settlement, as elected (or deemed to have been elected) by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has the meaning specified in Section 14.02(a)(iii).</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 Subsidiary of the Company that meets the definition of “significant subsidiary” in Article 1, Rule 1-02 of Regulation S-X.</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the maximum cash amount per $1,000 principal amount of Notes to be received upon conversion as specified in the Settlement Notice (or deemed specified as provided in Section 14.02(a)(iii)) related to any converted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w:t>
      </w:r>
    </w:p>
    <w:p>
      <w:pPr>
        <w:ind w:left="660" w:right="2140" w:hanging="652"/>
        <w:spacing w:after="0" w:line="487" w:lineRule="auto"/>
        <w:tabs>
          <w:tab w:leader="none" w:pos="2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(ii) such Person and one or more Subsidiaries of such Person; or (iii) one or more Subsidiaries of such Person. “</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shall have the meaning specified in Section 11.01(a).</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Guarantor</w:t>
      </w:r>
      <w:r>
        <w:rPr>
          <w:rFonts w:ascii="Times New Roman" w:cs="Times New Roman" w:eastAsia="Times New Roman" w:hAnsi="Times New Roman"/>
          <w:sz w:val="18"/>
          <w:szCs w:val="18"/>
          <w:color w:val="auto"/>
        </w:rPr>
        <w:t>” shall have the meaning specified in Section 13.04(a).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have the meaning specified in Section 2.11(a).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of Trading</w:t>
      </w:r>
      <w:r>
        <w:rPr>
          <w:rFonts w:ascii="Times New Roman" w:cs="Times New Roman" w:eastAsia="Times New Roman" w:hAnsi="Times New Roman"/>
          <w:sz w:val="18"/>
          <w:szCs w:val="18"/>
          <w:color w:val="auto"/>
        </w:rPr>
        <w:t>” shall have occurred if the Common Stock (or other Common Equity underlying the Notes) are not listed or quoted on at least one of the following: the TSX, the TSX Venture Exchange, the New York Stock Exchange, the NYSE American, The Nasdaq Global Select Market, the Nasdaq Global Market or the Nasdaq Capital Market (or any of their respective successors).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except for determining amounts due upon conversion as set forth below, a day on which (i) trading in the Common Stock (or other security for which a closing sale price must be determined) generally occurs on Nasdaq or, if the Common Stock (or such other security) are not then listed on Nasdaq, on the principal U.S. national or regional securities exchange on which the Common Stock is then listed, or, if the Common Stock (or such other security) is not then listed on the any U.S. national or regional securities exchange, on the TSX or any Canadian securities exchange on which the Common Stock (or such other security) is then listed or, if the Common Stock (or such other security) is not then listed on any U.S. national or regional securities exchange or any Canadian securities exchange, on the principal other market on which the Common Stock (or such other security) is then traded and (ii) a Last Reported Sale Price for the Common Stock (or closing sale price for such other security) are available on such securities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Stock (or such other security) are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 and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for purposes of determining amounts due upon conversion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Disruption Event and (y) trading in the Common Stock generally occurs on Nasdaq or, if the Common Stock is not then listed on Nasdaq, on the principal U.S. national or regional securities exchange on which the Common Stock is then listed, or, if the Common Stock is not then listed on any U.S. national or regional securities exchange, on the TSX or a Canadian securities exchange on which the Common Stock is then listed, or, if the Common Stock is not then listed on any U.S. national or regional securities exchange or any Canadian securities exchange, on the principal other market on which the Common Stock is then traded, except that if the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date of determination means the average of the secondary market bid quotations obtained by the Bid Solicitation Agent for $1,000,000 principal amount of Notes at approximately 3:30 p.m., New York City time, on such determination date from three independent nationally recognized securities dealers the Company selects for this purpose, which may include one or more of the Initial Purchasers;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three such bids cannot reasonably be obtained by the Bid Solicitation Agent but two such bids are obtained, then the average of the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bids shall be used, and if only one such bid can reasonably be obtained by the Bid Solicitation Agent, that one bid shall be used. If the Bid Solicitation Agent cannot reasonably obtain at least one bid for $1,000,000 principal amount of Notes from a nationally recognized securities dealer, then the Trading Price per $1,000 principal amount of Notes shall be deemed to be less than 98% of the product of the Last Reported Sale Price of the Common Stock and the Conversion Rate.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in the event the Trust Indenture Act of 1939 is amended after the date hereof, the term “Trust Indenture Act” shall mean,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amendment, the Trust Indenture Act of 1939, as so amended.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means the Person named as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shall mean or include each Person who is then a Trustee 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means the Toronto Stock Exchange.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 w:type="dxa"/>
            <w:vAlign w:val="bottom"/>
          </w:tcPr>
          <w:p>
            <w:pPr>
              <w:spacing w:after="0"/>
              <w:rPr>
                <w:sz w:val="20"/>
                <w:szCs w:val="20"/>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Section 1.02 Other Definitions</w:t>
            </w:r>
            <w:r>
              <w:rPr>
                <w:rFonts w:ascii="Times New Roman" w:cs="Times New Roman" w:eastAsia="Times New Roman" w:hAnsi="Times New Roman"/>
                <w:sz w:val="18"/>
                <w:szCs w:val="18"/>
                <w:color w:val="auto"/>
              </w:rPr>
              <w:t>.</w:t>
            </w:r>
          </w:p>
        </w:tc>
        <w:tc>
          <w:tcPr>
            <w:tcW w:w="5500" w:type="dxa"/>
            <w:vAlign w:val="bottom"/>
          </w:tcPr>
          <w:p>
            <w:pPr>
              <w:spacing w:after="0"/>
              <w:rPr>
                <w:sz w:val="20"/>
                <w:szCs w:val="20"/>
                <w:color w:val="auto"/>
              </w:rPr>
            </w:pPr>
          </w:p>
        </w:tc>
      </w:tr>
      <w:tr>
        <w:trPr>
          <w:trHeight w:val="439"/>
        </w:trPr>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46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Defined in Section</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“Applicable Procedures”</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1.1(a) of Appendix A</w:t>
            </w:r>
          </w:p>
        </w:tc>
      </w:tr>
      <w:tr>
        <w:trPr>
          <w:trHeight w:val="216"/>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“Definitive Notes Legend”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1.3(a)(i) of Appendix A</w:t>
            </w:r>
          </w:p>
        </w:tc>
      </w:tr>
      <w:tr>
        <w:trPr>
          <w:trHeight w:val="216"/>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Notes Legend”</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1.3(a)(i) of Appendix 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“QIB”</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1.1(a) of Appendix A</w:t>
            </w: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144A</w:t>
            </w: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Note”</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of Appendix A</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“Rule 144A</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 of Appendix A</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left="3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1.03 References to Interest</w:t>
      </w:r>
      <w:r>
        <w:rPr>
          <w:rFonts w:ascii="Times New Roman" w:cs="Times New Roman" w:eastAsia="Times New Roman" w:hAnsi="Times New Roman"/>
          <w:sz w:val="18"/>
          <w:szCs w:val="18"/>
          <w:color w:val="auto"/>
        </w:rPr>
        <w:t>. Unless the context otherwise requires, any reference to interest on, or in respect of, any Note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21" w:lineRule="exact"/>
        <w:rPr>
          <w:sz w:val="20"/>
          <w:szCs w:val="20"/>
          <w:color w:val="auto"/>
        </w:rPr>
      </w:pPr>
    </w:p>
    <w:p>
      <w:pPr>
        <w:jc w:val="both"/>
        <w:ind w:left="3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Section 2.01 Designation and Amount</w:t>
      </w:r>
      <w:r>
        <w:rPr>
          <w:rFonts w:ascii="Times New Roman" w:cs="Times New Roman" w:eastAsia="Times New Roman" w:hAnsi="Times New Roman"/>
          <w:sz w:val="18"/>
          <w:szCs w:val="18"/>
          <w:color w:val="auto"/>
        </w:rPr>
        <w:t>. The Notes shall be designated as the “</w:t>
      </w:r>
      <w:r>
        <w:rPr>
          <w:rFonts w:ascii="Times New Roman" w:cs="Times New Roman" w:eastAsia="Times New Roman" w:hAnsi="Times New Roman"/>
          <w:sz w:val="18"/>
          <w:szCs w:val="18"/>
          <w:b w:val="1"/>
          <w:bCs w:val="1"/>
          <w:color w:val="auto"/>
        </w:rPr>
        <w:t>1.250% Convertible Senior Notes due 2032</w:t>
      </w:r>
      <w:r>
        <w:rPr>
          <w:rFonts w:ascii="Times New Roman" w:cs="Times New Roman" w:eastAsia="Times New Roman" w:hAnsi="Times New Roman"/>
          <w:sz w:val="18"/>
          <w:szCs w:val="18"/>
          <w:color w:val="auto"/>
        </w:rPr>
        <w:t>.” The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Initial Notes that may be authenticated and delivered under this Indenture is initially limited to $458,000,000, subject to Section 2.10 and except for Notes authenticated and delivered upon registration or transfer of, or in exchange for, or in lieu of other Notes to the extent expressly permitted hereunder. Other provisions relating to the Notes are set forth in Appendix A hereto, which is hereby incorporated in and expressly made a part of this Indenture.</w:t>
      </w:r>
    </w:p>
    <w:p>
      <w:pPr>
        <w:spacing w:after="0" w:line="181"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2.02 Form of Notes</w:t>
      </w:r>
      <w:r>
        <w:rPr>
          <w:rFonts w:ascii="Times New Roman" w:cs="Times New Roman" w:eastAsia="Times New Roman" w:hAnsi="Times New Roman"/>
          <w:sz w:val="18"/>
          <w:szCs w:val="18"/>
          <w:color w:val="auto"/>
        </w:rPr>
        <w:t>. The Notes and the Trustee’s certificate of authentication to be borne by such Notes shall be substantially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decreased to reflect redemptions, repurchases, cancellations, conversions, transfers or exchanges permitted hereby. Any endorsement of a Global Note to reflect the amount of any increase or decrease in the amount of outstanding Notes represented thereby shall be made by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90"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2.03 Date and Denomination of Notes; Payments of Principal, Interest and Defaulted Amounts</w:t>
      </w:r>
      <w:r>
        <w:rPr>
          <w:rFonts w:ascii="Times New Roman" w:cs="Times New Roman" w:eastAsia="Times New Roman" w:hAnsi="Times New Roman"/>
          <w:sz w:val="18"/>
          <w:szCs w:val="18"/>
          <w:color w:val="auto"/>
        </w:rPr>
        <w:t>. (a) The Notes shall be issuable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form without coupons in denominations of $1,000 principal amount and integral multiples thereof. Each Note shall be dated the date of its authentication and shall bear cash interest from the date specified on the face of such Note or from the date on which interest has been paid or duly provided for. Interest on the Notes shall be computed on the basis of a 360-day year composed of twelve 30-day months and, for partial months, on the basis of the number of days actually elapsed in a 30-day month. Solely for the purposes of disclosure under the Interest Act (Canada), the annual rate of interest to which the rate of interest provided in the Notes is equivalent in respect of any period is the rate so determined multiplied by the actual number of days in the calendar year in which such period ends and divided by 360. The Notes shall be denominated in U.S. dollars, and all cash payments due thereon shall be made in U.S. dollars.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Definitive Note, shall be payable at the office or agency of the Company maintained by the Company for such purposes in the contiguous United States, which shall initially be the Corporate Trust Office, or by wire transfer of immediately available funds to the U.S. Dollar account of the Holder and (y) in the case of any Global Note, shall be payable by wire transfer of immediately available funds to the account of the Depositary or its nominee. The Company shall pay, or cause the Paying Agent to pay, interest (i) on any Definitive Notes (A) to Holders holding Definitive Notes having an aggregate principal amount of $5,000,000 or less, by check mailed to the Holders of these Notes at their address as it appears in the Note Register and (B) to Holders holding Definitive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56"/>
        <w:spacing w:after="0" w:line="26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Defaulted Amounts shall forthwith cease to be payable to the Holder on the relevant payment date but shall accrue interest per annum at the rate borne by the Notes plus one percent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3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twenty five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fifteen (15) days and not less than ten (10) days prior to the date of the proposed payment, and not less than ten (10) days after the receipt by the Trustee of the notice of the proposed payment (unless the Trustee shall consent to an earlier date). The Company shall promptly notify the Trustee of such special record date and the Trustee, in the name and at the expense of the Company, shall cause notice of the proposed payment of such Defaulted Amounts and the special record date therefor to be delivered to each Holder not less than ten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19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660" w:firstLine="644"/>
        <w:spacing w:after="0" w:line="266" w:lineRule="auto"/>
        <w:tabs>
          <w:tab w:leader="none" w:pos="16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at any time be under any duty or have any responsibility to any Holder to determine the Defaulted Amounts, or with respect to the nature, extent, or calculation of the amount of Defaulted Amounts owed, or with respect to the method employed in such calculation of Defaulted Amounts.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if any Defaulted Amounts, together with any required Default Interest, are paid to Holders in accordance with the terms of this Indenture prior to (i) the expiration of any applicable grace period with respect to the Default in the relevant payment set forth in Article 6 or (ii) if later, the delivery of any related notice of acceleration, such payment Default shall be deemed cured and the Notes shall not be subject to acceleration on account of such payment Default.</w:t>
      </w:r>
    </w:p>
    <w:p>
      <w:pPr>
        <w:spacing w:after="0" w:line="178" w:lineRule="exact"/>
        <w:rPr>
          <w:sz w:val="20"/>
          <w:szCs w:val="20"/>
          <w:color w:val="auto"/>
        </w:rPr>
      </w:pPr>
    </w:p>
    <w:p>
      <w:pPr>
        <w:jc w:val="both"/>
        <w:ind w:lef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2.04 Execution, Authentication and Delivery of Notes</w:t>
      </w:r>
      <w:r>
        <w:rPr>
          <w:rFonts w:ascii="Times New Roman" w:cs="Times New Roman" w:eastAsia="Times New Roman" w:hAnsi="Times New Roman"/>
          <w:sz w:val="18"/>
          <w:szCs w:val="18"/>
          <w:color w:val="auto"/>
        </w:rPr>
        <w:t>. The Notes shall be signed in the name and on behalf of the Company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manual or facsimile of its Chief Executive Officer, the President, the Chief Financial Officer, the Corporate Secretary, the Vice President Finance or the Vice President Legal.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17.05, the Trustee shall be entitled to receive an Officer’s Certificate and an Opinion of Counsel of the Company with respect to the issuance, authentication and delivery of such Notes by the Trustee.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 hereto, executed manually or in facsimile by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left="3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2.05 Exchange and Registration of Transfer of Notes; Restrictions on Transfer; Depositary</w:t>
      </w:r>
      <w:r>
        <w:rPr>
          <w:rFonts w:ascii="Times New Roman" w:cs="Times New Roman" w:eastAsia="Times New Roman" w:hAnsi="Times New Roman"/>
          <w:sz w:val="18"/>
          <w:szCs w:val="18"/>
          <w:color w:val="auto"/>
        </w:rPr>
        <w:t>. (a) The Company shall cause to be kept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for the purpose of registering Notes and transfers of Notes as herein provided. The Company may appoint one or more co-Note Registrars in accordance with Section 4.02.</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service charge shall be imposed by the Company, the Guarantor, the Trustee, the Note Registrar, any co-Note Registrar or the Paying Agent for any exchange or registration of transfer of Notes, but the Company may require a Holder to pay a sum sufficient to cover any documentary, stamp or similar issue or transfer tax or other similar governmental charge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 except the unredeemed portion of any Note being redeemed in part.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jc w:val="both"/>
        <w:ind w:firstLine="656"/>
        <w:spacing w:after="0" w:line="256" w:lineRule="auto"/>
        <w:tabs>
          <w:tab w:leader="none" w:pos="9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Each Global Note shall bear the Global Notes Legend as specified in Appendix A. The transfer and exchange of beneficial interests in a Global Note that does not involve the issuance of a Definitive Note shall be effected through the Depositary (but not the Trustee) in accordance with this Indenture (including the restrictions on transfer set forth herein) and the procedures of the Depositary therefor. The transfer and exchange of beneficial interests among Global Notes shall be effected in accordance with Appendix A.</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that bears or is required under Appendix A to bear a Restricted Securities Legend (together with any Common Stock issued upon conversion of the Notes that are required to bear the legend set forth in Section 2.05(d),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shall be subject to the restrictions on transfer set forth in this Section 2.05(c) (including the applicable Restricted Securities Legend),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encompasses any sale, pledge, transfer or other disposition whatsoever of any Restricted Security.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provisions of this Indenture (other than the provisions set forth in this Section 2.05(c) and Appendix A),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Definitive Notes in accordance with the second immediately succeeding paragraph.</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The Company initially appoints DTC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or unable to continue as depositary for the Global Notes and a successor depositary is not appointed within ninety (90) days, (ii) the Depositary ceases to be registered as a clearing agency under the Exchange Act and a successor depositary is not appointed within ninety (90) days or (iii) an Event of Default with respect to the Notes has occurred and is continuing and, subject to the applicable procedures of the Depositary, a beneficial owner of any Note requests that its beneficial interest therein be issued as a Definitive Note, the Company shall execute, and the Trustee, upon receipt of an Officer’s Certificate and a Company Order for the authentication and delivery of Notes, shall authenticate and deliver (x) in the case of clause (iii), a Definitive Note to such beneficial owner in a principal amount equal to the principal amount of such Note corresponding to such beneficial owner’s beneficial interest and (y) in the case of clause (i) or (ii), Definitive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 In connection with any such issuance of a Definitive Note, there shall be provided to the Trustee all information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Definitive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(either directly, if it is a Participant, or indirectly through its Participant, if it is not a Participant) the Trustee. Upon execution and authentication, the Trustee shall deliver such Definitive Notes to the Persons in whose names such Definitive Notes are so registered.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Definitive Notes, transferred in exchange for an interest in another Global Note, converted, canceled, repurchased upon a Fundamental Change, redeemed or transferred to a transferee who receives Definitive Notes therefor or any Definitive Note is exchanged or transferred for part of such Global Note, the principal amount of such Global Note shall, in accordance with the standing procedures and instructions existing between the Depositary and the Custodian, be appropriately increased or decreased, as the case may be, and an endorsement shall be made on such Global Note, by the Trustee, to reflect such increase or decrease.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None of the Company, the Guarantor, the Trustee or any agent of the Company or the Trustee shall have any responsibility or liability for any act or omission of the Depositary or for the payment of amounts to owners of beneficial interests in a Global Note, for any aspect of the records relating to or payments made on account of those interests by the Depositary, or for maintaining, supervising or reviewing any records of the Depositary relating to such beneficial ownership those interests. All notices and communications to be given to the Holders and all payments to be made to Holders in respect of the Notes shall be given or made only to, or upon the order of, the registered Holder(s) (which shall be the Depositary or its nominee in the case of a Global Note). The rights of beneficial owners in any Global Note shall be exercised only through the Depositary subject to the applicable procedures of the Depositary. The Trustee may rely and shall be fully protected in relying upon information furnished by the Depositary with respect to its members, participants and any beneficial owners.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Paying Agent, Registrar and any transfer agent shall have no obligation or duty to monitor, determine or inquire as to compliance with any restrictions on transfer or exchange imposed under this Indenture or under applicable law with respect to any transfer or exchange of any interest in any Note (including any transfers between or among participants or other beneficial owners of interests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900" w:hanging="24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Common Stock issued upon conversion of a Note shall bear a legend as specified in Appendix A.</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or Common Stock issued upon the conversion or exchange of a Note that is repurchased or owned by the Company or any Affiliate of the Company (or any Person who was an Affiliate of the Company at any time during the three (3)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 The Company shall cause any Note that is repurchased or owned by it to be surrendered to the Trustee for cancellation in accordance with Section 2.08.</w:t>
      </w:r>
    </w:p>
    <w:p>
      <w:pPr>
        <w:spacing w:after="0" w:line="185"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2.06 Mutilated, Destroyed, Lost or Stolen Notes</w:t>
      </w:r>
      <w:r>
        <w:rPr>
          <w:rFonts w:ascii="Times New Roman" w:cs="Times New Roman" w:eastAsia="Times New Roman" w:hAnsi="Times New Roman"/>
          <w:sz w:val="18"/>
          <w:szCs w:val="18"/>
          <w:color w:val="auto"/>
        </w:rPr>
        <w:t>. In case any Note shall become mutilated or be destroyed, lost or stolen,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or other similar governmental charge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redemption,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87"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2.07 Temporary Notes</w:t>
      </w:r>
      <w:r>
        <w:rPr>
          <w:rFonts w:ascii="Times New Roman" w:cs="Times New Roman" w:eastAsia="Times New Roman" w:hAnsi="Times New Roman"/>
          <w:sz w:val="18"/>
          <w:szCs w:val="18"/>
          <w:color w:val="auto"/>
        </w:rPr>
        <w:t>. Pending the preparation of Definitive Notes, the Company may execute and the Trustee or an authenticating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appointed by the Trustee shall, upon written request of the Company, authenticate and deliver temporary Notes (printed or lithographed). Temporary Notes shall be issuable in any authorized denomination, and substantially in the form of the Definitive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Definitive Notes. Without unreasonable delay, the Company shall execute and deliver to the Trustee or such authenticating agent Definitive Notes (other than any Global Note) and thereupon any or all temporary Notes (other than any Global Note) may be surrendered in exchange therefor, at each office or agency maintained by the Company pursuant to Section 4.02 and the Trustee or such authenticating agent shall, upon the written request of the Company, authenticate and deliver in exchange for such temporary Notes an equal aggregate principal amount of Definitive Notes. Such exchange shall be made by the Company at its own expense and without any charge therefor. Until so exchanged, the temporary Notes shall in all respects be entitled to the same benefits and subject to the same limitations under this Indenture as Definitive Notes authenticated and delivered hereunder.</w:t>
      </w:r>
    </w:p>
    <w:p>
      <w:pPr>
        <w:spacing w:after="0" w:line="190"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2.08 Cancellation of Notes Paid, Converted, Etc. </w:t>
      </w:r>
      <w:r>
        <w:rPr>
          <w:rFonts w:ascii="Times New Roman" w:cs="Times New Roman" w:eastAsia="Times New Roman" w:hAnsi="Times New Roman"/>
          <w:sz w:val="18"/>
          <w:szCs w:val="18"/>
          <w:color w:val="auto"/>
        </w:rPr>
        <w:t>The Company shall cause all Notes surrendered for the purpose of payment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repurchase upon a Fundamental Change, redemption, registration of transfer or exchange or conversion, if surrendered to the Company or any of its agents or Subsidiaries, to be surrendered to the Trustee for cancellation. All Notes delivered to the Trustee shall be canceled promptly by it upon the Company’s instruction and in accordance with its customary procedures, and will no longer be considered outstanding upon their repurchase, redemption, registration of transfer or exchange or conversion, as applicable.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2.09 CUSIP Numbers</w:t>
      </w:r>
      <w:r>
        <w:rPr>
          <w:rFonts w:ascii="Times New Roman" w:cs="Times New Roman" w:eastAsia="Times New Roman" w:hAnsi="Times New Roman"/>
          <w:sz w:val="18"/>
          <w:szCs w:val="18"/>
          <w:color w:val="auto"/>
        </w:rPr>
        <w:t>. The Company in issuing the Notes may use “CUSIP” numbers (if then generally in use), and, if so,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use “CUSIP” numbers in all notices issued to Holders as a convenience to such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for any defect in the “CUSIP” numbers as they appear on any Note, notice or elsewhere,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Section 2.10 Additional Notes; Repurchases</w:t>
      </w:r>
      <w:r>
        <w:rPr>
          <w:rFonts w:ascii="Times New Roman" w:cs="Times New Roman" w:eastAsia="Times New Roman" w:hAnsi="Times New Roman"/>
          <w:sz w:val="18"/>
          <w:szCs w:val="18"/>
          <w:color w:val="auto"/>
        </w:rPr>
        <w:t>. The Company may, without the consent of, or notice to, the Holders and notwithstanding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 reopen this Indenture and issue additional Notes hereunder with the same terms as the Notes initially issued hereunder (other than differences in the issue date, the issue price, interest accrued prior to the issue date of, and restrictions on transfer in respect of such additional Notes) in an unlimited aggregate principal amount (such additional Notes,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offer to repurchase Notes in the open market or otherwise, whether by the Company or its Subsidiaries or through a private or public tender or exchange offer or through counterparties to private agreements, including by cash-settled swaps or other derivatives, in each case, without prior notice to the Holders. The Company may, at its option and to the extent permitted by applicable law, reissue, resell or surrender to the Trustee for cancellation any Notes that the Company may repurchase, in the case of a reissuance or resale, so long as such Notes do not constitute restricted securities upon such reissuance or resale; provided that if any such reissued or resold Notes are not fungible with the Notes initially offered hereby for U.S. federal income tax or securities law purposes, such reissued or resold notes will have one or more separate CUSIP numbers.</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2.11 Additional Amounts</w:t>
      </w:r>
      <w:r>
        <w:rPr>
          <w:rFonts w:ascii="Times New Roman" w:cs="Times New Roman" w:eastAsia="Times New Roman" w:hAnsi="Times New Roman"/>
          <w:sz w:val="18"/>
          <w:szCs w:val="18"/>
          <w:color w:val="auto"/>
        </w:rPr>
        <w:t>. (a) All payments (whether upon conversion, repurchase, redemption, maturity or otherwise) made by 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Guarantor under or with respect to the Notes are required to be made free and clear of and without withholding or deduction for or on account of any present or future tax, duty, levy, impost, assessment or other governmental charge (including penalties, interest and other liabilities related thereto) (hereinafter referred to as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imposed or levied by or on behalf of the government of Canada, any province or territory of Canada or any political subdivision or any authority or agency therein or thereof having power to tax (each, a “</w:t>
      </w:r>
      <w:r>
        <w:rPr>
          <w:rFonts w:ascii="Times New Roman" w:cs="Times New Roman" w:eastAsia="Times New Roman" w:hAnsi="Times New Roman"/>
          <w:sz w:val="18"/>
          <w:szCs w:val="18"/>
          <w:b w:val="1"/>
          <w:bCs w:val="1"/>
          <w:color w:val="auto"/>
        </w:rPr>
        <w:t>Relevant Taxing Jurisdiction</w:t>
      </w:r>
      <w:r>
        <w:rPr>
          <w:rFonts w:ascii="Times New Roman" w:cs="Times New Roman" w:eastAsia="Times New Roman" w:hAnsi="Times New Roman"/>
          <w:sz w:val="18"/>
          <w:szCs w:val="18"/>
          <w:color w:val="auto"/>
        </w:rPr>
        <w:t>”), unless the Guarantor is required to withhold or deduct Taxes by law or by the interpretation or administration thereof.</w:t>
      </w:r>
    </w:p>
    <w:p>
      <w:pPr>
        <w:spacing w:after="0" w:line="39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35" w:name="page36"/>
    <w:bookmarkEnd w:id="35"/>
    <w:p>
      <w:pPr>
        <w:jc w:val="both"/>
        <w:ind w:firstLine="656"/>
        <w:spacing w:after="0" w:line="258" w:lineRule="auto"/>
        <w:tabs>
          <w:tab w:leader="none" w:pos="9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Guarantor is so required to withhold or deduct any amount for or on account of Taxes imposed by a Relevant Taxing Jurisdiction from any payment made under or with respect to the Notes, the Guarantor shall be required to pay such additional amounts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xml:space="preserve">”) as may be necessary so that the net amount received by a Holder or beneficial owner of Notes (including Additional Amounts) after such withholding or deduction will not be less than the amount such Holder or beneficial owner of Notes would have received if such Taxes (including Taxes on any Additional Amounts) had not been withheld or deducted;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foregoing obligations to pay Additional Amounts do not apply to:</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3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to a Holder, former Holder or beneficial owner of Notes by reason of such Holder’s, former Holder’s or beneficial owner’s failure to comply with any certification, identification, information, documentation or other reporting requirement if compliance is required by law, regulation, administrative practice or an applicable treaty as a precondition to exemption from, or a reduction in the rate of deduction or withholding of, such Taxes (provided that in the case of any imposition or change in any such certification, identification, information, documentation or other reporting requirement which applies to Holders, former Holders or beneficial owners of Notes who are not residents of Canada, at least sixty (60) days prior to the effective date of any such imposition or change, the Guarantor shall give written notice, in the manner provided for in this Indenture, to the Trustee and the applicable Holders then outstanding of such imposition or change, as the case may be, and provide the Trustee and such Holders with such forms or documentation, if any, as may be required to comply with such certification, identification, information, documentation, or other reporting requirement);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would not have been so imposed but for the existence of any present or former connection between the relevant Holder or beneficial owner of Notes and the Relevant Taxing Jurisdiction including, for greater certainty and without limitation, being or having been a citizen, resident or national thereof, or being or having been present or engaged in a trade or business therein or maintaining a permanent establishment or other physical presence in or otherwise having some connection with the Relevant Taxing Jurisdiction (other than a connection from the mere acquisition, ownership or holding of the Notes or a beneficial interest therein or the enforcement of rights thereunder or the receipt of any payment in respect thereof); or</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excise, transfer, personal property tax or similar tax, assessment or governmental charge, (any Taxes imposed by a Relevant Taxing Jurisdiction that are not excluded pursuant to any of the above clauses are referred to as “</w:t>
      </w:r>
      <w:r>
        <w:rPr>
          <w:rFonts w:ascii="Times New Roman" w:cs="Times New Roman" w:eastAsia="Times New Roman" w:hAnsi="Times New Roman"/>
          <w:sz w:val="18"/>
          <w:szCs w:val="18"/>
          <w:b w:val="1"/>
          <w:b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56"/>
        <w:spacing w:after="0" w:line="261" w:lineRule="auto"/>
        <w:tabs>
          <w:tab w:leader="none" w:pos="91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make any required withholding or deduction and remit the full amount deducted or withheld to the Relevant Taxing Jurisdiction in accordance with applicable law. Upon request, the Guarantor shall provide the Trustee on behalf of Holders and beneficial owners of Notes (and the Trustee shall forthwith provide Holders) with official receipts or other documentation evidencing the payment of the Taxes with respect to which Additional Amounts are paid.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Guarantor is or will become obligated to pay Additional Amounts under or with respect to any payment made on the Notes, at least thirty</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3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Trading Days prior to the date of such payment (unless such obligation to pay Additional Amounts arises after the 30th Scheduled Trading Day prior to such date, in which case it shall be promptly thereafter), the Guarantor shall deliver to the Trustee and the Paying Agent (if other than the Trustee) an officer’s certificate stating the fact that Additional Amounts will be payable and the amount so payable and such other information necessary to enable the Paying Agent to pay Additional Amounts to Holders or beneficial owners on the relevant payment date.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this Indenture there is mentioned in any context: (i) the payment of principal; (ii) Redemption Price in connection with an Optional Redemption of Notes; (iii) Fundamental Change Repurchase Price in connection with a repurchase of Notes upon a Fundamental Change; (iv) interest; or (v) any other amounts payable on or with respect to any of the Notes (including amounts payable on conversion), such reference shall be deemed to include payment of Additional Amounts provided for in this Section 2.11 to the extent that, in such context, Additional Amounts are payable in respect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8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indemnify and hold harmless a Holder or beneficial owner of the Notes for the amount of any Indemnified Taxes payable pursuant to Regulation 803 of the Income Tax Regulations (Canada) that are levied or imposed and paid by such Holder or beneficial owner as a result of payments made under or with respect to the Notes, any liability (including penalties, interest, additions to tax and expenses) arising therefrom or with respect thereto, and any such Indemnified Taxes levied or imposed and paid by such Holder or beneficial owner of the Notes with respect to any reimbursement under this paragraph.</w:t>
      </w:r>
    </w:p>
    <w:p>
      <w:pPr>
        <w:spacing w:after="0" w:line="183"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described in this Section 2.11 will survive any termination or discharge of this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p>
    <w:p>
      <w:pPr>
        <w:spacing w:after="0" w:line="223"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3.01 Satisfaction and Discharge</w:t>
      </w:r>
      <w:r>
        <w:rPr>
          <w:rFonts w:ascii="Times New Roman" w:cs="Times New Roman" w:eastAsia="Times New Roman" w:hAnsi="Times New Roman"/>
          <w:sz w:val="18"/>
          <w:szCs w:val="18"/>
          <w:color w:val="auto"/>
        </w:rPr>
        <w:t>. This Indenture, the Notes and the Guarantee shall upon request of the Company contained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Certificate cease to be of further effect, and the Trustee, at the written request and expense of the Company, shall execute proper instruments acknowledging satisfaction and discharge of this Indenture, when (a) (i) all Notes theretofore authenticated and delivered (other than Notes which have been destroyed, lost or stolen and which have been replaced, paid or converted as provided in Section 2.06)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or, solely in the case of conversion, cash and/or shares of Common Stock solely to satisfy the Company’s Conversion Obligation, sufficient to pay all of the outstanding Notes and all other sums due and payable under this Indenture or the Notes by the Company; and (b)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the obligations of the Company and the Guarantor to the Trustee under Section 7.06 shall survive.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3" w:lineRule="exact"/>
        <w:rPr>
          <w:sz w:val="20"/>
          <w:szCs w:val="20"/>
          <w:color w:val="auto"/>
        </w:rPr>
      </w:pPr>
    </w:p>
    <w:p>
      <w:pPr>
        <w:jc w:val="both"/>
        <w:ind w:left="340"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4.01 Payment of Principal and Interest</w:t>
      </w:r>
      <w:r>
        <w:rPr>
          <w:rFonts w:ascii="Times New Roman" w:cs="Times New Roman" w:eastAsia="Times New Roman" w:hAnsi="Times New Roman"/>
          <w:sz w:val="18"/>
          <w:szCs w:val="18"/>
          <w:color w:val="auto"/>
        </w:rPr>
        <w:t>. The Company covenants and agrees that it will cause to be paid the principal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Price and the Fundamental Change Repurchase Price, if applicable) of, and accrued and unpaid interest on, each of the Notes at the places, at the respective times and in the manner provided herein and in the Notes.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applicable withholding taxes may be withheld from or set off against any amount owed to such Holder, including, but not limited to, payments on the Notes or the Common Stock, any proceeds received from the sale, exchange or other disposition of the Notes or the Common Stock (including payments or deliveries received upon conversion, redemption or retirement of the Notes), or other of such Holder’s funds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ability to withhold or set off withholding taxes does not absolve the Guarantor of its obligation to pay Additional Amounts.</w:t>
      </w:r>
    </w:p>
    <w:p>
      <w:pPr>
        <w:spacing w:after="0" w:line="178" w:lineRule="exact"/>
        <w:rPr>
          <w:sz w:val="20"/>
          <w:szCs w:val="20"/>
          <w:color w:val="auto"/>
        </w:rPr>
      </w:pPr>
    </w:p>
    <w:p>
      <w:pPr>
        <w:jc w:val="both"/>
        <w:ind w:left="3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4.02 Maintenance of Office or Agency</w:t>
      </w:r>
      <w:r>
        <w:rPr>
          <w:rFonts w:ascii="Times New Roman" w:cs="Times New Roman" w:eastAsia="Times New Roman" w:hAnsi="Times New Roman"/>
          <w:sz w:val="18"/>
          <w:szCs w:val="18"/>
          <w:color w:val="auto"/>
        </w:rPr>
        <w:t>. The Company will maintain in the Borough of Manhattan, the City of New York, an office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agency where the Notes may be surrendered for registration of transfer or exchange or for presentation for payment or repurchase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or for conversion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designation or rescission shall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include any such additional or other offices or agencies, as applicable.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the Paying Agent, Note Registrar, Custodian and Conversion Agent, and the Corporate Trust Office as the office or agency where Notes may be surrendered for registration of transfer or exchange or for presentation for payment or repurchase or for conversion and where notices and demands to or upon the Company in respect of the Notes and this Indenture may be served. The Corporate Trust Office shall not be a place for service of legal process for the Company.</w:t>
      </w:r>
    </w:p>
    <w:p>
      <w:pPr>
        <w:spacing w:after="0" w:line="178" w:lineRule="exact"/>
        <w:rPr>
          <w:sz w:val="20"/>
          <w:szCs w:val="20"/>
          <w:color w:val="auto"/>
        </w:rPr>
      </w:pPr>
    </w:p>
    <w:p>
      <w:pPr>
        <w:jc w:val="both"/>
        <w:ind w:left="340"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4.03 Appointments to Fill Vacancies in Trustee’s Office</w:t>
      </w:r>
      <w:r>
        <w:rPr>
          <w:rFonts w:ascii="Times New Roman" w:cs="Times New Roman" w:eastAsia="Times New Roman" w:hAnsi="Times New Roman"/>
          <w:sz w:val="18"/>
          <w:szCs w:val="18"/>
          <w:color w:val="auto"/>
        </w:rPr>
        <w:t>. The Company, whenever necessary to avoid or fill a vacancy in the offices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Trustee, will appoint, in the manner provided in Section 7.09, a Trustee, so that there shall at all times be a Trustee hereunder (and, if required by Canadian securities laws or by Canadian corporate law, a Canadian trustee hereunder).</w:t>
      </w:r>
    </w:p>
    <w:p>
      <w:pPr>
        <w:spacing w:after="0" w:line="173" w:lineRule="exact"/>
        <w:rPr>
          <w:sz w:val="20"/>
          <w:szCs w:val="20"/>
          <w:color w:val="auto"/>
        </w:rPr>
      </w:pPr>
    </w:p>
    <w:p>
      <w:pPr>
        <w:jc w:val="both"/>
        <w:ind w:lef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4.04 Provisions as to Paying Agent</w:t>
      </w:r>
      <w:r>
        <w:rPr>
          <w:rFonts w:ascii="Times New Roman" w:cs="Times New Roman" w:eastAsia="Times New Roman" w:hAnsi="Times New Roman"/>
          <w:sz w:val="18"/>
          <w:szCs w:val="18"/>
          <w:color w:val="auto"/>
        </w:rPr>
        <w:t>. (a) If the Company shall appoint a Paying Agent other than the Trustee, the Company will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Paying Agent to execute and deliver to the Trustee an instrument in which such agent shall agree with the Trustee, subject to the provisions of this Section 4.04:</w:t>
      </w:r>
    </w:p>
    <w:p>
      <w:pPr>
        <w:spacing w:after="0" w:line="175" w:lineRule="exact"/>
        <w:rPr>
          <w:sz w:val="20"/>
          <w:szCs w:val="20"/>
          <w:color w:val="auto"/>
        </w:rPr>
      </w:pPr>
    </w:p>
    <w:p>
      <w:pPr>
        <w:jc w:val="both"/>
        <w:ind w:left="660" w:firstLine="644"/>
        <w:spacing w:after="0" w:line="266" w:lineRule="auto"/>
        <w:tabs>
          <w:tab w:leader="none" w:pos="15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(including the Redemption Price and the Fundamental Change Repurchase Price, if applicable) of, and accrued and unpaid interest on, the Notes in trust for the benefit of the Holders of the Notes;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 11:00 a.m., New York City time, on such date.</w:t>
      </w:r>
    </w:p>
    <w:p>
      <w:pPr>
        <w:spacing w:after="0" w:line="183" w:lineRule="exact"/>
        <w:rPr>
          <w:sz w:val="20"/>
          <w:szCs w:val="20"/>
          <w:color w:val="auto"/>
        </w:rPr>
      </w:pPr>
    </w:p>
    <w:p>
      <w:pPr>
        <w:jc w:val="both"/>
        <w:ind w:firstLine="656"/>
        <w:spacing w:after="0" w:line="256" w:lineRule="auto"/>
        <w:tabs>
          <w:tab w:leader="none" w:pos="9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56"/>
        <w:spacing w:after="0" w:line="256" w:lineRule="auto"/>
        <w:tabs>
          <w:tab w:leader="none" w:pos="8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 Upon the occurrence of any event specified in Section 6.01(h) or Section 6.01(i), the Trustee shall automatically become the Paying Agent.</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escheatment laws, any money and shares of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(2)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w:t>
      </w:r>
    </w:p>
    <w:p>
      <w:pPr>
        <w:spacing w:after="0" w:line="187" w:lineRule="exact"/>
        <w:rPr>
          <w:sz w:val="20"/>
          <w:szCs w:val="20"/>
          <w:color w:val="auto"/>
        </w:rPr>
      </w:pPr>
    </w:p>
    <w:p>
      <w:pPr>
        <w:jc w:val="both"/>
        <w:ind w:lef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Section 4.05 Existence</w:t>
      </w:r>
      <w:r>
        <w:rPr>
          <w:rFonts w:ascii="Times New Roman" w:cs="Times New Roman" w:eastAsia="Times New Roman" w:hAnsi="Times New Roman"/>
          <w:sz w:val="18"/>
          <w:szCs w:val="18"/>
          <w:color w:val="auto"/>
        </w:rPr>
        <w:t>. Subject to Article 11, the Company shall do or cause to be done all things necessary to preserve and keep in full 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effect its corporate existence.</w:t>
      </w:r>
    </w:p>
    <w:p>
      <w:pPr>
        <w:spacing w:after="0" w:line="158"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4.06 Rule 144A Information Requirement and Annual Reports</w:t>
      </w:r>
      <w:r>
        <w:rPr>
          <w:rFonts w:ascii="Times New Roman" w:cs="Times New Roman" w:eastAsia="Times New Roman" w:hAnsi="Times New Roman"/>
          <w:sz w:val="18"/>
          <w:szCs w:val="18"/>
          <w:color w:val="auto"/>
        </w:rPr>
        <w:t>. (a) At any time the Company is not subject to Section 13 or 15(d)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Act, the Company shall, so long as any of the Notes or any shares of Common Stock issuable upon conversion thereof shall, at such time, constitute “restricted securities” within the meaning of Rule 144(a)(3) under the Securities Act, upon written request, provide to any Holder, beneficial owner or prospective purchaser of such Notes or any Common Stock issuable upon conversion of such Notes, the information required to be delivered pursuant to Rule 144A(d)(4) under the Securities Act to facilitate the resale of such Notes or Common Stock pursuant to Rule 144A. The Company shall take such further action as any Holder or beneficial owner of an interest in such Notes may reasonably request to the extent from time to time required to enable such Holder or beneficial owner to sell such Notes or the Common Stock in accordance with Rule 144A, as such rule may be amended from time to time.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56"/>
        <w:spacing w:after="0" w:line="256" w:lineRule="auto"/>
        <w:tabs>
          <w:tab w:leader="none" w:pos="9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Trustee, within fifteen (15) days after the same are required to be filed with the Commission (giving effect to any grace period provided by Rule 12b-25 under the Exchange Act), copies of any annual or quarterly reports (on Form 10-K or Form 10-Q or any respective successor form) that the Company is required to file with the Commission pursuant to Section 13 or 15(d) of the Exchange Act. Any such document that the Company files with the Commission via the Commission’s EDGAR system (or any successor system) shall be deemed to be filed with the Trustee for purposes of this Section 4.06(b) at the time such documents are filed via the EDGAR system (or such respective successor), as applicable, it being understood that the Trustee shall not be responsible for determining whether such filings have been made.</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information and documents described in subsection (b) above to the Trustee is for informational purposes only, and the information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conclusively rely on an Officer’s Certificate). The Trustee shall not be obligated to monitor or confirm, on a continuing basis or otherwise, the compliance of the Company with the covenants or with respect to any reports or other documents filed with via EDGAR or any website under this Indenture, or to participate in any conference calls.</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six-month period beginning on, and including, the date that is six (6) months after the last date of original issuance of the Initial Notes (including any Notes issued pursuant to the Initial Purchasers’ option to purchase additional Notes as set forth in the Purchase Agreement), the Company fails to timely file any document or report that it is required to file with the Commission pursuant to Section 13 or 15(d) of the Exchange Act, as applicable (after giving effect to all applicable grace periods thereunder and other than reports on Form 8-K), or the Initial Notes are not otherwise freely tradable pursuant to Rule 144 by Holders other than the Company’s Affiliates or Holders that were the Company’s Affiliates at any time during the three</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immediately preceding (as a result of restrictions pursuant to U.S. securities laws or the terms of this Indenture or the Notes), the Company shall pay Additional Interest on the Notes. Such Additional Interest shall accrue on the Notes at the rate of 0.50% per annum of the principal amount of the Notes outstanding for each day of the period for which the Company’s failure to file has occurred and is continuing or the Notes are not otherwise freely tradable pursuant to Rule 144 by Holders other than the Company’s Affiliates (or Holders that were the Company’s Affiliates at any time during the three</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immediately preceding). For purposes of this Section 4.06(d) (but, for the avoidance of doubt, not for purposes of Section 4.06(e)), the fact that the Restricted Securities Legend has not been removed (or deemed removed pursuant to this Indenture) from the Notes and/or the Notes are assigned a restricted CUSIP number, shall not mean that the Notes are not freely tradable pursuant to Rule 144.</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56"/>
        <w:spacing w:after="0" w:line="252" w:lineRule="auto"/>
        <w:tabs>
          <w:tab w:leader="none" w:pos="9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if, and for so long as, the Restricted Securities Legend on the Notes has not been removed (or deemed removed pursuant to this Indenture), the Notes are assigned a restricted CUSIP number or the Notes are not otherwise freely tradable pursuant to Rule 144 by Holders other than Affiliates of the Company or Holders that were Affiliates of the Company at any time during the three (3) months preceding (without restrictions pursuant to U.S. securities laws or the terms of this Indenture or the Notes) as of the 385th day after the last date of original issuance of the Notes, the Company shall pay Additional Interest on the Notes at a rate equal to 0.50% per annum of the principal amount of Notes outstanding for each day from, and including, such 385th day until the U.S. Restricted Securities Legend has been removed from the Notes, the Notes are assigned an unrestricted CUSIP number and the Notes are freely tradable as described above by Holders other than Affiliates of the Company (or Holders that were Affiliates of the Company at any time during the three (3) months preceding);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that no Additional Interest shall accrue or be owed pursuant to this Section 4.06(e) until the 15th Business Day following written notification to the Company by the Trustee (at the direction of the Holders) or any Holder or beneficial owner of the Notes (with a copy to the Trustee) requesting that the Company complies with its obligations described in this Section 4.06(e) (which notice may be given at any time after the 335th day after the last date of original issuance of the Notes offered hereby), it being understood and agreed that in no event shall additional interest accrue or be owed pursuant to this Section 4.06(e) for any period prior to the 385th day after the last date of original issuance of the Notes offered hereby or any additional Notes, as the case may be. Subject to the procedures of the Depositary, the US. Restricted Securities Legend on the Notes will be deemed removed pursuant to the terms of this Indenture upon notice by the Company to the Trustee, and, at such time, the Notes will be automatically assigned an unrestricted CUSIP.</w:t>
      </w:r>
    </w:p>
    <w:p>
      <w:pPr>
        <w:spacing w:after="0" w:line="19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that is payable in accordance with Sections 4.06(d) and 4.06(e) will be payable in arrears on each Interest Payment Date following accrual in the same manner as regular interest on the Notes and will be in addition to any Additional Interest that may accrue at the Company’s election pursuant to Section 6.03.</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Additional Interest that is payable pursuant to Sections 4.06(d) and 4.06(e), together with any Additional Interest that is payable pursuant to Section 6.03, accrue at a rate in excess of 0.50% per annum pursuant to this Indenture, regardless of the number of events or circumstances giving rise to the requirement to pay such Additional Interest.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to determine whether additional interest pursuant to Sections 4.06(d) and 4.06(e) is payable or if deferred additional interest is accruing on the Notes, and may assume without inquiry that no additional interest pursuant to Sections 4.06(d) and 4.06(e) is payable or has been deferred until written notice of such additional interest has been provided to it by the Company.</w:t>
      </w:r>
    </w:p>
    <w:p>
      <w:pPr>
        <w:spacing w:after="0" w:line="174"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4.07 Stay, Extension and Usury Laws</w:t>
      </w:r>
      <w:r>
        <w:rPr>
          <w:rFonts w:ascii="Times New Roman" w:cs="Times New Roman" w:eastAsia="Times New Roman" w:hAnsi="Times New Roman"/>
          <w:sz w:val="18"/>
          <w:szCs w:val="18"/>
          <w:color w:val="auto"/>
        </w:rPr>
        <w:t>. The Company covenants (to the extent that it may lawfully do so) that it shall not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83"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4.08 Compliance Certificate; Statements as to Defaults</w:t>
      </w:r>
      <w:r>
        <w:rPr>
          <w:rFonts w:ascii="Times New Roman" w:cs="Times New Roman" w:eastAsia="Times New Roman" w:hAnsi="Times New Roman"/>
          <w:sz w:val="18"/>
          <w:szCs w:val="18"/>
          <w:color w:val="auto"/>
        </w:rPr>
        <w:t>. The Company shall deliver to the Trustee within one hundred twenty (120)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after the end of each fiscal year of the Company (beginning with the fiscal year ending on December 31, 2026) an Officer’s Certificate stating whether the signers thereof have knowledge of any Event of Default or Default that occurred during the previous year and, if so, specifying each such Event of Default or Default and the nature thereof.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shall deliver to a Responsible Officer of the Trustee, within thirty (30) days after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is not required to deliver such Officer’s Certificate if such Default has been cured or deemed cured.</w:t>
      </w:r>
    </w:p>
    <w:p>
      <w:pPr>
        <w:spacing w:after="0" w:line="178" w:lineRule="exact"/>
        <w:rPr>
          <w:sz w:val="20"/>
          <w:szCs w:val="20"/>
          <w:color w:val="auto"/>
        </w:rPr>
      </w:pPr>
    </w:p>
    <w:p>
      <w:pPr>
        <w:jc w:val="both"/>
        <w:ind w:lef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Section 4.09 Further Instruments and Acts</w:t>
      </w:r>
      <w:r>
        <w:rPr>
          <w:rFonts w:ascii="Times New Roman" w:cs="Times New Roman" w:eastAsia="Times New Roman" w:hAnsi="Times New Roman"/>
          <w:sz w:val="18"/>
          <w:szCs w:val="18"/>
          <w:color w:val="auto"/>
        </w:rPr>
        <w:t>. Upon request of the Trustee, the Company and/or the Guarantor will execute and deliver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instruments and do such further acts as may be reasonably necessary or proper to carry out more effectively the purposes of this Indenture.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ists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223"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5.01 Lists of Holders</w:t>
      </w:r>
      <w:r>
        <w:rPr>
          <w:rFonts w:ascii="Times New Roman" w:cs="Times New Roman" w:eastAsia="Times New Roman" w:hAnsi="Times New Roman"/>
          <w:sz w:val="18"/>
          <w:szCs w:val="18"/>
          <w:color w:val="auto"/>
        </w:rPr>
        <w:t>. The Company covenants and agrees that it will furnish or cause to be furnished to the Trustee, semi-annually,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more than fifteen (15) days after each January 1 and July 1 in each year beginning with January 1, 2027, and at such other times as the Trustee may request in writing, within thirty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fifteen (15) days (or such other date as the Trustee may reasonably request in order to so provide any such notices) prior to the time such information is furnished, except that no such list need be furnished to the Trustee so long as the Trustee is acting as Note Registrar.</w:t>
      </w:r>
    </w:p>
    <w:p>
      <w:pPr>
        <w:spacing w:after="0" w:line="183"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5.02 Preservation and Disclosure of Lists</w:t>
      </w:r>
      <w:r>
        <w:rPr>
          <w:rFonts w:ascii="Times New Roman" w:cs="Times New Roman" w:eastAsia="Times New Roman" w:hAnsi="Times New Roman"/>
          <w:sz w:val="18"/>
          <w:szCs w:val="18"/>
          <w:color w:val="auto"/>
        </w:rPr>
        <w:t>. The Trustee shall preserve, in as current a form as is reasonably practicable, all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to the names and addresses of the Holders contained in the most recent list furnished to the Trustee as provided in Section 5.01 or maintained by the Trustee in its capacity as Note Registrar, if so acting. The Trustee may destroy any list furnished to it as provided in Section 5.01 upon receipt of a new list so furnished.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6.01 Events of Default</w:t>
      </w:r>
      <w:r>
        <w:rPr>
          <w:rFonts w:ascii="Times New Roman" w:cs="Times New Roman" w:eastAsia="Times New Roman" w:hAnsi="Times New Roman"/>
          <w:sz w:val="18"/>
          <w:szCs w:val="18"/>
          <w:color w:val="auto"/>
        </w:rPr>
        <w:t>.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default in any payment of interest on any Note when due and payable, and the default continues for a period of thirty (30) days;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right="20" w:firstLine="656"/>
        <w:spacing w:after="0" w:line="282" w:lineRule="auto"/>
        <w:tabs>
          <w:tab w:leader="none" w:pos="9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Optional Redemption, upon any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and such failure continues for a period of three (3) Business Days;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issue a Fundamental Change Company Notice in accordance with Section 15.02(c), notice of a Make-Whole Fundamental Change in accordance with Section 14.03(b), notice of a specified corporate event in accordance with Section 14.01(b)(ii) or 14.01(b)(iii) or notice of a Termination of Trading in accordance with Section 14.01(b)(iii), in each case when due;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 11 or the Guarantor to comply with its obligations under Section 13.04 and Section 13.05;</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Events of Default referenced in clauses (a), (b) (c), (d), (e) and (k) of this Section 6.01, failure by the Company or the Guarantor for sixty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the Guarantor or any Significant Subsidiary of the Company with respect to any mortgage, agreement or other instrument under which there may be outstanding, or by which there may be secured or evidenced, any indebtedness for money borrowed in excess of $25,000,000 (or its foreign currency equivalent) in the aggregate of the Company, the Guarantor and/or any such Subsidiary, whether such indebtedness now exists or shall hereafter be created (i) resulting in such indebtedness becoming or being declared due and payable or (ii) constituting a failure to pay the principal or interest of any such debt when due and payable, after the expiration of any grace period, at its stated maturity, upon required repurchase, upon declaration of acceleration or otherwise;</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Guarantor or any Significant Subsidiary shall commence a voluntary case or other proceeding seeking a stay, liquidation, reorganization, compromise, arrangement or other relief with respect to the Company, the Guarantor or any such Significant Subsidiary or its debts under any bankruptcy, insolvency, receivership, arrangement or other similar law now or hereafter in effect or seeking the appointment of a trustee, receiver, liquidator, custodian or other similar official of the Company, the Guarantor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56"/>
        <w:spacing w:after="0" w:line="258" w:lineRule="auto"/>
        <w:tabs>
          <w:tab w:leader="none" w:pos="8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the Company, the Guarantor or any Significant Subsidiary seeking a stay, liquidation, reorganization, compromise, arrangement or other relief with respect to the Company, the Guarantor or such Significant Subsidiary or its debts under any bankruptcy, insolvency or other similar law now or hereafter in effect or seeking the appointment of a trustee, receiver, liquidator, custodian or other similar official of the Company, the Guarantor or such Significant Subsidiary or any substantial part of its property, and such involuntary case or other proceeding shall remain undismissed and unstayed for a period of sixty (60) consecutive days;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$25,000,000 (or its foreign currency equivalent) or more (excluding any amounts covered by insurance) in the aggregate rendered against the Company, the Guarantor or any of its Significant Subsidiaries, which judgment is not discharged, bonded, paid, waived or stayed within sixty (60) days after (i) the date on which the right to appeal thereof has expired if no such appeal has commenced, or (ii) the date on which all rights to appeal have been extinguished;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Trading shall have occurred and continued for twenty (20) consecutive days;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by this Indenture, any Guarantee of the Guarantor ceases to be in full force and effect or the Guarantor denies or disaffirms its obligations under its Guarantee.</w:t>
      </w:r>
    </w:p>
    <w:p>
      <w:pPr>
        <w:spacing w:after="0" w:line="160"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6.02 Acceleration; Rescission and Annulment</w:t>
      </w:r>
      <w:r>
        <w:rPr>
          <w:rFonts w:ascii="Times New Roman" w:cs="Times New Roman" w:eastAsia="Times New Roman" w:hAnsi="Times New Roman"/>
          <w:sz w:val="18"/>
          <w:szCs w:val="18"/>
          <w:color w:val="auto"/>
        </w:rPr>
        <w:t>. If one or more Events of Default shall have occurred and be continuing (whatever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the Guarantor or any Significant Subsidiary),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(and the Trustee, at the written request of such Holders, shall) declare 100% of the principal of, and accrued and unpaid interest on, all the Notes to be due and payable immediately, and upon any such declaration the same shall become and shall automatically be immediately due and payable, anything contained in this Indenture or in the Notes to the contrary notwithstanding, though payment of any sums owing may be stayed by applicable bankruptcy, insolvency or reorganization laws. The Trustee shall not be deemed to have knowledge or notice of the occurrence of any Default or Event of Default, unless a Responsible Officer of the Trustee shall have received written notice from the Company or a Holder describing such Default or Event of Default and stating that such notice is a notice of Default or Event of Default. If an Event of Default specified in Section 6.01(h) or Section 6.01(i) with respect to the Company, the Guarantor or any Significant Subsidiary occurs and is continuing, 100% of the principal of, and accrued and unpaid interest, if any, on, all Notes shall become and shall automatically be immediately due and payable.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in each case, that shall have become due otherwise than by acceleration (with interest on overdue installments of accrued and unpaid interest to the extent that payment of such interest is enforceable under applicable law, and on such principal at the rate borne by the Notes at such time)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any failure by the Company to provide any notice under this Indenture other than as set forth in Section 6.01(d) shall be subject to Section 6.01(f) (including the 60-day cure period contained therein), and any related Default or Event of Default shall be deemed cured upon delivery of such notice to the applicable recipient prior to (i) the expiration of such 60-day period provided for in Section 6.01(f) or (ii) if later, the delivery of a notice of acceleration with respect to such Event of Default, in each case, whether or not the events or circumstances that are the subject of such notice have already occurred at the time such notice is given.</w:t>
      </w:r>
    </w:p>
    <w:p>
      <w:pPr>
        <w:spacing w:after="0" w:line="181"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6.03 Additional Interest</w:t>
      </w:r>
      <w:r>
        <w:rPr>
          <w:rFonts w:ascii="Times New Roman" w:cs="Times New Roman" w:eastAsia="Times New Roman" w:hAnsi="Times New Roman"/>
          <w:sz w:val="18"/>
          <w:szCs w:val="18"/>
          <w:color w:val="auto"/>
        </w:rPr>
        <w:t>. (a) Notwithstanding anything in this Indenture or in the Notes to the contrary, to the extent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elects, the sole remedy for an Event of Default relating to the Company’s failure to comply with its obligations as set forth in Section 4.06(b), shall, for the first one hundred eighty (180) days after the occurrence of such an Event of Default, consist exclusively of the right to receive Additional Interest on the Notes at a rate equal to 0.25% per annum of the principal amount of the Notes outstanding for each day during the first ninety (90) days after the occurrence of such an Event of Default, and 0.50% per annum of the principal amount of Notes outstanding from the 91st day to the 180th day following the occurrence of such an Event of Default during which such Event of Default is continuing (in addition to any Additional Interest that may accrue pursuant to Sections 4.06(d) and 4.06(e)). If the Company so elects, such Additional Interest shall be payable in the same manner and on the same dates as the stated interest payable on the Notes. On the 181st day after an Event of Default relating to the Company’s failure to comply with its obligations as set forth in Section 4.06(b) (if such Event of Default is not cured or waived prior to such 181st day), the Notes shall be immediately subject to acceleration as provided in Section 6.02. The provisions of this paragraph will not affect the rights of Holders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56"/>
        <w:spacing w:after="0" w:line="253" w:lineRule="auto"/>
        <w:tabs>
          <w:tab w:leader="none" w:pos="9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elect to pay Additional Interest as the sole remedy during the first one hundred eighty (180) days after the occurrence of any Event of Default relating to the Company’s failure to comply with its obligations as set forth in Section 4.06(b) in accordance with Section 6.03(a), the Company must notify all Holders, the Trustee and the Paying Agent (if other than the Trustee) in writing of such election prior to the beginning of such 180-day period. Upon the failure to timely give such notice, the Notes shall be immediately subject to acceleration as provided in Section 6.02. For the avoidance of doubt, if (x) the Company timely elects to pay Additional Interest pursuant to this Section 6.03 as the sole remedy during the first one hundred eighty (180) days after the occurrence of an Event of Default relating to the Company’s failure to comply with its obligations as set forth in Section 4.06(b) in accordance with the immediately preceding paragraph, (y) the Company pays such Additional Interest in accordance with this Section 6.03 and this Indenture and (z) the Company files the delinquent reports that were required to be filed and gave rise to the relevant Event of Default (in each case in clause (z) pursuant to the provisions set forth in Section 4.06(b)) prior to the 181st day after the occurrence of such Event of Default (or prior to the delivery of any related notice of acceleration on or after such 181st day), such Event of Default shall be deemed cured and the Notes shall not be subject to acceleration as a result of the initial failure to comply with the Company’s obligations as set forth in Section 4.06(b).</w:t>
      </w:r>
    </w:p>
    <w:p>
      <w:pPr>
        <w:spacing w:after="0" w:line="191" w:lineRule="exact"/>
        <w:rPr>
          <w:rFonts w:ascii="Times New Roman" w:cs="Times New Roman" w:eastAsia="Times New Roman" w:hAnsi="Times New Roman"/>
          <w:sz w:val="18"/>
          <w:szCs w:val="18"/>
          <w:color w:val="auto"/>
        </w:rPr>
      </w:pPr>
    </w:p>
    <w:p>
      <w:pPr>
        <w:jc w:val="both"/>
        <w:ind w:firstLine="656"/>
        <w:spacing w:after="0" w:line="257" w:lineRule="auto"/>
        <w:tabs>
          <w:tab w:leader="none" w:pos="8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Interest payable as the remedy for an Event of Default relating to the Company’s failure to comply with its obligations as set forth in Section 4.06(b) in accordance with Section 6.03(a) shall be in addition to, and not in lieu of, any Additional Interest payable pursuant to Sections 4.06(d) and 4.06(e). In no event shall Additional Interest payable at the Company’s election for failure to comply with its obligations as set forth in Section</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4.06(b) as set forth in Section 6.03(a) and any Additional Interest that may accrue as a result of the Company’s failure to comply with its obligations as set forth in Section 4.06(d), accrue at a rate in excess of 0.50% per annum pursuant to this Indenture, regardless of the number of events or circumstances giving rise to the requirement to pay such Additional Interest.</w:t>
      </w:r>
    </w:p>
    <w:p>
      <w:pPr>
        <w:spacing w:after="0" w:line="18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cure an Event of Default consisting of a Termination of Trading pursuant to Section 6.01(k) by offering to purchase the outstanding Notes as if the occurrence of such Event of Default were an occurrence of a Fundamental Change. To make this election, the Company must deliver a notice setting out the terms of the repurchase offer within twenty (20) days of the occurrence of a Termination of Trading. Such notice will be deemed a notice of the Fundamental Change for the purposes of the offer to purchase described under Article 15. If the Company makes such election to treat the Termination of Trading as a Fundamental Change, the Termination of Trading shall also be deemed to be a Make-Whole Fundamental Change.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left="3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6.04 Payments of Notes on Default; Suit Therefor</w:t>
      </w:r>
      <w:r>
        <w:rPr>
          <w:rFonts w:ascii="Times New Roman" w:cs="Times New Roman" w:eastAsia="Times New Roman" w:hAnsi="Times New Roman"/>
          <w:sz w:val="18"/>
          <w:szCs w:val="18"/>
          <w:color w:val="auto"/>
        </w:rPr>
        <w:t>. If an Event of Default described in clause (a) or (b) of Section 6.01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and be continuing, the Company shall, upon demand of the Trustee, pay to the Trustee, for the benefit of the Holders,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or other property adjudged or decreed to be payable in the manner provided by law.</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the Companies’ Creditors Arrangement Act (Canada), the Bankruptcy and Insolvency Act (Canada),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may be entitled to receive in such proceedings, whether in liquidation or under any plan of reorganization or arrangement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8" w:name="page49"/>
    <w:bookmarkEnd w:id="4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and it shall not be necessary to make any Holders parties to any such proceedings.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1" w:lineRule="exact"/>
        <w:rPr>
          <w:sz w:val="20"/>
          <w:szCs w:val="20"/>
          <w:color w:val="auto"/>
        </w:rPr>
      </w:pPr>
    </w:p>
    <w:p>
      <w:pPr>
        <w:jc w:val="both"/>
        <w:ind w:lef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6.05 Application of Monies Collected by Trustee</w:t>
      </w:r>
      <w:r>
        <w:rPr>
          <w:rFonts w:ascii="Times New Roman" w:cs="Times New Roman" w:eastAsia="Times New Roman" w:hAnsi="Times New Roman"/>
          <w:sz w:val="18"/>
          <w:szCs w:val="18"/>
          <w:color w:val="auto"/>
        </w:rPr>
        <w:t>. Any monies or property collected by the Trustee pursuant to this Article 6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to the payment of all amounts due under Section 7.06 to the Trustee, in each of its capacities under this Indenture;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in case the principal of the outstanding Notes shall not have become due and be unpaid, to the payment of interest on, and any cash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conversion of, 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to the payment of the remainder, if any, to the Company.</w:t>
      </w:r>
    </w:p>
    <w:p>
      <w:pPr>
        <w:spacing w:after="0" w:line="227"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6.06 Proceedings by Holders</w:t>
      </w:r>
      <w:r>
        <w:rPr>
          <w:rFonts w:ascii="Times New Roman" w:cs="Times New Roman" w:eastAsia="Times New Roman" w:hAnsi="Times New Roman"/>
          <w:sz w:val="18"/>
          <w:szCs w:val="18"/>
          <w:color w:val="auto"/>
        </w:rPr>
        <w:t>. Except to enforce the right to receive payment of principal (including, if applicable, the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85" w:lineRule="exact"/>
        <w:rPr>
          <w:sz w:val="20"/>
          <w:szCs w:val="20"/>
          <w:color w:val="auto"/>
        </w:rPr>
      </w:pPr>
    </w:p>
    <w:p>
      <w:pPr>
        <w:ind w:left="900" w:hanging="24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previously shall have given to the Trustee written notice of an Event of Default and of the continuance thereof, as herein provided;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their own name as Trustee hereunder;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and if requested, provided to the Trustee such security and/or indemnity satisfactory to it against any loss, liability or expense (which shall include the reasonable costs of the Trustee’s legal counsel) to be incurred therein or thereby;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sixty (60) days after their receipt of such notice, request and offer of such security and/or indemnity, shall have neglected or refused to institute any such action, suit or proceeding; and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656"/>
        <w:spacing w:after="0" w:line="254" w:lineRule="auto"/>
        <w:tabs>
          <w:tab w:leader="none" w:pos="8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affect, disturb or prejudice the rights of any other Holder or obtain or seek to obtain priority over or preference to any other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78"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6.07 Proceedings by Trustee</w:t>
      </w:r>
      <w:r>
        <w:rPr>
          <w:rFonts w:ascii="Times New Roman" w:cs="Times New Roman" w:eastAsia="Times New Roman" w:hAnsi="Times New Roman"/>
          <w:sz w:val="18"/>
          <w:szCs w:val="18"/>
          <w:color w:val="auto"/>
        </w:rPr>
        <w:t>. In case of an Event of Default, the Trustee may, individually or jointly, in its discretion proceed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3"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6.08 Remedies Cumulative and Continuing</w:t>
      </w:r>
      <w:r>
        <w:rPr>
          <w:rFonts w:ascii="Times New Roman" w:cs="Times New Roman" w:eastAsia="Times New Roman" w:hAnsi="Times New Roman"/>
          <w:sz w:val="18"/>
          <w:szCs w:val="18"/>
          <w:color w:val="auto"/>
        </w:rPr>
        <w:t>. Except as provided in the last paragraph of Section 2.06, all powers and remedies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this Article 6 to the Trustee or to the Holders shall, to the extent permitted by law, be deemed cumulative and not exclusive of any thereof or of any other powers and remedies available to the Trustee or the Holders,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Section 6.09 Direction of Proceedings and Waiver of Defaults by Majority of Holders</w:t>
      </w:r>
      <w:r>
        <w:rPr>
          <w:rFonts w:ascii="Times New Roman" w:cs="Times New Roman" w:eastAsia="Times New Roman" w:hAnsi="Times New Roman"/>
          <w:sz w:val="18"/>
          <w:szCs w:val="18"/>
          <w:color w:val="auto"/>
        </w:rPr>
        <w:t>. The Holders of a majority of the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 such direction shall not be in conflict with any rule of law or with this Indenture, and (b) the Trustee may take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deemed proper by the Trustee that is not inconsistent with such direction. The Trustee may refuse to follow any direction that conflicts with law or this Indenture or that they determine is unduly prejudicial to the rights of any other Holder (it being understood that the Trustee does not have an affirmative duty to ascertain whether or not any such direction is unduly prejudicial to the rights of another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6.10 Notice of Defaults</w:t>
      </w:r>
      <w:r>
        <w:rPr>
          <w:rFonts w:ascii="Times New Roman" w:cs="Times New Roman" w:eastAsia="Times New Roman" w:hAnsi="Times New Roman"/>
          <w:sz w:val="18"/>
          <w:szCs w:val="18"/>
          <w:color w:val="auto"/>
        </w:rPr>
        <w:t>. The Trustee shall, within ninety (90) days after the occurrence and continuance of a Default of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Trustee has actual knowledge or has received written notice thereof, deliver to all Holders notice of all Defaults known to a Responsible Officer, unless such Defaults shall have been cured or waived before the giving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except in the case of a default in the payment of principal of, or interest on, any Note that is to be paid by the Trustee, as Paying Agent, the Trustee shall be deemed not to have actual notice or notice of the occurrence of any Default or Event of Default unless the Trustee has received written notice from the Company or a Holder describing such Default or Event of Default, and stating that such notice is a notice of Default or Event of Default;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it determines that the withholding of such notice is in the interests of the Holders.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6.11 Undertaking to Pay Costs</w:t>
      </w:r>
      <w:r>
        <w:rPr>
          <w:rFonts w:ascii="Times New Roman" w:cs="Times New Roman" w:eastAsia="Times New Roman" w:hAnsi="Times New Roman"/>
          <w:sz w:val="18"/>
          <w:szCs w:val="18"/>
          <w:color w:val="auto"/>
        </w:rPr>
        <w:t>. All parties to this Indenture agree, and each Holder of any Note by its acceptance thereof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223"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7.01 Duties and Responsibilities of Trustee</w:t>
      </w:r>
      <w:r>
        <w:rPr>
          <w:rFonts w:ascii="Times New Roman" w:cs="Times New Roman" w:eastAsia="Times New Roman" w:hAnsi="Times New Roman"/>
          <w:sz w:val="18"/>
          <w:szCs w:val="18"/>
          <w:color w:val="auto"/>
        </w:rPr>
        <w:t>. The Trustee, prior to the occurrence of an Event of Default and after the curing or waiver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all Events of Default that may have occurred, undertakes to perform such duties and only such duties as are specifically set forth in this Indenture. In the event an Event of Default has occurred and is continuing, of which a Responsible Officer of the Trustee has actual knowledge or of which a Responsible Officer of the Trustee has received written notice in accordance with Section 6.10,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no other agent shall be held to a prudent person standard in and during an Event of Default;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and/or security reasonably satisfactory to the Trustee against any loss, claim, liability or expense (which includes the reasonable costs of the Trustee’s legal counsel) that might be incurred by it in compliance with such request or direction.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 negligence or willful misconduct, except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firstLine="656"/>
        <w:spacing w:after="0" w:line="282" w:lineRule="auto"/>
        <w:tabs>
          <w:tab w:leader="none" w:pos="9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of which a Responsible Officer of the Trustee has received written notice or has actual knowledge in accordance with Section 6.10 and after the curing or waiving of all Events of Default that may have occurred: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left="660" w:firstLine="644"/>
        <w:spacing w:after="0" w:line="254" w:lineRule="auto"/>
        <w:tabs>
          <w:tab w:leader="none" w:pos="15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gross negligence or willful misconduct on the part of the Trustee, the Trustee may conclusively rely upon any certificates or opinions furnished to the Trustee and conforming to the requirements of this Indenture as to the truth of the statements and the correctness of the opinions expressed therein;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Trustee need not act or refrain from acting based on any certificate or opinion that it determines to be not in conformity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requirements of this Indenture. If presented with a non-conforming certificate or opinion, the Trustee may request the delivering party to re-issue the certificate or opinion in the manner required by this Indenture before taking any action;</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9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them in good faith in accordance with the direction of the Holders of not less than 25%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 as provided in Section 6.10;</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execution of the trusts and powers under this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56"/>
        <w:spacing w:after="0" w:line="266" w:lineRule="auto"/>
        <w:tabs>
          <w:tab w:leader="none" w:pos="8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provisions contained in this Indenture shall require the Trustee to expend or risk their own funds or otherwise incur personal financial liability in the performance of any of its duties or in the exercise of any of their rights or powers. Prior to taking any action under the indenture, the Trustee shall be entitled to receive indemnification and/or security satisfactory to it against any loss, liability or expense caused by taking or not taking such action.</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Section 7.02 Reliance on Documents, Opinions, Etc. </w:t>
      </w:r>
      <w:r>
        <w:rPr>
          <w:rFonts w:ascii="Times New Roman" w:cs="Times New Roman" w:eastAsia="Times New Roman" w:hAnsi="Times New Roman"/>
          <w:sz w:val="18"/>
          <w:szCs w:val="18"/>
          <w:color w:val="auto"/>
        </w:rPr>
        <w:t>Except as otherwise provided in Section 7.01:</w:t>
      </w:r>
    </w:p>
    <w:p>
      <w:pPr>
        <w:spacing w:after="0" w:line="227" w:lineRule="exact"/>
        <w:rPr>
          <w:sz w:val="20"/>
          <w:szCs w:val="20"/>
          <w:color w:val="auto"/>
        </w:rPr>
      </w:pPr>
    </w:p>
    <w:p>
      <w:pPr>
        <w:jc w:val="both"/>
        <w:ind w:firstLine="656"/>
        <w:spacing w:after="0" w:line="266" w:lineRule="auto"/>
        <w:tabs>
          <w:tab w:leader="none" w:pos="9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direction, consent, judgment, order, bond, note, coupon or other paper or document believed by it in good faith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and shall incur no liability of any kind by reason of such inquiry or investigation;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56"/>
        <w:spacing w:after="0" w:line="266"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affiliates, custodians, nominees or attorneys and the Trustee shall not be responsible for any misconduct or negligence on the part of any agent, affiliate, custodian, nominee or attorney appointed by them with due care hereunder;</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8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any special, indirect, punitive, incidental,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the Trustee by the Company or by any Holder of the Notes in the manner required under this Indenture; and</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160"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7.03 No Responsibility for Recitals, Etc. </w:t>
      </w:r>
      <w:r>
        <w:rPr>
          <w:rFonts w:ascii="Times New Roman" w:cs="Times New Roman" w:eastAsia="Times New Roman" w:hAnsi="Times New Roman"/>
          <w:sz w:val="18"/>
          <w:szCs w:val="18"/>
          <w:color w:val="auto"/>
        </w:rPr>
        <w:t>The recitals contained herein and in the Notes (except in the Trustee’s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7.04 Trustee, Paying Agents, Conversion Agents, Bid Solicitation Agent or Note Registrar May Own Notes</w:t>
      </w:r>
      <w:r>
        <w:rPr>
          <w:rFonts w:ascii="Times New Roman" w:cs="Times New Roman" w:eastAsia="Times New Roman" w:hAnsi="Times New Roman"/>
          <w:sz w:val="18"/>
          <w:szCs w:val="18"/>
          <w:color w:val="auto"/>
        </w:rPr>
        <w:t>. The Trustee, any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any Conversion Agent, Bid Solicitation Agent (if other than the Company or any Affiliate thereof) or Note Registrar, in their individual or any other capacity, may become the owner or pledgee of Notes with the same rights they would have if they were not the Trustee, Paying Agent, Conversion Agent, Bid Solicitation Agent or Note Registrar.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7.05 Monies and Common Stock to Be Held in Trust</w:t>
      </w:r>
      <w:r>
        <w:rPr>
          <w:rFonts w:ascii="Times New Roman" w:cs="Times New Roman" w:eastAsia="Times New Roman" w:hAnsi="Times New Roman"/>
          <w:sz w:val="18"/>
          <w:szCs w:val="18"/>
          <w:color w:val="auto"/>
        </w:rPr>
        <w:t>. All monies and Common Stock received by the Trustee shall, until used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applied as herein provided, be held in trust for the purposes for which they were received. Money and Common Stock held by the Trustee in trust hereunder need not be segregated from other funds except to the extent required by law. The Trustee shall be under no liability for interest on any money or Common Stock received by it hereunder except as may be agreed from time to time by the Company and the Trustee.</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Section 7.06 Compensation and Expenses of Trustee</w:t>
      </w:r>
      <w:r>
        <w:rPr>
          <w:rFonts w:ascii="Times New Roman" w:cs="Times New Roman" w:eastAsia="Times New Roman" w:hAnsi="Times New Roman"/>
          <w:sz w:val="18"/>
          <w:szCs w:val="18"/>
          <w:color w:val="auto"/>
        </w:rPr>
        <w:t>. The Company covenants and agrees to pay to the Trustee from time to time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shall receive such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the Trustee’s gross negligence or willful misconduct, as determined by a final, non-appealable order of a court of competent jurisdiction. Any amount owing hereunder and remaining unpaid after thirty (30) days from the invoice date will bear interest at the then current rate charged by the Trustee against unpaid invoices and shall be payable upon demand. The Company also covenants to indemnify the Trustee or any predecessor Trustee in any capacity under this Indenture and any other document or transaction entered into in connection herewith and its agents and any authenticating agent for, and to hold them harmless against, any and all loss, claim, charge, demand, assessment, interest, penalty, action, suit, proceeding, damage, liability, cost or expense, including, without limiting the foregoing, expert, consultant and reasonable counsel fees, disbursements on a solicitor and client basis, and the costs and expenses of enforcing the terms of this Indenture, including the indemnifications provided herein (whether brought by the Company, any Holder or any other third party) incurred without gross negligence, willful misconduct or bad faith on the part of the Trustee, its affiliates, officers, directors, agents or employees, or such agent or authenticating agent, as the case may be, as determined by a final order of a court of competent jurisdiction, and arising out of or in connection with the acceptance or administration of this Indenture or in any other capacity hereunder,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affiliates, officers, directors, agents and employees of the Trustee.</w:t>
      </w: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74"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7.07 Officer’s Certificate as Evidence</w:t>
      </w:r>
      <w:r>
        <w:rPr>
          <w:rFonts w:ascii="Times New Roman" w:cs="Times New Roman" w:eastAsia="Times New Roman" w:hAnsi="Times New Roman"/>
          <w:sz w:val="18"/>
          <w:szCs w:val="18"/>
          <w:color w:val="auto"/>
        </w:rPr>
        <w:t>. Except as otherwise provided in Section 7.01, whenever in the administration of the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as determined in a final, non-appealable order of a court of competent jurisdiction, be deemed to be conclusively proved and established by an Officer’s Certificate delivered to the Trustee, and such Officer’s Certificate, in the absence of gross negligence or willful misconduct on the part of the Trustee as determined in a final, non-appealable order of a court of competent jurisdiction, shall be full warrant to the Trustee for any action taken or omitted by them under the provisions of this Indenture upon the faith thereof.</w:t>
      </w:r>
    </w:p>
    <w:p>
      <w:pPr>
        <w:spacing w:after="0" w:line="183" w:lineRule="exact"/>
        <w:rPr>
          <w:sz w:val="20"/>
          <w:szCs w:val="20"/>
          <w:color w:val="auto"/>
        </w:rPr>
      </w:pPr>
    </w:p>
    <w:p>
      <w:pPr>
        <w:jc w:val="both"/>
        <w:ind w:left="3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7.08 Eligibility of Trustee</w:t>
      </w:r>
      <w:r>
        <w:rPr>
          <w:rFonts w:ascii="Times New Roman" w:cs="Times New Roman" w:eastAsia="Times New Roman" w:hAnsi="Times New Roman"/>
          <w:sz w:val="18"/>
          <w:szCs w:val="18"/>
          <w:color w:val="auto"/>
        </w:rPr>
        <w:t>. There shall at all times be a Trustee hereunder which shall be a Person that is eligible pursuant to the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Act (as if the Trust Indenture Act were applicable hereto) to act as such and has a combined capital and surplus of at least the minimum amount required by the Trust Indenture Act.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such Trustee shall cease to be eligible in accordance with the provisions of this Section, it shall resign immediately in the manner and with the effect hereinafter specified in this Article.</w:t>
      </w:r>
    </w:p>
    <w:p>
      <w:pPr>
        <w:spacing w:after="0" w:line="182"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7.09 Resignation or Removal of Trustee</w:t>
      </w:r>
      <w:r>
        <w:rPr>
          <w:rFonts w:ascii="Times New Roman" w:cs="Times New Roman" w:eastAsia="Times New Roman" w:hAnsi="Times New Roman"/>
          <w:sz w:val="18"/>
          <w:szCs w:val="18"/>
          <w:color w:val="auto"/>
        </w:rPr>
        <w:t>. (a) A Trustee may at any time resign by giving thirty (30) days’ written notice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forty five (45) days after the giving of such notice of resignation to the Holders, the resigning Trustee may, upon ten (10) Business Days’ notice to the Company and the Holders, petition any court of competent jurisdiction, at the sole expense of the Company, for the appointment of a successor trustee, or any Holder who has been a bona fide Holder for at least six (6)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920" w:hanging="264"/>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 longer be a Trustee eligible in accordance with the provisions of Section 7.08 and such Trustee shall fail to resign after written request therefor by the Company or Holders in the manner required by Section 7.09(c), or</w:t>
      </w:r>
    </w:p>
    <w:p>
      <w:pPr>
        <w:spacing w:after="0" w:line="161"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shall become incapable of acting, or shall be adjudged a bankrupt or insolvent, or a receiver of a Trustee or of its property shall be appointed, or any public officer shall take charge or control of a Trustee or of its property or affairs for the purpose of rehabilitation, conservation or liquidation,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then, in either case, the Company may by a Board Resolution remove such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(6)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7" w:lineRule="exact"/>
        <w:rPr>
          <w:sz w:val="20"/>
          <w:szCs w:val="20"/>
          <w:color w:val="auto"/>
        </w:rPr>
      </w:pPr>
    </w:p>
    <w:p>
      <w:pPr>
        <w:jc w:val="both"/>
        <w:ind w:firstLine="656"/>
        <w:spacing w:after="0" w:line="261" w:lineRule="auto"/>
        <w:tabs>
          <w:tab w:leader="none" w:pos="8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(10)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a Trustee and appointment of a successor trustee pursuant to any of the provisions of this Section 7.09 shall become effective upon acceptance of appointment by the successor trustee as provided in Section 7.10.</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left="3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7.10 Acceptance by Successor Trustee</w:t>
      </w:r>
      <w:r>
        <w:rPr>
          <w:rFonts w:ascii="Times New Roman" w:cs="Times New Roman" w:eastAsia="Times New Roman" w:hAnsi="Times New Roman"/>
          <w:sz w:val="18"/>
          <w:szCs w:val="18"/>
          <w:color w:val="auto"/>
        </w:rPr>
        <w:t>. Any successor trustee appointed as provided in Section 7.09 shall execute, acknowledge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(10) days after acceptance of appointment by the successor trustee, the successor trustee shall cause such notice to be delivered at the expense of the Company.</w:t>
      </w:r>
    </w:p>
    <w:p>
      <w:pPr>
        <w:spacing w:after="0" w:line="178" w:lineRule="exact"/>
        <w:rPr>
          <w:sz w:val="20"/>
          <w:szCs w:val="20"/>
          <w:color w:val="auto"/>
        </w:rPr>
      </w:pPr>
    </w:p>
    <w:p>
      <w:pPr>
        <w:jc w:val="both"/>
        <w:ind w:left="3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7.11 Succession by Merger, Etc. </w:t>
      </w:r>
      <w:r>
        <w:rPr>
          <w:rFonts w:ascii="Times New Roman" w:cs="Times New Roman" w:eastAsia="Times New Roman" w:hAnsi="Times New Roman"/>
          <w:sz w:val="18"/>
          <w:szCs w:val="18"/>
          <w:color w:val="auto"/>
        </w:rPr>
        <w:t>Any corporation or other entity into which a Trustee may be merged or converted or with which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may be consolidated, or any corporation or other entity resulting from any merger, conversion or consolidation to which a Trustee shall be a party, or any corporation or other entity succeeding to all or substantially all of the corporate trust business of a Trustee (including the administration of this Indenture), shall be the successor to a Trustee hereunder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corporation or other entity succeeding to all or substantially all of the corporate trust business of a Trustee, such corporation or other entity shall be eligible under the provisions of Section 7.08.</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case at the time a successor to a Trustee shall succeed to the trusts created by this Indenture, any of the Notes shall have been authenticated but not delivered, any such successor to a Trustee may adopt the certificate of authentication of any predecessor trustee or authenticating agent appointed by such predecessor trustee, and deliver such Notes so authenticated; and in case at that time any of the Notes shall not have been authenticated, any successor to a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right to adopt the certificate of authentication of any predecessor trustee or to authenticate Notes in the name of any predecessor trustee shall apply only to its successor or successors by merger, conversion or consolidation.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0" w:name="page61"/>
    <w:bookmarkEnd w:id="60"/>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7.12 Trustee’s Application for Instructions from the Company</w:t>
      </w:r>
      <w:r>
        <w:rPr>
          <w:rFonts w:ascii="Times New Roman" w:cs="Times New Roman" w:eastAsia="Times New Roman" w:hAnsi="Times New Roman"/>
          <w:sz w:val="18"/>
          <w:szCs w:val="18"/>
          <w:color w:val="auto"/>
        </w:rPr>
        <w:t>. Any application by the Trustee for written instructions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In the absence of gross negligence or willful misconduct on the part of the Trustee, the Trustee shall not be liable to the Company for any action taken by, or omission of, the Trustee in accordance with a proposal included in such application on or after the date specified in such application (which date shall not be less than three (3)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ARTICLE 8</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8.01 Action by Holders</w:t>
      </w:r>
      <w:r>
        <w:rPr>
          <w:rFonts w:ascii="Times New Roman" w:cs="Times New Roman" w:eastAsia="Times New Roman" w:hAnsi="Times New Roman"/>
          <w:sz w:val="18"/>
          <w:szCs w:val="18"/>
          <w:color w:val="auto"/>
        </w:rPr>
        <w:t>. Whenever in this Indenture it is provided that the Holders of a specified percentage of the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(15) days prior to the date of commencement of solicitation of such action.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8.02 Proof of Execution by Holders</w:t>
      </w:r>
      <w:r>
        <w:rPr>
          <w:rFonts w:ascii="Times New Roman" w:cs="Times New Roman" w:eastAsia="Times New Roman" w:hAnsi="Times New Roman"/>
          <w:sz w:val="18"/>
          <w:szCs w:val="18"/>
          <w:color w:val="auto"/>
        </w:rPr>
        <w:t>. Subject to the provisions of Section 7.01, Section 7.02, Section 7.07 and Section 9.05, proof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3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61" w:name="page62"/>
    <w:bookmarkEnd w:id="61"/>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8.03 Who Are Deemed Absolute Owners</w:t>
      </w:r>
      <w:r>
        <w:rPr>
          <w:rFonts w:ascii="Times New Roman" w:cs="Times New Roman" w:eastAsia="Times New Roman" w:hAnsi="Times New Roman"/>
          <w:sz w:val="18"/>
          <w:szCs w:val="18"/>
          <w:color w:val="auto"/>
        </w:rPr>
        <w:t>. The Company, the Trustee, any authenticating agent, any Paying Agent, any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Definitive Note in accordance with the provisions of this Indenture.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8.04 Company-Owned Notes Disregarded</w:t>
      </w:r>
      <w:r>
        <w:rPr>
          <w:rFonts w:ascii="Times New Roman" w:cs="Times New Roman" w:eastAsia="Times New Roman" w:hAnsi="Times New Roman"/>
          <w:sz w:val="18"/>
          <w:szCs w:val="18"/>
          <w:color w:val="auto"/>
        </w:rPr>
        <w:t>. In determining whether the Holders of the requisite aggregate principal amount of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provided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Section 7.02 and Section 7.07, the Trustee shall be entitled to accept such Officer’s Certificate as conclusive evidence of the facts therein set forth and of the fact that all Notes not listed therein are outstanding for the purpose of any such determination.</w:t>
      </w:r>
    </w:p>
    <w:p>
      <w:pPr>
        <w:spacing w:after="0" w:line="3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62" w:name="page63"/>
    <w:bookmarkEnd w:id="62"/>
    <w:p>
      <w:pPr>
        <w:jc w:val="both"/>
        <w:ind w:left="3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8.05 Revocation of Consents; Future Holders Bound</w:t>
      </w:r>
      <w:r>
        <w:rPr>
          <w:rFonts w:ascii="Times New Roman" w:cs="Times New Roman" w:eastAsia="Times New Roman" w:hAnsi="Times New Roman"/>
          <w:sz w:val="18"/>
          <w:szCs w:val="18"/>
          <w:color w:val="auto"/>
        </w:rPr>
        <w:t>. At any time prior to (but not after) the evidencing to the Trustee,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the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eetings</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9.01 Purpose of Meetings</w:t>
      </w:r>
      <w:r>
        <w:rPr>
          <w:rFonts w:ascii="Times New Roman" w:cs="Times New Roman" w:eastAsia="Times New Roman" w:hAnsi="Times New Roman"/>
          <w:sz w:val="18"/>
          <w:szCs w:val="18"/>
          <w:color w:val="auto"/>
        </w:rPr>
        <w:t>. A meeting of Holders may be called at any time and from time to time pursuant to the provisions of this</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Article 9 for any of the following purposes:</w:t>
      </w:r>
    </w:p>
    <w:p>
      <w:pPr>
        <w:spacing w:after="0" w:line="207" w:lineRule="exact"/>
        <w:rPr>
          <w:sz w:val="20"/>
          <w:szCs w:val="20"/>
          <w:color w:val="auto"/>
        </w:rPr>
      </w:pPr>
    </w:p>
    <w:p>
      <w:pPr>
        <w:jc w:val="both"/>
        <w:ind w:right="20" w:firstLine="656"/>
        <w:spacing w:after="0" w:line="266" w:lineRule="auto"/>
        <w:tabs>
          <w:tab w:leader="none" w:pos="8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10.02; or</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60"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9.02 Call of Meetings by Trustee</w:t>
      </w:r>
      <w:r>
        <w:rPr>
          <w:rFonts w:ascii="Times New Roman" w:cs="Times New Roman" w:eastAsia="Times New Roman" w:hAnsi="Times New Roman"/>
          <w:sz w:val="18"/>
          <w:szCs w:val="18"/>
          <w:color w:val="auto"/>
        </w:rPr>
        <w:t>. The Trustee may at any time call a meeting of Holders to take any action specified in Section 9.01,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by the Trustee to Holders of such Notes. Such notice shall also be delivered to the Company. Such notices shall be delivered not less than twenty (20) nor more than ninety (90) days prior to the date fixed for the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4"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9.03 Call of Meetings by Company or Holders</w:t>
      </w:r>
      <w:r>
        <w:rPr>
          <w:rFonts w:ascii="Times New Roman" w:cs="Times New Roman" w:eastAsia="Times New Roman" w:hAnsi="Times New Roman"/>
          <w:sz w:val="18"/>
          <w:szCs w:val="18"/>
          <w:color w:val="auto"/>
        </w:rPr>
        <w:t>. In case at any time the Company, pursuant to a Board Resolution, or the Holders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twenty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83"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9.04 Qualifications for Voting</w:t>
      </w:r>
      <w:r>
        <w:rPr>
          <w:rFonts w:ascii="Times New Roman" w:cs="Times New Roman" w:eastAsia="Times New Roman" w:hAnsi="Times New Roman"/>
          <w:sz w:val="18"/>
          <w:szCs w:val="18"/>
          <w:color w:val="auto"/>
        </w:rPr>
        <w:t>. To be entitled to vote at any meeting of Holders a Person shall (a) be a Holder of one or more Notes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3"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9.05 Regulations</w:t>
      </w:r>
      <w:r>
        <w:rPr>
          <w:rFonts w:ascii="Times New Roman" w:cs="Times New Roman" w:eastAsia="Times New Roman" w:hAnsi="Times New Roman"/>
          <w:sz w:val="18"/>
          <w:szCs w:val="18"/>
          <w:color w:val="auto"/>
        </w:rPr>
        <w:t>. Notwithstanding any other provisions of this Indenture, the Trustee may make such reasonable regulations as it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 of the meeting, unless the meeting shall have been called by the Company or by Holders as provided in Section 9.03, in which case the Company or the Holders calling the meeting, as the case may be, shall in like manner appoint a temporary chair. A permanent chair and a permanent secretary of the meeting shall be elected by vote of the Holders of a majority in aggregate principal amount of the outstanding Notes represented at the meeting and entitled to vote at the meeting.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vote shall be cast or counted at any meeting in respect of any Note challenged as not outstanding and ruled by the chair of the meeting to be not outstanding. The chair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left="3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Section 9.06 Voting</w:t>
      </w:r>
      <w:r>
        <w:rPr>
          <w:rFonts w:ascii="Times New Roman" w:cs="Times New Roman" w:eastAsia="Times New Roman" w:hAnsi="Times New Roman"/>
          <w:sz w:val="18"/>
          <w:szCs w:val="18"/>
          <w:color w:val="auto"/>
        </w:rPr>
        <w:t>. The vote upon any resolution submitted to any meeting of Holders shall be by written ballot on which shall be subscribed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signatures of the Holders or of their representatives by proxy and the outstanding aggregate principal amount of the Notes held or represented by them. The permanent chair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 and secretary of the meeting and one of the duplicates shall be delivered to the Company and the other to the Trustee to be preserved by the Trustee, the latter to have attached thereto the ballots voted at the meeting.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3" w:lineRule="exact"/>
        <w:rPr>
          <w:sz w:val="20"/>
          <w:szCs w:val="20"/>
          <w:color w:val="auto"/>
        </w:rPr>
      </w:pPr>
    </w:p>
    <w:p>
      <w:pPr>
        <w:jc w:val="both"/>
        <w:ind w:lef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9.07 No Delay of Rights by Meeting</w:t>
      </w:r>
      <w:r>
        <w:rPr>
          <w:rFonts w:ascii="Times New Roman" w:cs="Times New Roman" w:eastAsia="Times New Roman" w:hAnsi="Times New Roman"/>
          <w:sz w:val="18"/>
          <w:szCs w:val="18"/>
          <w:color w:val="auto"/>
        </w:rPr>
        <w:t>. Nothing contained in this Article 9 shall be deemed or construed to authorize or permit,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ndentures</w:t>
      </w:r>
    </w:p>
    <w:p>
      <w:pPr>
        <w:spacing w:after="0" w:line="223" w:lineRule="exact"/>
        <w:rPr>
          <w:sz w:val="20"/>
          <w:szCs w:val="20"/>
          <w:color w:val="auto"/>
        </w:rPr>
      </w:pPr>
    </w:p>
    <w:p>
      <w:pPr>
        <w:jc w:val="both"/>
        <w:ind w:lef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Section 10.01 Supplemental Indentures Without Consent of Holders</w:t>
      </w:r>
      <w:r>
        <w:rPr>
          <w:rFonts w:ascii="Times New Roman" w:cs="Times New Roman" w:eastAsia="Times New Roman" w:hAnsi="Times New Roman"/>
          <w:sz w:val="18"/>
          <w:szCs w:val="18"/>
          <w:color w:val="auto"/>
        </w:rPr>
        <w:t>. Without the consent of Holders, the Company, the Guarantor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at the Company’s expense, may from time to time and at any time enter into an indenture or indentures supplemental hereto for one or more of the following purposes:</w:t>
      </w:r>
    </w:p>
    <w:p>
      <w:pPr>
        <w:spacing w:after="0" w:line="175" w:lineRule="exact"/>
        <w:rPr>
          <w:sz w:val="20"/>
          <w:szCs w:val="20"/>
          <w:color w:val="auto"/>
        </w:rPr>
      </w:pPr>
    </w:p>
    <w:p>
      <w:pPr>
        <w:ind w:left="900" w:hanging="244"/>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Company of the obligations of the Company under this Indenture pursuant to Article 11 or the assumption by a Successor Guarantor of the obligations of the Guarantor under this Indenture pursuant to Section 13.04 and Section 13.05;</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guarantees with respect to the Notes;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or the guarantee;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5" w:name="page66"/>
    <w:bookmarkEnd w:id="65"/>
    <w:p>
      <w:pPr>
        <w:ind w:right="20" w:firstLine="656"/>
        <w:spacing w:after="0" w:line="282" w:lineRule="auto"/>
        <w:tabs>
          <w:tab w:leader="none" w:pos="9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or Events of Default of the Company or the Guarantor for the benefit of the Holders or surrender any right or power conferred upon the Company or the Guarantor;</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elect a Settlement Method or Specified Dollar Amount (or a minimum Specified Dollar Amount), or eliminate the Company’s right to elect a Settlement Method;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election or elimination shall affect any Settlement Method theretofore elected (or deemed to be elected) with respect to any Note pursuant to Section 14.02(a)(iv);</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Merger Event, to provide that the Notes are convertible into Reference Property, subject to the provisions of Section 14.02, and make such related changes to the terms of the Notes to the extent expressly required by Section 14.07; or</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Indenture or the Notes to the “Description of Notes” section of the Offering Memorandum.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60"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10.02 Supplemental Indentures with Consent of Holders</w:t>
      </w:r>
      <w:r>
        <w:rPr>
          <w:rFonts w:ascii="Times New Roman" w:cs="Times New Roman" w:eastAsia="Times New Roman" w:hAnsi="Times New Roman"/>
          <w:sz w:val="18"/>
          <w:szCs w:val="18"/>
          <w:color w:val="auto"/>
        </w:rPr>
        <w:t>. With the consent (evidenced as provided in Article 8) of the Holders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without the consent of each Holder of an outstanding Note affected, no such supplemental indenture shall:</w:t>
      </w:r>
    </w:p>
    <w:p>
      <w:pPr>
        <w:spacing w:after="0" w:line="185" w:lineRule="exact"/>
        <w:rPr>
          <w:sz w:val="20"/>
          <w:szCs w:val="20"/>
          <w:color w:val="auto"/>
        </w:rPr>
      </w:pPr>
    </w:p>
    <w:p>
      <w:pPr>
        <w:ind w:left="900" w:hanging="244"/>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 amendment;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interest on any Note;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Maturity Date of any Note;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conversion rights of any Notes;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56"/>
        <w:spacing w:after="0" w:line="266" w:lineRule="auto"/>
        <w:tabs>
          <w:tab w:leader="none" w:pos="9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the Fundamental Change Repurchase Price of any Note or amend or modify in any manner adverse to the Holders the Company’s obligation to make such payments, whether through an amendment or waiver of provisions in the covenants or definitions hereof or otherwise;</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or at a place of payment, other than that stated in the Note, subject to the applicable procedures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 or the guarantees;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bring suit to enforce any payment of principal and interest on such Holder’s Notes on or after the due dates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w:t>
      </w:r>
    </w:p>
    <w:p>
      <w:pPr>
        <w:spacing w:after="0" w:line="206"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with respect to Additional Amounts in a manner adverse to Holders of the Notes; or</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 10 that requires each Holder’s consent or in the waiver provisions in Section 6.02 or Section 6.09.</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supplemental indenture. It shall be sufficient if such Holders approve the substance thereof. After any such supplemental indenture described in Section 10.01 or this Section 10.02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spacing w:after="0" w:line="178"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10.03 Effect of Supplemental Indentures</w:t>
      </w:r>
      <w:r>
        <w:rPr>
          <w:rFonts w:ascii="Times New Roman" w:cs="Times New Roman" w:eastAsia="Times New Roman" w:hAnsi="Times New Roman"/>
          <w:sz w:val="18"/>
          <w:szCs w:val="18"/>
          <w:color w:val="auto"/>
        </w:rPr>
        <w:t>. Upon the execution of any supplemental indenture pursuant to the provisions of this Article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this Indenture shall be and be deemed to be modified and amended in accordance therewith and the respective rights, limitation of rights, obligations, duties, indemnities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left="3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10.04 Notation on Notes</w:t>
      </w:r>
      <w:r>
        <w:rPr>
          <w:rFonts w:ascii="Times New Roman" w:cs="Times New Roman" w:eastAsia="Times New Roman" w:hAnsi="Times New Roman"/>
          <w:sz w:val="18"/>
          <w:szCs w:val="18"/>
          <w:color w:val="auto"/>
        </w:rPr>
        <w:t>. Notes authenticated and delivered after the execution of any supplemental indenture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upon receipt of an Officer’s Certificate, an Opinion of Counsel and delivered in exchange for the Notes then outstanding, upon surrender of such Notes then outstanding.</w:t>
      </w:r>
    </w:p>
    <w:p>
      <w:pPr>
        <w:spacing w:after="0" w:line="183" w:lineRule="exact"/>
        <w:rPr>
          <w:sz w:val="20"/>
          <w:szCs w:val="20"/>
          <w:color w:val="auto"/>
        </w:rPr>
      </w:pPr>
    </w:p>
    <w:p>
      <w:pPr>
        <w:jc w:val="both"/>
        <w:ind w:left="3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10.05 Evidence of Compliance of Supplemental Indenture to Be Furnished to Trustee</w:t>
      </w:r>
      <w:r>
        <w:rPr>
          <w:rFonts w:ascii="Times New Roman" w:cs="Times New Roman" w:eastAsia="Times New Roman" w:hAnsi="Times New Roman"/>
          <w:sz w:val="18"/>
          <w:szCs w:val="18"/>
          <w:color w:val="auto"/>
        </w:rPr>
        <w:t>. In addition to the documents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17.05, the Trustee shall receive an Officer’s Certificate and an Opinion of Counsel as conclusive evidence that any supplemental indenture executed pursuant hereto complies with the requirements of this Article 10 and is permitted or authorized by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Opinion of Counsel shall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onveyance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ease</w:t>
      </w:r>
    </w:p>
    <w:p>
      <w:pPr>
        <w:spacing w:after="0" w:line="223"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Section 11.01 Company May Consolidate, Etc. on Certain Terms</w:t>
      </w:r>
      <w:r>
        <w:rPr>
          <w:rFonts w:ascii="Times New Roman" w:cs="Times New Roman" w:eastAsia="Times New Roman" w:hAnsi="Times New Roman"/>
          <w:sz w:val="18"/>
          <w:szCs w:val="18"/>
          <w:color w:val="auto"/>
        </w:rPr>
        <w:t>. Subject to the provisions of Section 11.02, the Company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 effect an arrangement, combine or amalgamate with, merge with or into, or sell, convey, transfer or lease all or substantially all of its properties and assets to another Person (other than any such sale, conveyance, transfer or lease to one or more of the Company’s direct or indirect Wholly Owned Subsidiaries) unless (i) the Company is the surviving person or (ii):</w:t>
      </w:r>
    </w:p>
    <w:p>
      <w:pPr>
        <w:spacing w:after="0" w:line="178" w:lineRule="exact"/>
        <w:rPr>
          <w:sz w:val="20"/>
          <w:szCs w:val="20"/>
          <w:color w:val="auto"/>
        </w:rPr>
      </w:pPr>
    </w:p>
    <w:p>
      <w:pPr>
        <w:jc w:val="both"/>
        <w:ind w:firstLine="656"/>
        <w:spacing w:after="0" w:line="262" w:lineRule="auto"/>
        <w:tabs>
          <w:tab w:leader="none" w:pos="9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if not the Company, shall be a corporation organized and existing under the laws of Canada, any province or territory thereof, or the United States of America, any State thereof or the District of Columbia, and the Successor Company (if not the Company) shall expressly assume, by supplemental indenture, all of the obligations of the Company under the Notes and this Indenture;</w:t>
      </w:r>
    </w:p>
    <w:p>
      <w:pPr>
        <w:spacing w:after="0" w:line="180"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under this Indenture;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jc w:val="both"/>
        <w:ind w:firstLine="656"/>
        <w:spacing w:after="0" w:line="256" w:lineRule="auto"/>
        <w:tabs>
          <w:tab w:leader="none" w:pos="8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Successor Company (if not the Company) being organized and existing under the laws of Canada or any province or territory thereof that is required by law to make a deduction or withholding on account of Taxes imposed or levied by or on behalf of a Relevant Taxing Jurisdiction from any payments in respect of the Notes, the Successor Company undertakes to pay such Additional Amounts as may be necessary so that the net amount received by a Holder or beneficial owner of Notes (including Additional Amounts) after such deduction or withholding shall not be less than the amount such Holder or beneficial owner of Notes would have received if such Taxes (including Taxes on any Additional Amounts) had not been withheld or deducted, subject to the exceptions set forth in Section 2.11(b).</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8" w:name="page69"/>
    <w:bookmarkEnd w:id="6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deliver to the Trustee an Officer’s Certificate and an Opinion of Counsel, each stating that such consolidation, merger, sale, conveyance, transfer or lease and any supplemental indenture related thereto complies with this Indenture and that all conditions precedent contained in this Indenture relating to such transaction have been complied with.</w:t>
      </w:r>
    </w:p>
    <w:p>
      <w:pPr>
        <w:spacing w:after="0" w:line="174" w:lineRule="exact"/>
        <w:rPr>
          <w:sz w:val="20"/>
          <w:szCs w:val="20"/>
          <w:color w:val="auto"/>
        </w:rPr>
      </w:pPr>
    </w:p>
    <w:p>
      <w:pPr>
        <w:jc w:val="both"/>
        <w:ind w:left="340" w:firstLine="648"/>
        <w:spacing w:after="0" w:line="268" w:lineRule="auto"/>
        <w:rPr>
          <w:sz w:val="20"/>
          <w:szCs w:val="20"/>
          <w:color w:val="auto"/>
        </w:rPr>
      </w:pPr>
      <w:r>
        <w:rPr>
          <w:rFonts w:ascii="Times New Roman" w:cs="Times New Roman" w:eastAsia="Times New Roman" w:hAnsi="Times New Roman"/>
          <w:sz w:val="17"/>
          <w:szCs w:val="17"/>
          <w:i w:val="1"/>
          <w:iCs w:val="1"/>
          <w:color w:val="auto"/>
        </w:rPr>
        <w:t>Section 11.02 Successor Corporation to Be Substituted</w:t>
      </w:r>
      <w:r>
        <w:rPr>
          <w:rFonts w:ascii="Times New Roman" w:cs="Times New Roman" w:eastAsia="Times New Roman" w:hAnsi="Times New Roman"/>
          <w:sz w:val="17"/>
          <w:szCs w:val="17"/>
          <w:color w:val="auto"/>
        </w:rPr>
        <w:t>. In case of any such consolidation, amalgamation, merger, arrangement, combination,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amalgamation, merger, sale, conveyance or transfer (but not in the case of a lease), upon compliance with this Article 11 the Person named as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39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case of any such consolidation, amalgamation, merger, sale, conveyance, transfer or lease, such changes in phraseology and form (but not in substance) may be made in the Notes thereafter to be issued as may be appropriate.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mmunity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p>
      <w:pPr>
        <w:spacing w:after="0" w:line="223"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Section 12.01 Indenture and Notes Solely Corporate Obligations</w:t>
      </w:r>
      <w:r>
        <w:rPr>
          <w:rFonts w:ascii="Times New Roman" w:cs="Times New Roman" w:eastAsia="Times New Roman" w:hAnsi="Times New Roman"/>
          <w:sz w:val="18"/>
          <w:szCs w:val="18"/>
          <w:color w:val="auto"/>
        </w:rPr>
        <w:t>. No recourse for the payment of the principal of or accrued and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00" w:lineRule="exact"/>
        <w:rPr>
          <w:sz w:val="20"/>
          <w:szCs w:val="20"/>
          <w:color w:val="auto"/>
        </w:rPr>
      </w:pP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13.01 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By its execution of this Indenture, the Guarantor acknowledges and agrees that it receives substantial benefits from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the Guarantor is providing its Guarantee for good and valuable consideration, including such substantial benefits. Subject to this Article 13, the Guarantor hereby fully and unconditionally guarantees, to each Holder of a Note authenticated and delivered by the Trustee and to the Trustee and its successors and assigns, regardless of the validity or enforceability of this Indenture, the Notes or the obligations of the Company under the Indenture or the Notes, that:</w:t>
      </w:r>
    </w:p>
    <w:p>
      <w:pPr>
        <w:spacing w:after="0" w:line="18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4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any interest on, and any cash consideration payable upon any Cash Settlement or Combination Settlement of any Conversion Obligation (to the extent settled in cash) for, the Notes will be promptly paid in full when due, whether at maturity, by acceleration, on a Fundamental Change Repurchase Date, upon Optional Redemption or otherwise, and interest on the overdue principal of, any interest on, or any cash consideration payable upon any Cash Settlement or Combination Settlement of any Conversion Obligation (to the extent settled in cash) for, the Notes, if lawful, and all other payment obligations of the Company to the Holders or the Trustee under this Indenture or the Notes, will be promptly paid in full, in each case in accordance with this Indenture and the Notes; and</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extension of time of payment or renewal of any Notes or any of such other obligations, that the same will be promptly paid in full when due in accordance with the terms of the extension or renewal, whether at stated maturity, by acceleration, on a Fundamental Change Repurchase Date, upon Optional Redemption or otherwise, (collectively,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in each case subject to Section 13.02.</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Upon the failure of any payment when due of any amount so guaranteed, for whatever reason, the Guarantor will be obligated to pay the same immediately. The Guarantor agrees that this is a guarantee of payment and not a guarantee of collection.</w:t>
      </w:r>
    </w:p>
    <w:p>
      <w:pPr>
        <w:spacing w:after="0" w:line="160" w:lineRule="exact"/>
        <w:rPr>
          <w:sz w:val="20"/>
          <w:szCs w:val="20"/>
          <w:color w:val="auto"/>
        </w:rPr>
      </w:pPr>
    </w:p>
    <w:p>
      <w:pPr>
        <w:jc w:val="both"/>
        <w:ind w:firstLine="656"/>
        <w:spacing w:after="0" w:line="256" w:lineRule="auto"/>
        <w:tabs>
          <w:tab w:leader="none" w:pos="9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 Is Unconditional; Waiver of Diligence, Presentment, Etc</w:t>
      </w:r>
      <w:r>
        <w:rPr>
          <w:rFonts w:ascii="Times New Roman" w:cs="Times New Roman" w:eastAsia="Times New Roman" w:hAnsi="Times New Roman"/>
          <w:sz w:val="18"/>
          <w:szCs w:val="18"/>
          <w:color w:val="auto"/>
        </w:rPr>
        <w:t>. The Guarantor agrees that its Guarantee of the Guaranteed Obligations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unconditional, regardless of the validity or enforceability of this Indenture, the Notes or the obligations of the Company under this Indenture or the Notes, the absence of any action to enforce the same, any waiver or consent by any Holder with respect to any provisions of this Indenture or the Notes, the recovery of any judgment against the Company, any action to enforce the same or any other circumstance that might otherwise constitute a legal or equitable discharge or defense of a guarantor. The Guarantor waives diligence, presentment, demand of payment, filing of claims with a court in the event of insolvency or bankruptcy of the Company, any right to require a proceeding first against the Company, protest, notice and all demands whatsoever, and covenants that this Guarantee will not be discharged except by complete performance of the obligations contained in this Indenture and the Notes.</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Reinstatement of Guarantee Upon Return of Payments</w:t>
      </w:r>
      <w:r>
        <w:rPr>
          <w:rFonts w:ascii="Times New Roman" w:cs="Times New Roman" w:eastAsia="Times New Roman" w:hAnsi="Times New Roman"/>
          <w:sz w:val="18"/>
          <w:szCs w:val="18"/>
          <w:color w:val="auto"/>
        </w:rPr>
        <w:t>. If any Holder or the Trustee is required by any court or otherwise to return,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Guarantor or any custodian, trustee, liquidator or other similar official acting in relation to the Company or the Guarantor, any consideration paid or delivered by the Company or the Guarantor to such Holder or the Trustee, then the Guarantee, to the extent theretofore discharged, will be reinstated in full force and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9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Subrogation</w:t>
      </w:r>
      <w:r>
        <w:rPr>
          <w:rFonts w:ascii="Times New Roman" w:cs="Times New Roman" w:eastAsia="Times New Roman" w:hAnsi="Times New Roman"/>
          <w:sz w:val="18"/>
          <w:szCs w:val="18"/>
          <w:color w:val="auto"/>
        </w:rPr>
        <w:t>. The Guarantor agrees that any right of subrogation, reimbursement or contribution it may have in relation to the Holders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Guaranteed Obligations will be subordinated to, and will not be enforceable until payment in full of, all Guaranteed Obligations. The Guarantor further agrees that, as between the Guarantor, on the one hand, and the Holders and the Trustee, on the other hand, (i) the maturity of the Guaranteed Obligations may be accelerated as provided in Article 6, notwithstanding any stay, injunction or other prohibition preventing such acceleration in respect of the Guaranteed Obligations; and (ii) if any Guaranteed Obligations are accelerated pursuant to Article 6, then such Guaranteed Obligations will, whether or not due and payable, immediately become due and payable by the Guarantor.</w:t>
      </w:r>
    </w:p>
    <w:p>
      <w:pPr>
        <w:spacing w:after="0" w:line="182" w:lineRule="exact"/>
        <w:rPr>
          <w:sz w:val="20"/>
          <w:szCs w:val="20"/>
          <w:color w:val="auto"/>
        </w:rPr>
      </w:pPr>
    </w:p>
    <w:p>
      <w:pPr>
        <w:jc w:val="both"/>
        <w:ind w:left="3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13.02 Limitation on Guarantor Liability</w:t>
      </w:r>
      <w:r>
        <w:rPr>
          <w:rFonts w:ascii="Times New Roman" w:cs="Times New Roman" w:eastAsia="Times New Roman" w:hAnsi="Times New Roman"/>
          <w:sz w:val="18"/>
          <w:szCs w:val="18"/>
          <w:color w:val="auto"/>
        </w:rPr>
        <w:t>. The Guarantor, and, by its acceptance of any Note, each Holder, confirms that the Guarantor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Holders intend that the Guarantee of the Guarantor not constitute a fraudulent transfer or conveyance for purposes of Bankruptcy Law, the Uniform Fraudulent Conveyance Act, the Uniform Fraudulent Transfer Act or any similar federal, provincial or state law to the extent applicable to the Guarantee. Each of the Trustee, the Holders and the Guarantor irrevocably agrees that the obligations of the Guarantor under its Guarantee will be limited to the maximum amount that will, after giving effect to such maximum amount and all other contingent and fixed liabilities of the Guarantor that are relevant under such laws, result in the obligations of the Guarantor under its Guarantee not constituting a fraudulent transfer or conveyance.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left="3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13.03 Execution and Delivery of Guarantee</w:t>
      </w:r>
      <w:r>
        <w:rPr>
          <w:rFonts w:ascii="Times New Roman" w:cs="Times New Roman" w:eastAsia="Times New Roman" w:hAnsi="Times New Roman"/>
          <w:sz w:val="18"/>
          <w:szCs w:val="18"/>
          <w:color w:val="auto"/>
        </w:rPr>
        <w:t>. The execution by the Guarantor of this Indenture evidences the Guarantee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 and the delivery of any Note by the Trustee after its authentication constitutes due delivery of the Guarantee on behalf of the Guarantor. A Guarantee’s validity will not be affected by the failure of any officer of the Guarantor executing the Indenture or any amended or supplemental indenture on the Guarantor’s behalf to hold, at the time any Note is authenticated, the same or any other office at the Guarantor, and the Guarantee will be valid and enforceable even if no notation, certificate or other instrument is set upon or attached to, or otherwise executed and delivered to the Holder of, any Note.</w:t>
      </w:r>
    </w:p>
    <w:p>
      <w:pPr>
        <w:spacing w:after="0" w:line="182"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13.04 When the Guarantor May Consolidate, Etc. </w:t>
      </w:r>
      <w:r>
        <w:rPr>
          <w:rFonts w:ascii="Times New Roman" w:cs="Times New Roman" w:eastAsia="Times New Roman" w:hAnsi="Times New Roman"/>
          <w:sz w:val="18"/>
          <w:szCs w:val="18"/>
          <w:color w:val="auto"/>
        </w:rPr>
        <w:t>Subject to the provisions of Section 13.05, the Guarantor shall not consolidate,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an arrangement, combine or amalgamate with, merge with or into, or sell, convey, transfer or lease all or substantially all of its properties and assets to another Person (other than any such sale, conveyance, transfer or lease to the Company or one or more of the Company’s direct or indirect Wholly Owned Subsidiaries) unless: (i) the Guarantor is the surviving person (which, for certainty, shall be deemed to be the case in the event of any amalgamation of the Guarantor under the law of Canada or any province or territory of Canada) or (ii):</w:t>
      </w:r>
    </w:p>
    <w:p>
      <w:pPr>
        <w:spacing w:after="0" w:line="181" w:lineRule="exact"/>
        <w:rPr>
          <w:sz w:val="20"/>
          <w:szCs w:val="20"/>
          <w:color w:val="auto"/>
        </w:rPr>
      </w:pPr>
    </w:p>
    <w:p>
      <w:pPr>
        <w:jc w:val="both"/>
        <w:ind w:firstLine="656"/>
        <w:spacing w:after="0" w:line="262" w:lineRule="auto"/>
        <w:tabs>
          <w:tab w:leader="none" w:pos="8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b w:val="1"/>
          <w:bCs w:val="1"/>
          <w:color w:val="auto"/>
        </w:rPr>
        <w:t>Successor Guarantor</w:t>
      </w:r>
      <w:r>
        <w:rPr>
          <w:rFonts w:ascii="Times New Roman" w:cs="Times New Roman" w:eastAsia="Times New Roman" w:hAnsi="Times New Roman"/>
          <w:sz w:val="18"/>
          <w:szCs w:val="18"/>
          <w:color w:val="auto"/>
        </w:rPr>
        <w:t>”), if not the Guarantor, shall be a corporation organized and existing under the laws of Canada, any province or territory thereof, or the United States of America, any State thereof or the District of Columbia, and the Successor Guarantor (if not the Guarantor) shall expressly assume, by supplemental indenture, all of the obligations of the Guarantor under the Notes and this Indenture;</w:t>
      </w:r>
    </w:p>
    <w:p>
      <w:pPr>
        <w:spacing w:after="0" w:line="180"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under this Indenture;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89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Successor Guarantor (if not the Guarantor) being organized and existing under the laws of Canada or any province or territory thereof, the transaction will not result in such Successor Guarantor being required to make any deduction or withholding on account of Canadian taxes from any payments in respect of the Notes.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13.04, the sale, conveyance, transfer or lease of all or substantially all of the properties and assets of one or more Subsidiaries of the Guarantor to another Person, which properties and assets, if held by the Guarantor instead of such Subsidiaries, would constitute all or substantially all of the properties and assets of the Guarantor on a consolidated basis, shall be deemed to be the sale, conveyance, transfer or lease of all or substantially all of the properties and assets of the Guarantor to another Person.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deliver to the Trustee an Officer’s Certificate and an Opinion of Counsel, each stating that such consolidation, merger, sale, conveyance, transfer or lease and any supplemental indenture related thereto complies with this Indenture and that all conditions precedent contained in this Indenture relating to such transaction have been complied with.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1" w:name="page72"/>
    <w:bookmarkEnd w:id="71"/>
    <w:p>
      <w:pPr>
        <w:jc w:val="both"/>
        <w:ind w:left="3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13.05 Successor Guarantor to Be Substituted</w:t>
      </w:r>
      <w:r>
        <w:rPr>
          <w:rFonts w:ascii="Times New Roman" w:cs="Times New Roman" w:eastAsia="Times New Roman" w:hAnsi="Times New Roman"/>
          <w:sz w:val="18"/>
          <w:szCs w:val="18"/>
          <w:color w:val="auto"/>
        </w:rPr>
        <w:t>. In case of any such consolidation, amalgamation, merger, arrangement,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conveyance, transfer or lease and upon the assumption by the Successor Guarantor, by supplemental indenture, executed and delivered to the Trustee and satisfactory in form to the Trustee, of the due and punctual payment of the principal of and accrued and unpaid interest on all of the Notes, the due and punctual delivery or payment, as the case may be, of any cash consideration due upon any Cash Settlement or Combination Settlement of any conversion of the Notes and the due and punctual performance of all of the covenants and conditions of this Indenture to be performed by the Guarantor, such Successor Guarantor (if not the Guarantor) shall succeed to and, except in the case of a lease of all or substantially all of the Guarantor’s properties and assets, shall be substituted for the Guarantor, with the same effect as if it had been named herein, and may thereafter exercise every right and power, of the Guarantor under this Indenture. In the event of any such consolidation, amalgamation, merger, sale, conveyance or transfer (but not in the case of a lease), upon compliance with Section 13.04 and Section 13.05, the Person named as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in the first paragraph of this Indenture (or any successor that shall thereafter have become such in the manner prescribed in this Article 13) may be dissolved, wound up and liquidated at any time thereafter and, except in the case of a lease, such Person shall be released from its liabilities as guarantor of the Notes and from its obligations under this Indenture and the Notes.</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case of any such consolidation, amalgamation, merger, sale, conveyance, transfer or lease, such changes in phraseology and form (but not in substance) may be made in the Notes thereafter to be issued as may be appropriate.</w:t>
      </w:r>
    </w:p>
    <w:p>
      <w:pPr>
        <w:spacing w:after="0" w:line="160"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Section 13.06 Release of Guarantee</w:t>
      </w:r>
      <w:r>
        <w:rPr>
          <w:rFonts w:ascii="Times New Roman" w:cs="Times New Roman" w:eastAsia="Times New Roman" w:hAnsi="Times New Roman"/>
          <w:sz w:val="18"/>
          <w:szCs w:val="18"/>
          <w:color w:val="auto"/>
        </w:rPr>
        <w:t>. Notwithstanding anything to the contrary, in this Article 13, the Guarantee of the Guarantor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released, and the Guarantor’s obligations under the Guarantee will be automatically released and discharged, and, in each case, be of no future force and effect, upon the occurrence of any of the following events: (A) the Company’s obligations under this Indenture are discharged in accordance with the terms of this Indenture; (B) the merger or consolidation of the Guarantor into the Company; or (C) all remaining obligations to make payments or deliver other Conversion Obligation with respect all Notes are discharged in full after the same has become due.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onversion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23"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Section 14.01 Conversion Privilege</w:t>
      </w:r>
      <w:r>
        <w:rPr>
          <w:rFonts w:ascii="Times New Roman" w:cs="Times New Roman" w:eastAsia="Times New Roman" w:hAnsi="Times New Roman"/>
          <w:sz w:val="18"/>
          <w:szCs w:val="18"/>
          <w:color w:val="auto"/>
        </w:rPr>
        <w:t>. (a) Subject to and upon compliance with the provisions of this Article 14, each Holder of a Note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October 15, 2031 under the circumstances and during the periods set forth in Section 14.01(b), and (ii) regardless of the conditions described in Section 14.01(b), on or after October 15, 2031 until the close of business on the second Scheduled Trading Day immediately preceding the Maturity Date, in each case, at an initial conversion rate of 134.9073 shares of Common Stock (subject to adjustment as provided in this Article 14,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2" w:name="page73"/>
    <w:bookmarkEnd w:id="72"/>
    <w:p>
      <w:pPr>
        <w:jc w:val="both"/>
        <w:ind w:firstLine="656"/>
        <w:spacing w:after="0" w:line="251" w:lineRule="auto"/>
        <w:tabs>
          <w:tab w:leader="none" w:pos="9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Prior to the close of business on the Business Day immediately preceding October 15, 2031, a Holder may surrender all or any portion of its Notes for conversion at any time during the five (5) Business Day period after any five (5)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Common Stock on each such Trading Day and the Conversion Rate on each such Trading Day. The Trading Prices shall be determined by the Bid Solicitation Agent pursuant to this subsection (b)(i) and the definition of Trading Price set forth in this Indenture. The Bid Solicitation Agent (if other than the Company) shall have no obligation to determine the Trading Price per $1,000 principal amount of Notes unless the Company has requested such determination, and the Company shall have no obligation to make such request (or, if the Company is acting as Bid Solicitation Agent, the Company shall have no obligation to determine the Trading Price per $1,000 principal amount of Notes) unless a Holder of Notes provides the Company with reasonable evidence that the Trading Price per $1,000 principal amount of Notes on any Trading Day would be less than 98% of the product of the Last Reported Sale Price of the Common Stock on such Trading Day and the Conversion Rate on such Trading Day, at which time the Company shall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Common Stock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instructs the Bid Solicitation Agent to obtain bids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in writing.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provide a written notice to the Holders of the Notes, the Trustee and the Conversion Agent (if other than the Trustee).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1560" w:hanging="256"/>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October 15, 2031, the Company elects to:</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4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to all or substantially all holders of the Common Stock any rights, options or warrants (other than in connection with a stockholder rights plan, so long as such rights have not separated from the Common Stock) entitling them, for a period of not more than forty five (45) calendar days after the issue date, to subscribe for or purchase shares of Common Stock at a price per share that is less than the average of the Last Reported Sale Prices of the Common Stock for the ten (10) consecutive Trading Day period ending on, and including, the Trading Day immediately preceding the date of announcement of such issuance; or</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Common Stock the Company’s assets, securities or rights to purchase securities of the Company (other than pursuant to a stockholder rights plan, so long as such rights have not separated from the Common Stock), which distribution has a per share value, as reasonably determined by the Board of Directors, exceeding 10% of the Last Reported Sale Price of the Common Stock on the Trading Day preceding the date of announcement for such distribution,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then, in either case, the Company shall notify all Holders of the Notes, the Trustee and the Conversion Agent (if other than the Trustee) in writing at least thirty five (35) Scheduled Trading Days prior to the Ex-Dividend Date for such issuance or distribution. Once the Company has given such notice, a Holder may surrender all or any portion of its Notes for conversion at any time until the earlier of (1) the close of business on the Business Day immediately preceding the Ex-Dividend Date for such issuance or distribution and (2) the Company’s announcement that such issuance or distribution will not take place, in each case, even if the Notes are not otherwise convertible at such time. Notwithstanding anything to the contrary in the foregoing, if the Company elects Physical Settlement (to the extent the Company has not elected another Settlement Method to apply, including pursuant to Section 14.02(a)(ii)) in the applicable notice in respect of any conversions that occur from, and including, the date of the notice to, and including the close of business on the Business Day immediately preceding the Ex-Dividend Date for such issuance or distribution (or, if earlier, the date the Company announce that such issuance or distribution will not take place) (the “distribution trigger irrevocable physical settlement period”), the Company will be permitted to provide no less than ten (10) Scheduled Trading Days’ notice prior to the Ex-Dividend Date for the applicable issuance or distribution. In that event, the Company shall be required to settle all conversions with a Conversion Date occurring during the distribution trigger irrevocable physical settlement period by Physical Settlement, and the Company shall describe the same in the notice.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left="-460" w:firstLine="644"/>
        <w:spacing w:after="0" w:line="252" w:lineRule="auto"/>
        <w:tabs>
          <w:tab w:leader="none" w:pos="5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 transaction or event that constitutes a Fundamental Change or a Make-Whole Fundamental Change occurs prior to the close of business on the Business Day immediately preceding October 15, 2031, regardless of whether the Company is required to offer to repurchase the Notes pursuant to Section 15.02, (B) a Termination of Trading occurs, or (C) the Company is a party to a consolidation, merger, amalgamation, arrangement, binding share exchange, combination or transfer or lease of all or substantially all of its assets that occurs prior to the close of business on the Business Day immediately preceding October 15, 2031, in each case under this clause (C), pursuant to which the Common Stock would be converted into cash, securities or other assets, all or any portion of a Holder’s Notes may be surrendered for conversion at any time from or after the date that is thirty (30) Scheduled Trading Days prior to the anticipated effective date of the transaction or event (or, if later, the earlier of (x) the Business Day after the Company gives notice of such transaction or event and (y) the actual effective date of such transaction) until thirty five (35) Trading Days after the actual effective date of such transaction or event or, if such transaction also constitutes a Fundamental Change, until the related Fundamental Change Repurchase Date. The Company shall notify Holders, the Trustee and the Conversion Agent (if other than the Trustee) (i) as promptly as practicable following the date the Company publicly announces such transaction or event but in no event less than thirty (30) Scheduled Trading Days prior to the anticipated effective date of such transaction or event; or (ii) if the Company does not have knowledge of such transaction or event at least thirty (30) Scheduled Trading Days prior to the anticipated effective date of such transaction or event, within one (1) Business Day after the date upon which the Company receives notice, or otherwise becomes aware, of such transaction or event, but in no event later than the actual effective date of such transaction or event.</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October 15, 2031, a Holder may surrender all or any portion of its Notes for conversion at any time during any calendar quarter commencing after the calendar quarter ending on September 30, 2026 (and only during such calendar quarter), if the Last Reported Sale Price of the Common Stock for at least twenty (20) Trading Days (whether or not consecutive) during the period of thirty (30) consecutive Trading Days ending on, and including, the last Trading Day of the immediately preceding calendar quarter is greater than or equal to 130% of the Conversion Price on each applicable Trading Day. If such a condition has been met, the Company will so notify the Holders, the Trustee and the Conversion Agent (if other than the Trustee) in writing. Neither the Trustee nor the Conversion Agent (if other than the Trustee) shall have any duty to determine or verify such determination by the Company pursuant to this clause (iv) or any similar determination by the Company that the Notes have become convertible in accordance with any condition set forth in this Section 14.01(b).</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pursuant to Article 16 prior to the close of business on the Business Day immediately preceding October 15, 2031, then a Holder may convert all or any portion of its Notes at any time prior to the close of business on the second Scheduled Trading Day prior to the Redemption Date, even if the Notes are not otherwise convertible at such time. After that time, the right to convert pursuant to this subsection (b)(v) shall expire, unless the Company fails to pay the Redemption Price, in which case a Holder of Notes may convert such Notes until the Redemption Price has been paid or duly provided for.</w:t>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5" w:name="page76"/>
    <w:bookmarkEnd w:id="75"/>
    <w:p>
      <w:pPr>
        <w:ind w:left="980"/>
        <w:spacing w:after="0"/>
        <w:rPr>
          <w:sz w:val="20"/>
          <w:szCs w:val="20"/>
          <w:color w:val="auto"/>
        </w:rPr>
      </w:pPr>
      <w:r>
        <w:rPr>
          <w:rFonts w:ascii="Times New Roman" w:cs="Times New Roman" w:eastAsia="Times New Roman" w:hAnsi="Times New Roman"/>
          <w:sz w:val="18"/>
          <w:szCs w:val="18"/>
          <w:i w:val="1"/>
          <w:iCs w:val="1"/>
          <w:color w:val="auto"/>
        </w:rPr>
        <w:t>Section 14.02 Conversion Procedure; Settlement Upon Conversion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6"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Common Stock, together with cash, if applicable, in lieu of delivering any fractional share of Common Stock in accordance with subsection (j) of this Section 14.02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or a combination of cash and Common Stock, together with cash, if applicable, in lieu of delivering any fractional share of Common Stock in accordance with subsection (j) of this Section 14.02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at its election, as set forth in this Section 14.02.</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conversions (A) for which the relevant Conversion Date occurs on or after October 15, 2031, (B) for which the relevant Conversion Date occurs during a Redemption Period and (C) following the irrevocable election of a Settlement Method, in each case, shall be settled using the same Settlement Method.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conversions (A) for which the relevant Conversion Date occurs after the Company’s issuance of a Notice of Optional Redemption with respect to the Notes but prior to the related Redemption Date, (B) for which the relevant Conversion Date occurs on or after October 15, 2031, (C) to the extent the Company elects Physical Settlement to apply pursuant to Section 14.01(b)(ii) and (D) following the Company’s irrevocable election of a Settlement Method, in each case, the Company shall use the same Settlement Method for all conversions with the same Conversion Date, but the Company shall not have any obligation to use the same Settlement Method with respect to conversions with different Conversion Dates.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62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Company’s irrevocable election of a Settlement Method, if, in respect of any Conversion Date (or any conversions for which the relevant Conversion Date occurs during a Redemption Period, or for which the relevant Conversion Date occurs on or after October 15, 2031), the Company elects to deliver a notice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of the relevant Settlement Method in respect of such Conversion Date (or such period, as the case may be), the Company, through the Trustee, shall deliver such Settlement Notice in writing to converting Holders no later than the close of business on the Trading Day immediately following the relevant Conversion Date (or, in the case of any conversions for which the relevant Conversion Date occurs (x) during a Redemption Period, in such Notice of Optional Redemption, (y) on or after October 15, 2031, no later than October 15, 2031 or (z) for which the Company has irrevocably elected Physical Settlement to apply pursuant to Section 14.01(b)(ii)). If the Company does not elect a Settlement Method with respect to a Conversion Date prior to the deadline set forth in the immediately preceding sentence, the Company shall no longer have the right to elect Cash Settlement or Combination Settlement with respect to such Conversion Date, and the Company shall be deemed to have elected Physical Settlement in respect of its Conversion Obligation. Such Settlement Notice shall specify the relevant Settlement Method and in the case of an election of Combination Settlement, the relevant Settlement Notice shall indicate the Specified Dollar Amount. If the Company delivers a Settlement Notice electing Combination Settlement in respect of its Conversion Obligation but does not indicate a Specified Dollar Amount, the Specified Dollar Amount shall be deemed to be $1,000.</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6" w:name="page77"/>
    <w:bookmarkEnd w:id="76"/>
    <w:p>
      <w:pPr>
        <w:jc w:val="both"/>
        <w:ind w:left="-460" w:firstLine="644"/>
        <w:spacing w:after="0" w:line="254" w:lineRule="auto"/>
        <w:tabs>
          <w:tab w:leader="none" w:pos="50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notice to Holders of the Notes, the Trustee and the Conversion Agent (if other than the Trustee), the Company may, prior to the close of business on the Scheduled Trading Day immediately preceding October 15, 2031, at the Company’s option, irrevocably elect to satisfy the Company’s Conversion Obligation with respect to the Notes through any Settlement Method that the Company is then permitted to elect (including Combination Settlement with a specified dollar amount per $1,000 principal amount of Notes of $1,000 or with an ability to continue to set the Specified Dollar Amount per $1,000 principal amount of Notes at or above any specified amount set forth in such election notice) for all Conversion Dates occurring subsequent to delivery of such notice. If the Company elects to irrevocably fix the Settlement Method, the Company shall, after the date of such election, either post the fixed Settlement Method on its website or disclose the same in a Current Report on Form 8-K (or any successor form) that is filed with the Commission.</w:t>
      </w:r>
    </w:p>
    <w:p>
      <w:pPr>
        <w:spacing w:after="0" w:line="187" w:lineRule="exact"/>
        <w:rPr>
          <w:rFonts w:ascii="Times New Roman" w:cs="Times New Roman" w:eastAsia="Times New Roman" w:hAnsi="Times New Roman"/>
          <w:sz w:val="18"/>
          <w:szCs w:val="18"/>
          <w:color w:val="auto"/>
        </w:rPr>
      </w:pPr>
    </w:p>
    <w:p>
      <w:pPr>
        <w:ind w:left="-460" w:firstLine="644"/>
        <w:spacing w:after="0" w:line="286" w:lineRule="auto"/>
        <w:tabs>
          <w:tab w:leader="none" w:pos="4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Common Stock or combination of cash and Common Stock in respect of any conversion of Notes (the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shall be computed as follows:</w:t>
      </w:r>
    </w:p>
    <w:p>
      <w:pPr>
        <w:spacing w:after="0" w:line="158" w:lineRule="exact"/>
        <w:rPr>
          <w:rFonts w:ascii="Times New Roman" w:cs="Times New Roman" w:eastAsia="Times New Roman" w:hAnsi="Times New Roman"/>
          <w:sz w:val="18"/>
          <w:szCs w:val="18"/>
          <w:color w:val="auto"/>
        </w:rPr>
      </w:pPr>
    </w:p>
    <w:p>
      <w:pPr>
        <w:jc w:val="both"/>
        <w:ind w:left="-140" w:firstLine="648"/>
        <w:spacing w:after="0" w:line="261" w:lineRule="auto"/>
        <w:tabs>
          <w:tab w:leader="none" w:pos="82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Common Stock equal to the Conversion Rate (plus cash in lieu of any fractional share of Common Stock issuable upon conversion) in effect on the Conversion Date;</w:t>
      </w:r>
    </w:p>
    <w:p>
      <w:pPr>
        <w:spacing w:after="0" w:line="179" w:lineRule="exact"/>
        <w:rPr>
          <w:rFonts w:ascii="Times New Roman" w:cs="Times New Roman" w:eastAsia="Times New Roman" w:hAnsi="Times New Roman"/>
          <w:sz w:val="18"/>
          <w:szCs w:val="18"/>
          <w:color w:val="auto"/>
        </w:rPr>
      </w:pPr>
    </w:p>
    <w:p>
      <w:pPr>
        <w:jc w:val="both"/>
        <w:ind w:left="-140" w:firstLine="648"/>
        <w:spacing w:after="0" w:line="266" w:lineRule="auto"/>
        <w:tabs>
          <w:tab w:leader="none" w:pos="79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thirty (30) consecutive Trading Days during the related Observation Period; and</w:t>
      </w:r>
    </w:p>
    <w:p>
      <w:pPr>
        <w:spacing w:after="0" w:line="175" w:lineRule="exact"/>
        <w:rPr>
          <w:rFonts w:ascii="Times New Roman" w:cs="Times New Roman" w:eastAsia="Times New Roman" w:hAnsi="Times New Roman"/>
          <w:sz w:val="18"/>
          <w:szCs w:val="18"/>
          <w:color w:val="auto"/>
        </w:rPr>
      </w:pPr>
    </w:p>
    <w:p>
      <w:pPr>
        <w:jc w:val="both"/>
        <w:ind w:left="-140" w:firstLine="648"/>
        <w:spacing w:after="0" w:line="261" w:lineRule="auto"/>
        <w:tabs>
          <w:tab w:leader="none" w:pos="83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thirty (30) consecutive Trading Days during the related Observation Period (plus cash in lieu of any fractional share of Common Stock issuable upon conversion).</w:t>
      </w: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7" w:name="page78"/>
    <w:bookmarkEnd w:id="77"/>
    <w:p>
      <w:pPr>
        <w:jc w:val="both"/>
        <w:ind w:left="660" w:firstLine="644"/>
        <w:spacing w:after="0" w:line="256" w:lineRule="auto"/>
        <w:tabs>
          <w:tab w:leader="none" w:pos="1618"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in writing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0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if required, pay all documentary, stamp or similar issue or transfer taxes or duties, if any, and (ii) in the case of a Definitive Note or any Global Notes that are converted outside of the Depositary (1) complete, manually sign and deliver an irrevocable notice to the Conversion Agent as set forth in the Form of Notice of Conversion (or a facsimile, PDF or other electronic transmission thereof) (a notice pursuant to the applicable procedure of the Depositary or a notice as set forth in the Form of Notice of Conversion,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 names (with addresses) in which such Holder wishes the certificate or certificates for any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(4) if required, pay funds equal to interest payable on the next Interest Payment Date to which such Holder is not entitled as set forth in Section 14.02(h) and</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pay all documentary, stamp or similar issue or transfer taxes or duties, if any.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Offer Acceptance Notice to the Company in respect of such Notes and has not validly withdrawn such Fundamental Change Repurchase Offer Acceptance Notice in accordance with Section 15.03.</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to the extent permitted by the Depositary’s applicable procedures, computed on the basis of the aggregate principal amount of the Notes (or specified portions thereof to the extent permitted thereby) so surrendered.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56"/>
        <w:spacing w:after="0" w:line="254" w:lineRule="auto"/>
        <w:tabs>
          <w:tab w:leader="none" w:pos="88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Physical Settlement (provided that, with respect to any conversion following the Record Date immediately preceding the Maturity Date where Physical Settlement applies, the Company shall settle any such conversion on the Maturity Date or, if the Maturity Date is not a Business Day, the next succeeding Business Day, and the Conversion Date will be deemed to the second Business Day immediately before such date), or on the second Business Day immediately following the last Trading Day of the Observation Period, in the case of any other Settlement Method. If any Common Stock is due to a converting Holder, the Company shall issue or cause to be issued, and deliver (if applicable) to the Conversion Agent or to such Holder, or such Holder’s nominee or nominees, the full number of shares of Common Stock to which such Holder shall be entitled, in book-entry format through the Depositary, in the case of Global Notes, or in certificated form, in the case of Definitive Notes (or in the case any Global Note is converted outside of the Depositary), in each case, in satisfaction of the Company’s Conversion Obligation.</w:t>
      </w:r>
    </w:p>
    <w:p>
      <w:pPr>
        <w:spacing w:after="0" w:line="186" w:lineRule="exact"/>
        <w:rPr>
          <w:rFonts w:ascii="Times New Roman" w:cs="Times New Roman" w:eastAsia="Times New Roman" w:hAnsi="Times New Roman"/>
          <w:sz w:val="18"/>
          <w:szCs w:val="18"/>
          <w:color w:val="auto"/>
        </w:rPr>
      </w:pPr>
    </w:p>
    <w:p>
      <w:pPr>
        <w:jc w:val="both"/>
        <w:ind w:firstLine="656"/>
        <w:spacing w:after="0" w:line="256" w:lineRule="auto"/>
        <w:tabs>
          <w:tab w:leader="none" w:pos="9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submits a Note for conversion, the Company shall pay any documentary, stamp or similar issue or transfer tax or duty due on any issuance or delivery of any shares of Common Stock upon conversion, unless the tax or duty is due because the Holder requests such shares to be registered in a name other than the Holder’s name, in which case the Holder shall pay that tax or duty. The Conversion Agent may refuse to deliver the certificates representing the Common Stock being issued in a name other than the Holder’s name until the Trustee receives a sum sufficient to pay any tax that is due by such Holder in accordance with the immediately preceding sentence.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14.04, no adjustment shall be made for dividends on any Common Stock issued upon the conversion of any Note as provided in this Article 14.</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ind w:firstLine="656"/>
        <w:spacing w:after="0" w:line="252" w:lineRule="auto"/>
        <w:tabs>
          <w:tab w:leader="none" w:pos="91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Common Stock, accrued and unpaid interest will be deemed to be paid first out of the cash paid upon such conversion. Notwithstanding the foregoing, if Notes are converted after the close of business on a Regular Record Date and prior to the open of business on the immediately following Interest Payment Date, Holders of such Notes as of the close of business on such Regular Record Date will receive the full amount of interest payable on such Notes on the corresponding Interest Payment Date notwithstanding the conversion. However,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following the Regular Record Date immediately preceding the Maturity Date; (2) if the Company has specified a Redemption Date that is after a Regular Record Date and on or prior to the second Business Day immediately following the corresponding Interest Payment Date; (3) if the Company has specified a Fundamental Change Repurchase Date that is after a Regular Record Date and on or prior to the Business Day immediately following the corresponding Interest Payment Date; or (4) to the extent of any Defaulted Amounts, if any Defaulted Amounts exists at the time of conversion with respect to such Note. Therefore, for the avoidance of doubt, all Holders of record on the Regular Record Date immediately preceding the Maturity Date shall receive the full interest payment due on the Maturity Date in cash regardless of whether their Notes have been converted following such Regular Record Date.</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8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the Common Stock shall be issuable upon conversion shall be treated as a stockholder of record as of the close of business on the relevant Conversion Date (if the Company elects (or is deemed to have elected)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88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 of Common Stock upon conversion of the Notes and shall instead pay cash in lieu of delivering any fractional share of Common Stock issuable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Combination Settlement, the full number of shares of Common Stock that shall be issued upon conversion thereof shall be computed on the basis of the aggregate Daily Settlement Amounts for the relevant Observation Period and any fractional shares of Common Stock remaining after such computation shall be paid in cash.</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left="3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Section 14.03 Increased Conversion Rate Applicable to Certain Notes Surrendered in Connection with Make-Whole Fundamental Changes or a Notice of Optional Redemption</w:t>
      </w:r>
      <w:r>
        <w:rPr>
          <w:rFonts w:ascii="Times New Roman" w:cs="Times New Roman" w:eastAsia="Times New Roman" w:hAnsi="Times New Roman"/>
          <w:sz w:val="18"/>
          <w:szCs w:val="18"/>
          <w:color w:val="auto"/>
        </w:rPr>
        <w:t>. (a) If (i) (A) the Effective Date of a Make-Whole Fundamental Change occurs prior to the Maturity Date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elects to convert its Notes in connection with such a Make-Whole Fundamental Change or (B) the Company issues a Notice of Optional Redemption as provided under Section 16.02, and a Holder elects to convert its Notes during the related Redemption Period, the Company shall, under the circumstances described below, increase the Conversion Rate for the Notes so surrendered for conversion by a number of additional shares of Common Stock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as described below.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Business Day immediately prior to the related Fundamental Change Repurchase Date (or, in the case of a Make-Whole Fundamental Change that would have been a Fundamental Change but for the proviso in clause (b) of the definition thereof, the 35th Trading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A conversion of Notes will be deemed for these purposes to be “in connection with” a Notice of Optional Redemption if the Notice of Conversion of the Notes is received by the Conversion Agent from, and including, the date of the Notice of Optional Redemption until the close of business on the second Scheduled Trading Day immediately preceding the Redemption Date.</w:t>
      </w:r>
    </w:p>
    <w:p>
      <w:pPr>
        <w:spacing w:after="0" w:line="189" w:lineRule="exact"/>
        <w:rPr>
          <w:sz w:val="20"/>
          <w:szCs w:val="20"/>
          <w:color w:val="auto"/>
        </w:rPr>
      </w:pPr>
    </w:p>
    <w:p>
      <w:pPr>
        <w:jc w:val="both"/>
        <w:ind w:firstLine="656"/>
        <w:spacing w:after="0" w:line="253" w:lineRule="auto"/>
        <w:tabs>
          <w:tab w:leader="none" w:pos="9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Notes for conversion in connection with a Make-Whole Fundamental Change or during a Redemption Period, the Company shall, at its option, satisfy the related Conversion Obligation by Physical Settlement, Cash Settlement or Combination Settlement in accordance with Section 14.02, based on the Conversion Rate as increased to reflect the Additional Shares pursuant to the table set forth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such Stock Price. In such event, the Conversion Obligation shall be determined and paid to Holders in cash on the second 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Conversion Date. The Company shall notify the Holders of the Effective Date of any Make-Whole Fundamental Change and issue a press release announcing such Effective Date no later than the Business Day after such Effective Date.</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89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Additional Shares, if any, by which the Conversion Rate shall be increased for conversions in connection with a Make-Whole Fundamental Change or a Notice of Optional Redemption shall be determined by reference to the table below, based on the date on which the Make-Whole Fundamental Change occurs or becomes effective (in each case,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or the Redemption Notice Date, and the price (the “</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paid (or deemed to be paid) per share of Common Stock in the Make-Whole Fundamental Change or on the Redemption Notice Date, as applicable.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(5) consecutive Trading Day period ending on, and including, the Trading Day immediately preceding the Effective Date or Redemption Notice Date, as applicable. In the event that a conversion during a Redemption Period would also be deemed to be in connection with a Make-Whole Fundamental Change, a Holder of Notes to be converted shall be entitled to a single increase to the Conversion Rate with respect to the first to occur of the applicable Redemption Notice Date or the Effective Date of the applicable MakeWhole Fundamental Change, and the later event shall be deemed not to have occurred for purposes of this Section 14.03.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1" w:name="page82"/>
    <w:bookmarkEnd w:id="81"/>
    <w:p>
      <w:pPr>
        <w:jc w:val="both"/>
        <w:ind w:firstLine="656"/>
        <w:spacing w:after="0" w:line="258" w:lineRule="auto"/>
        <w:tabs>
          <w:tab w:leader="none" w:pos="91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number of Additional Shares by which the Conversion Rate shall be increased per $1,000 principal amount of Notes pursuant to this Section 14.03 for each Stock Price and Effective Date or Redemption Notice Date set forth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Effective Date /</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440" w:type="dxa"/>
            <w:vAlign w:val="bottom"/>
            <w:gridSpan w:val="2"/>
            <w:vMerge w:val="continue"/>
          </w:tcPr>
          <w:p>
            <w:pPr>
              <w:spacing w:after="0"/>
              <w:rPr>
                <w:sz w:val="9"/>
                <w:szCs w:val="9"/>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$5.93</w:t>
            </w:r>
          </w:p>
        </w:tc>
        <w:tc>
          <w:tcPr>
            <w:tcW w:w="80" w:type="dxa"/>
            <w:vAlign w:val="bottom"/>
          </w:tcPr>
          <w:p>
            <w:pPr>
              <w:spacing w:after="0"/>
              <w:rPr>
                <w:sz w:val="9"/>
                <w:szCs w:val="9"/>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$6.50</w:t>
            </w:r>
          </w:p>
        </w:tc>
        <w:tc>
          <w:tcPr>
            <w:tcW w:w="80" w:type="dxa"/>
            <w:vAlign w:val="bottom"/>
          </w:tcPr>
          <w:p>
            <w:pPr>
              <w:spacing w:after="0"/>
              <w:rPr>
                <w:sz w:val="9"/>
                <w:szCs w:val="9"/>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$7.00</w:t>
            </w:r>
          </w:p>
        </w:tc>
        <w:tc>
          <w:tcPr>
            <w:tcW w:w="80" w:type="dxa"/>
            <w:vAlign w:val="bottom"/>
          </w:tcPr>
          <w:p>
            <w:pPr>
              <w:spacing w:after="0"/>
              <w:rPr>
                <w:sz w:val="9"/>
                <w:szCs w:val="9"/>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$7.4125</w:t>
            </w:r>
          </w:p>
        </w:tc>
        <w:tc>
          <w:tcPr>
            <w:tcW w:w="80" w:type="dxa"/>
            <w:vAlign w:val="bottom"/>
          </w:tcPr>
          <w:p>
            <w:pPr>
              <w:spacing w:after="0"/>
              <w:rPr>
                <w:sz w:val="9"/>
                <w:szCs w:val="9"/>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$8.00</w:t>
            </w:r>
          </w:p>
        </w:tc>
        <w:tc>
          <w:tcPr>
            <w:tcW w:w="100" w:type="dxa"/>
            <w:vAlign w:val="bottom"/>
          </w:tcPr>
          <w:p>
            <w:pPr>
              <w:spacing w:after="0"/>
              <w:rPr>
                <w:sz w:val="9"/>
                <w:szCs w:val="9"/>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$9.6362</w:t>
            </w:r>
          </w:p>
        </w:tc>
        <w:tc>
          <w:tcPr>
            <w:tcW w:w="80" w:type="dxa"/>
            <w:vAlign w:val="bottom"/>
          </w:tcPr>
          <w:p>
            <w:pPr>
              <w:spacing w:after="0"/>
              <w:rPr>
                <w:sz w:val="9"/>
                <w:szCs w:val="9"/>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$12.00</w:t>
            </w:r>
          </w:p>
        </w:tc>
        <w:tc>
          <w:tcPr>
            <w:tcW w:w="80" w:type="dxa"/>
            <w:vAlign w:val="bottom"/>
          </w:tcPr>
          <w:p>
            <w:pPr>
              <w:spacing w:after="0"/>
              <w:rPr>
                <w:sz w:val="9"/>
                <w:szCs w:val="9"/>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$18.00</w:t>
            </w:r>
          </w:p>
        </w:tc>
        <w:tc>
          <w:tcPr>
            <w:tcW w:w="80" w:type="dxa"/>
            <w:vAlign w:val="bottom"/>
          </w:tcPr>
          <w:p>
            <w:pPr>
              <w:spacing w:after="0"/>
              <w:rPr>
                <w:sz w:val="9"/>
                <w:szCs w:val="9"/>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$25.00</w:t>
            </w:r>
          </w:p>
        </w:tc>
        <w:tc>
          <w:tcPr>
            <w:tcW w:w="80" w:type="dxa"/>
            <w:vAlign w:val="bottom"/>
          </w:tcPr>
          <w:p>
            <w:pPr>
              <w:spacing w:after="0"/>
              <w:rPr>
                <w:sz w:val="9"/>
                <w:szCs w:val="9"/>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$30.00</w:t>
            </w:r>
          </w:p>
        </w:tc>
        <w:tc>
          <w:tcPr>
            <w:tcW w:w="80" w:type="dxa"/>
            <w:vAlign w:val="bottom"/>
          </w:tcPr>
          <w:p>
            <w:pPr>
              <w:spacing w:after="0"/>
              <w:rPr>
                <w:sz w:val="9"/>
                <w:szCs w:val="9"/>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$40.00</w:t>
            </w:r>
          </w:p>
        </w:tc>
        <w:tc>
          <w:tcPr>
            <w:tcW w:w="80" w:type="dxa"/>
            <w:vAlign w:val="bottom"/>
          </w:tcPr>
          <w:p>
            <w:pPr>
              <w:spacing w:after="0"/>
              <w:rPr>
                <w:sz w:val="9"/>
                <w:szCs w:val="9"/>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Redemption Notice Date</w:t>
            </w: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June 9, 2026</w:t>
            </w: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33.2115</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29.2913</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21.2822</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14.2600</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6.1806</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2.7256</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1.5690</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0.4793</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January 15, 2027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33.2115</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29.2913</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21.1598</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13.9900</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5.8883</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2.5152</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1.4117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0.3975</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15, 2028</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33.2115</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29.2913</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20.5747</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13.1458</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5.1267</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2.0128</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1.0527</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0.2253</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January 15, 2029</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33.1899</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28.4713</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19.2023</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11.6475</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4.0394</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1.3932</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0.6497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0.0660</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15, 2030</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31.2283</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26.1600</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16.5176</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9.1450</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2.5750</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0.7012</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0.2617</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0.0048</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January 15, 2031</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31.4543</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26.6712</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21.1825</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11.4637</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5.1167</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0.9033</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0.1308</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0.0133</w:t>
            </w: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15, 2032</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33.7267</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18.9389</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7.9498</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exact Stock Price and Effective Date or Redemption Notice Date may not be set forth in the table above, in which case:</w:t>
      </w:r>
    </w:p>
    <w:p>
      <w:pPr>
        <w:spacing w:after="0" w:line="225" w:lineRule="exact"/>
        <w:rPr>
          <w:sz w:val="20"/>
          <w:szCs w:val="20"/>
          <w:color w:val="auto"/>
        </w:rPr>
      </w:pPr>
    </w:p>
    <w:p>
      <w:pPr>
        <w:jc w:val="both"/>
        <w:ind w:left="660" w:firstLine="644"/>
        <w:spacing w:after="0" w:line="261" w:lineRule="auto"/>
        <w:tabs>
          <w:tab w:leader="none" w:pos="15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above or the Effective Date or Redemption Notice Date, as the case may be, is between two Effective Dates or Redemption Notice Dates, as applicable, in the table, the number of Additional Shares by which the Conversion Rate shall be increased shall be determined by a straight-line interpolation between the number of Additional Shares set forth for the higher and lower Stock Prices and the earlier and later Effective Dates or Redemption Notice Dates, as applicable, based on a 365-day year;</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9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greater than $60.00 per share (subject to adjustment in the same manner as the Stock Prices set forth in the column headings of the table above pursuant to subsection (d) above), no Additional Shares shall be added to the Conversion Rate;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$5.93 per share (subject to adjustment in the same manner as the Stock Prices set forth in the column headings of the table above pursuant to subsection (d) above), no Additional Shares shall be added to the Conversion Rate.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168.6340 shares of Common Stock, subject to adjustment in the same manner as the Conversion Rate pursuant to Section 14.04.</w:t>
      </w:r>
    </w:p>
    <w:p>
      <w:pPr>
        <w:spacing w:after="0" w:line="162" w:lineRule="exact"/>
        <w:rPr>
          <w:sz w:val="20"/>
          <w:szCs w:val="20"/>
          <w:color w:val="auto"/>
        </w:rPr>
      </w:pPr>
    </w:p>
    <w:p>
      <w:pPr>
        <w:ind w:firstLine="656"/>
        <w:spacing w:after="0" w:line="282" w:lineRule="auto"/>
        <w:tabs>
          <w:tab w:leader="none" w:pos="8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that would otherwise be required pursuant to Section 14.04 in respect of a Make-Whole Fundamental Change.</w:t>
      </w:r>
    </w:p>
    <w:p>
      <w:pPr>
        <w:spacing w:after="0" w:line="160" w:lineRule="exact"/>
        <w:rPr>
          <w:sz w:val="20"/>
          <w:szCs w:val="20"/>
          <w:color w:val="auto"/>
        </w:rPr>
      </w:pPr>
    </w:p>
    <w:p>
      <w:pPr>
        <w:jc w:val="both"/>
        <w:ind w:left="3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Section 14.04 Adjustment of Conversion Rate</w:t>
      </w:r>
      <w:r>
        <w:rPr>
          <w:rFonts w:ascii="Times New Roman" w:cs="Times New Roman" w:eastAsia="Times New Roman" w:hAnsi="Times New Roman"/>
          <w:sz w:val="18"/>
          <w:szCs w:val="18"/>
          <w:color w:val="auto"/>
        </w:rPr>
        <w:t>. The Conversion Rate shall be adjusted from time to time by the Company, without duplication,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if any of the following events occurs, except that the Company shall not make any adjustments to the Conversion Rate if Holders of the Notes participate (other than in the case of (x) a share split or share consolidation or (y)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184" w:lineRule="exact"/>
        <w:rPr>
          <w:sz w:val="20"/>
          <w:szCs w:val="20"/>
          <w:color w:val="auto"/>
        </w:rPr>
      </w:pPr>
    </w:p>
    <w:p>
      <w:pPr>
        <w:ind w:firstLine="656"/>
        <w:spacing w:after="0" w:line="282" w:lineRule="auto"/>
        <w:tabs>
          <w:tab w:leader="none" w:pos="8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shares of Common Stock as a dividend or distribution on all or substantially all of the outstanding shares of Common Stock, or if the Company effects a share split or share consolidation,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114300</wp:posOffset>
            </wp:positionV>
            <wp:extent cx="1285875" cy="4883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587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0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of such dividend or distribution, or</w:t>
            </w: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immediately prior to the open of business on the Effective Date of such share split or share consolidation, as applicable;</w:t>
            </w:r>
          </w:p>
        </w:tc>
      </w:tr>
      <w:tr>
        <w:trPr>
          <w:trHeight w:val="59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or Effective Date;</w:t>
            </w:r>
          </w:p>
        </w:tc>
      </w:tr>
      <w:tr>
        <w:trPr>
          <w:trHeight w:val="296"/>
        </w:trPr>
        <w:tc>
          <w:tcPr>
            <w:tcW w:w="580" w:type="dxa"/>
            <w:vAlign w:val="bottom"/>
          </w:tcPr>
          <w:p>
            <w:pPr>
              <w:spacing w:after="0" w:line="295" w:lineRule="exact"/>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open of business on such Ex-Dividend Date or Effective</w:t>
            </w: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Date (before giving effect to any such dividend, distribution, share split or share consolidation); and</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per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share split or share</w:t>
            </w: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consolidation.</w:t>
            </w:r>
          </w:p>
        </w:tc>
      </w:tr>
    </w:tbl>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consolidation,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56"/>
        <w:spacing w:after="0" w:line="258" w:lineRule="auto"/>
        <w:tabs>
          <w:tab w:leader="none" w:pos="9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to all or substantially all holders of the Common Stock any rights, options or warrants (other than in connection with a stockholder rights plan) entitling them, for a period of not more than forty five (45) calendar days after the announcement date of such issuance , to subscribe for or purchase shares of the Common Stock at a price per share that is less than the average of the Last Reported Sale Prices of the Common Stock for the ten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128270</wp:posOffset>
            </wp:positionV>
            <wp:extent cx="1285875" cy="420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587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906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issuance;</w:t>
            </w:r>
          </w:p>
        </w:tc>
      </w:tr>
      <w:tr>
        <w:trPr>
          <w:trHeight w:val="57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39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open of business on such Ex-Dividend Date;</w:t>
            </w:r>
          </w:p>
        </w:tc>
      </w:tr>
    </w:tbl>
    <w:p>
      <w:pPr>
        <w:spacing w:after="0" w:line="126"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the Common Stock issuable pursuant to such rights, options or warrants; and</w:t>
      </w:r>
    </w:p>
    <w:p>
      <w:pPr>
        <w:spacing w:after="0" w:line="223" w:lineRule="exact"/>
        <w:rPr>
          <w:sz w:val="20"/>
          <w:szCs w:val="20"/>
          <w:color w:val="auto"/>
        </w:rPr>
      </w:pPr>
    </w:p>
    <w:p>
      <w:pPr>
        <w:ind w:left="1300" w:hanging="1292"/>
        <w:spacing w:after="0" w:line="267" w:lineRule="auto"/>
        <w:tabs>
          <w:tab w:leader="none" w:pos="6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the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Common Stock over the ten (10) consecutive Trading Day period ending on, and including, the Trading Day immediately preceding the date of announcement of the issuance of such rights, options or warrants.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increase made under this Section 14.04(b) shall be made successively whenever any such rights, options or warrants are issued and shall become effective immediately after the open of business on the Ex-Dividend Date for such issuance. To the extent that such rights, options or warrants are not exercised prior to their expiration or the Common Stock is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upon exercise of such rights, options or warrants. If such rights, options or warrants are not so issued or if no such right, option or warrant is exercised prior to its expiration, the Conversion Rate shall be decreased to the Conversion Rate that would then be in effect if such Ex-Dividend Date for such issuance had not occurred.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14.04(b) and for the purpose of Section 14.01(b)(ii)(A), in determining whether any rights, options or warrants entitle the holders of Common Stock to subscribe for or purchase the Common Stock at less than such average of the Last Reported Sale Prices of the Common Stock for the ten (10) consecutive Trading Day period ending on, and including, the Trading Day immediately preceding the date of announcement of such issuance, and in determining the aggregate offering price of such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87" w:lineRule="exact"/>
        <w:rPr>
          <w:sz w:val="20"/>
          <w:szCs w:val="20"/>
          <w:color w:val="auto"/>
        </w:rPr>
      </w:pPr>
    </w:p>
    <w:p>
      <w:pPr>
        <w:jc w:val="both"/>
        <w:ind w:firstLine="656"/>
        <w:spacing w:after="0" w:line="254" w:lineRule="auto"/>
        <w:tabs>
          <w:tab w:leader="none" w:pos="8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as to which an adjustment was effected pursuant to Section 14.04(a) or Section 14.04(b), (ii) distributions of Reference Property in exchange for, or upon conversion of, Common Stock in a Merger Event, (iii) dividends or distributions paid exclusively in cash as to which the provisions set forth in Section 14.04(d) shall apply, (iv) a distribution solely pursuant to a tender offer or exchange offer for shares of the Common Stock, as to which the provisions set forth in Section 14.04(e) shall apply; (v) except as otherwise described below, rights issued pursuant to a stockholder rights plan of the Company; and (vi) Spin-Offs as to which the provisions set forth below in this Section 14.04(c) shall apply (any of such shares of Capital Stock, evidences of indebtedness, other assets or property or rights, options or warrants to acquire Common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131445</wp:posOffset>
            </wp:positionV>
            <wp:extent cx="1285875"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0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distribution;</w:t>
            </w:r>
          </w:p>
        </w:tc>
      </w:tr>
      <w:tr>
        <w:trPr>
          <w:trHeight w:val="57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296"/>
        </w:trPr>
        <w:tc>
          <w:tcPr>
            <w:tcW w:w="580" w:type="dxa"/>
            <w:vAlign w:val="bottom"/>
          </w:tcPr>
          <w:p>
            <w:pPr>
              <w:spacing w:after="0" w:line="295" w:lineRule="exact"/>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average of the Last Reported Sale Prices of the Common Stock over the ten (10) consecutive Trading Day period ending on, and</w:t>
            </w: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including, the Trading Day immediately preceding the Ex-Dividend Date for such distribution; and</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fair market value (as determined by the Board of Directors, taking into account the requirements of the principal U.S. national or</w:t>
            </w:r>
          </w:p>
        </w:tc>
      </w:tr>
      <w:tr>
        <w:trPr>
          <w:trHeight w:val="216"/>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regional securities exchange on which the Common Stock is then listed and TSX) of the Distributed Property with respect to each</w:t>
            </w: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outstanding share of the Common Stock on the Ex-Dividend Date for such distribution.</w:t>
            </w:r>
          </w:p>
        </w:tc>
      </w:tr>
      <w:tr>
        <w:trPr>
          <w:trHeight w:val="682"/>
        </w:trPr>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480"/>
              <w:spacing w:after="0"/>
              <w:rPr>
                <w:sz w:val="20"/>
                <w:szCs w:val="20"/>
                <w:color w:val="auto"/>
              </w:rPr>
            </w:pPr>
            <w:r>
              <w:rPr>
                <w:rFonts w:ascii="Times New Roman" w:cs="Times New Roman" w:eastAsia="Times New Roman" w:hAnsi="Times New Roman"/>
                <w:sz w:val="22"/>
                <w:szCs w:val="22"/>
                <w:color w:val="auto"/>
              </w:rPr>
              <w:t>74</w:t>
            </w:r>
          </w:p>
        </w:tc>
      </w:tr>
    </w:tbl>
    <w:p>
      <w:pPr>
        <w:sectPr>
          <w:pgSz w:w="11900" w:h="16838" w:orient="portrait"/>
          <w:cols w:equalWidth="0" w:num="1">
            <w:col w:w="11240"/>
          </w:cols>
          <w:pgMar w:left="320" w:top="904"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if “FMV” (as defined above) is equal to or greater than “SP0” (as defined above), in lieu of the foregoing increase, each Holder shall receive, in respect of each $1,000 principal amount thereof, at the same time and upon the same terms as holders of the Common Stock receive the Distributed Property, the amount and kind of Distributed Property that such Holder would have received if such Holder owned a number of shares of Common Stock equal to the Conversion Rate in effect immediately after the open of business on the Ex-Dividend Date for the distribution. Any increase made under the portion of this Section 14.04(c) above shall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If the Company issues rights, options or warrants that are only exercisable upon the occurrence of certain triggering events, then the Company shall not adjust the Conversion Rate pursuant to the this Section 14.04 until the earliest of these triggering events occurs, and the Company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Common Stock actually delivered upon exercise of such rights, options or warrants.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an adjustment pursuant to this Section 14.04(c) where there has been a payment of a dividend or other distribution on the Common Stock or shares of Capital Stock of any class or series, or similar equity interest, of or relating to a Subsidiary or other business unit of the Company, that are, or, when issued, will be, listed or admitted for trading on a U.S. national securities exchange or reasonably comparable non-U.S. equivalent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125730</wp:posOffset>
            </wp:positionV>
            <wp:extent cx="1285875" cy="325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58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0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end of the Valuation Period;</w:t>
            </w:r>
          </w:p>
        </w:tc>
      </w:tr>
      <w:tr>
        <w:trPr>
          <w:trHeight w:val="57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after the end of the Valuation Period;</w:t>
            </w:r>
          </w:p>
        </w:tc>
      </w:tr>
      <w:tr>
        <w:trPr>
          <w:trHeight w:val="296"/>
        </w:trPr>
        <w:tc>
          <w:tcPr>
            <w:tcW w:w="580" w:type="dxa"/>
            <w:vAlign w:val="bottom"/>
          </w:tcPr>
          <w:p>
            <w:pPr>
              <w:spacing w:after="0" w:line="295" w:lineRule="exact"/>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average of the Last Reported Sale Prices of the Capital Stock or similar equity interest distributed to holders of the Common Stock</w:t>
            </w:r>
          </w:p>
        </w:tc>
      </w:tr>
      <w:tr>
        <w:trPr>
          <w:trHeight w:val="211"/>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applicable to one share of the Common Stock (determined by reference to the definition of Last Reported Sale Price as set forth in</w:t>
            </w:r>
          </w:p>
        </w:tc>
      </w:tr>
      <w:tr>
        <w:trPr>
          <w:trHeight w:val="212"/>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1.01 as if references therein to Common Stock were to such Capital Stock or similar equity interest) over the first ten (10)</w:t>
            </w:r>
          </w:p>
        </w:tc>
      </w:tr>
      <w:tr>
        <w:trPr>
          <w:trHeight w:val="238"/>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consecutive Trading Day period beginning on,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average of the Last Reported Sale Prices of the Common Stock over the Valuation Period.</w:t>
            </w:r>
          </w:p>
        </w:tc>
      </w:tr>
      <w:tr>
        <w:trPr>
          <w:trHeight w:val="665"/>
        </w:trPr>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480"/>
              <w:spacing w:after="0"/>
              <w:rPr>
                <w:sz w:val="20"/>
                <w:szCs w:val="20"/>
                <w:color w:val="auto"/>
              </w:rPr>
            </w:pPr>
            <w:r>
              <w:rPr>
                <w:rFonts w:ascii="Times New Roman" w:cs="Times New Roman" w:eastAsia="Times New Roman" w:hAnsi="Times New Roman"/>
                <w:sz w:val="22"/>
                <w:szCs w:val="22"/>
                <w:color w:val="auto"/>
              </w:rPr>
              <w:t>75</w:t>
            </w:r>
          </w:p>
        </w:tc>
      </w:tr>
    </w:tbl>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Valuation Period, the reference to “10” in the preceding paragraph shall be deemed replaced with such lesser number of Trading Days as have elapsed between the Ex-Dividend Date for such Spin-Off and such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replaced with such lesser number of Trading Days as have elapsed between the Ex-Dividend Date for such Spin-Off and such Trading Day in determining the Conversion Rate as of such Trading Day. In addition, if the Ex-Dividend Date for such Spin-Off is after the 10th Trading Day immediately preceding, and including, the end of any Observation Period in respect of a conversion of Notes, references to “10” or “10th” in the preceding paragraph and this paragraph shall be deemed to be replaced, solely in respect of that conversion, with such lesser number of Trading Days as have elapsed from, and including, the Ex-Dividend Date of such Spin-Off to, and including, the last Trading Day of such Observation Period.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purposes of this Section 14.04(c) (and subject in all respect to Section 14.11), rights, options or warrants distributed by the Company to all holders of the Common Stock entitling them to subscribe for or purchase shares of Common Stock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(i) are deemed to be transferred with such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Section 14.04(a), Section 14.04(b) and this Section 14.04(c), if any dividend or distribution to which this Section 14.04(c) is applicable also includes one or both of:</w:t>
      </w:r>
    </w:p>
    <w:p>
      <w:pPr>
        <w:spacing w:after="0" w:line="158" w:lineRule="exact"/>
        <w:rPr>
          <w:sz w:val="20"/>
          <w:szCs w:val="20"/>
          <w:color w:val="auto"/>
        </w:rPr>
      </w:pPr>
    </w:p>
    <w:p>
      <w:pPr>
        <w:ind w:left="960" w:hanging="30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Common Stock to which Section 14.04(a)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14.04(b)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of the Clause A Distribution and the Clause B Distribution shall be deemed to be the Ex-Dividend Date of the Clause C Distribution and (II) any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92" w:lineRule="exact"/>
        <w:rPr>
          <w:sz w:val="20"/>
          <w:szCs w:val="20"/>
          <w:color w:val="auto"/>
        </w:rPr>
      </w:pPr>
    </w:p>
    <w:p>
      <w:pPr>
        <w:jc w:val="both"/>
        <w:ind w:firstLine="656"/>
        <w:spacing w:after="0" w:line="266" w:lineRule="auto"/>
        <w:tabs>
          <w:tab w:leader="none" w:pos="9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makes any cash dividend or distribution to all or substantially all holders of the Common Stock (excluding any dividend or distribution in connection with the liquidation, dissolution or winding up of the Company),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123190</wp:posOffset>
            </wp:positionV>
            <wp:extent cx="1285875" cy="3600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58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spacing w:after="0"/>
        <w:tabs>
          <w:tab w:leader="none" w:pos="640" w:val="left"/>
          <w:tab w:leader="none" w:pos="1280" w:val="left"/>
        </w:tabs>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Conversion Rate in effect immediately prior to the open of business on the Ex-Dividend Date for such dividend or distribution;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Conversion Rate in effect immediately after the open of business on the Ex-Dividend Date for such dividend or distribution;</w:t>
      </w:r>
    </w:p>
    <w:p>
      <w:pPr>
        <w:spacing w:after="0" w:line="215" w:lineRule="exact"/>
        <w:rPr>
          <w:sz w:val="20"/>
          <w:szCs w:val="20"/>
          <w:color w:val="auto"/>
        </w:rPr>
      </w:pPr>
    </w:p>
    <w:p>
      <w:pPr>
        <w:sectPr>
          <w:pgSz w:w="11900" w:h="16838" w:orient="portrait"/>
          <w:cols w:equalWidth="0" w:num="3">
            <w:col w:w="320" w:space="340"/>
            <w:col w:w="100" w:space="540"/>
            <w:col w:w="9940"/>
          </w:cols>
          <w:pgMar w:left="320" w:top="904" w:right="339" w:bottom="1440" w:gutter="0" w:footer="0" w:header="0"/>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Last Reported Sale Price of the Common Stock on the Trading Day immediately preceding the Ex-Dividend Date for such dividend or distribution; and</w:t>
      </w:r>
    </w:p>
    <w:p>
      <w:pPr>
        <w:spacing w:after="0" w:line="162" w:lineRule="exact"/>
        <w:rPr>
          <w:sz w:val="20"/>
          <w:szCs w:val="20"/>
          <w:color w:val="auto"/>
        </w:rPr>
      </w:pPr>
    </w:p>
    <w:p>
      <w:pPr>
        <w:sectPr>
          <w:pgSz w:w="11900" w:h="16838" w:orient="portrait"/>
          <w:cols w:equalWidth="0" w:num="3">
            <w:col w:w="280" w:space="380"/>
            <w:col w:w="100" w:space="540"/>
            <w:col w:w="9940"/>
          </w:cols>
          <w:pgMar w:left="320" w:top="904" w:right="339" w:bottom="1440" w:gutter="0" w:footer="0" w:header="0"/>
          <w:type w:val="continuous"/>
        </w:sect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cash per share the Company distributes to all or substantially all holders of the Common Stock.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at the same time and upon the same terms as holders of shares of the Common Stock, the amount of cash that such Holder would have received if such Holder owned a number of shares of Common Stock equal to the Conversion Rate immediately prior to the open of business on the Ex-Dividend Date for such cash dividend or distribution.</w:t>
      </w:r>
    </w:p>
    <w:p>
      <w:pPr>
        <w:spacing w:after="0" w:line="189" w:lineRule="exact"/>
        <w:rPr>
          <w:sz w:val="20"/>
          <w:szCs w:val="20"/>
          <w:color w:val="auto"/>
        </w:rPr>
      </w:pPr>
    </w:p>
    <w:p>
      <w:pPr>
        <w:jc w:val="both"/>
        <w:ind w:firstLine="656"/>
        <w:spacing w:after="0" w:line="258" w:lineRule="auto"/>
        <w:tabs>
          <w:tab w:leader="none" w:pos="89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ten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128270</wp:posOffset>
            </wp:positionV>
            <wp:extent cx="1285875" cy="283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587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00" w:type="dxa"/>
            <w:vAlign w:val="bottom"/>
          </w:tcPr>
          <w:p>
            <w:pPr>
              <w:spacing w:after="0"/>
              <w:rPr>
                <w:sz w:val="20"/>
                <w:szCs w:val="20"/>
                <w:color w:val="auto"/>
              </w:rPr>
            </w:pPr>
          </w:p>
        </w:tc>
      </w:tr>
      <w:tr>
        <w:trPr>
          <w:trHeight w:val="41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close of business on the 10th Trading Day immediately following, and including,</w:t>
            </w: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Trading Day next succeeding the date such tender or exchange offer expires;</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Rate in effect immediately after the close of business on the 10th Trading Day immediately following, and including, the</w:t>
            </w: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aggregate value of all cash and any other consideration (as determined by the Board of Directors) paid or payable for Common Stock</w:t>
            </w: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purchased in such tender or exchange offer;</w:t>
            </w:r>
          </w:p>
        </w:tc>
      </w:tr>
      <w:tr>
        <w:trPr>
          <w:trHeight w:val="682"/>
        </w:trPr>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480"/>
              <w:spacing w:after="0"/>
              <w:rPr>
                <w:sz w:val="20"/>
                <w:szCs w:val="20"/>
                <w:color w:val="auto"/>
              </w:rPr>
            </w:pPr>
            <w:r>
              <w:rPr>
                <w:rFonts w:ascii="Times New Roman" w:cs="Times New Roman" w:eastAsia="Times New Roman" w:hAnsi="Times New Roman"/>
                <w:sz w:val="22"/>
                <w:szCs w:val="22"/>
                <w:color w:val="auto"/>
              </w:rPr>
              <w:t>78</w:t>
            </w:r>
          </w:p>
        </w:tc>
      </w:tr>
    </w:tbl>
    <w:p>
      <w:pPr>
        <w:sectPr>
          <w:pgSz w:w="11900" w:h="16838" w:orient="portrait"/>
          <w:cols w:equalWidth="0" w:num="1">
            <w:col w:w="11240"/>
          </w:cols>
          <w:pgMar w:left="320" w:top="904" w:right="339" w:bottom="1440" w:gutter="0" w:footer="0" w:header="0"/>
          <w:type w:val="continuous"/>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date such tender or exchange offer expires (prior to giving</w:t>
            </w:r>
          </w:p>
        </w:tc>
      </w:tr>
      <w:tr>
        <w:trPr>
          <w:trHeight w:val="234"/>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to the purchase or exchange of all Common Stock accepted for purchase or exchange in such tender or exchange offer);</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perscript"/>
              </w:rPr>
              <w:t>1</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the date such tender or exchange offer expires (after giving effect</w:t>
            </w:r>
          </w:p>
        </w:tc>
      </w:tr>
      <w:tr>
        <w:trPr>
          <w:trHeight w:val="234"/>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the purchase or exchange of all Common Stock accepted for purchase or exchange in such tender or exchange offer); and</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perscript"/>
              </w:rPr>
              <w:t>1</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average of the Last Reported Sale Prices of the Common Stock over the ten (10) consecutive Trading Day period commencing on,</w:t>
            </w:r>
          </w:p>
        </w:tc>
      </w:tr>
      <w:tr>
        <w:trPr>
          <w:trHeight w:val="234"/>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including, the Trading Day next succeeding the date such tender or exchange offer expires.</w:t>
            </w:r>
          </w:p>
        </w:tc>
      </w:tr>
    </w:tbl>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ten (10) Trading Days immediately following, and including, the Trading Day next succeeding the expiration date of any tender or exchange offer, references to “10” or “10th” in the preceding paragraph shall be deemed replaced with such lesser number of Trading Days as have elapsed between the expiration date of such tender or exchange offer and such Conversion Date in determining the Conversion Rate and (y) in respect of any conversion of Notes for which Cash Settlement or Combination Settlement is applicable, for any Trading Day that falls within the relevant Observation Period for such conversion and within the ten (10) Trading Days immediately following, and including, the Trading Day next succeeding the expiration date of any tender or exchange offer, references to “10” or “10th” in the preceding paragraph shall be deemed replaced with such lesser number of Trading Days as have elapsed between the expiration date of such tender or exchange offer and such Trading Day in determining the Conversion Rate as of such Trading Day. In addition, if the Trading Day next succeeding the date such tender or exchange offer expires is after the 10th Trading Day immediately preceding, and including, the end of the Observation Period in respect of a conversion of Notes, references to “10” or “10th” in the preceding paragraph and this paragraph shall be deemed to be replaced, solely in respect of that conversion, with such lesser number of Trading Days as have elapsed from, and including, the Trading Day next succeeding the date such tender or exchange offer expires to, and including, the last Trading Day of such Observation Period. If the Company or one of is Subsidiaries is obligated to purchase shares of Common Stock pursuant to any such tender or exchange offer described in this Section 14.04(e) but the Company is, or such Subsidiary is, permanently prevented by applicable law from effecting any such purchase or all such purchases are rescinded, then the Conversion Rate will be decreased to be the Conversion Rate that would then be in effect if such tender or exchange offer had not been made or had been made on in respect of the purchases that have been effected.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0" w:name="page91"/>
    <w:bookmarkEnd w:id="90"/>
    <w:p>
      <w:pPr>
        <w:jc w:val="both"/>
        <w:ind w:firstLine="656"/>
        <w:spacing w:after="0" w:line="256" w:lineRule="auto"/>
        <w:tabs>
          <w:tab w:leader="none" w:pos="8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this Section 14.04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Common Stock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Common Stock on an unadjusted basis and participate in the related dividend, distribution or other event giving rise to such adjustment.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shares of Common Stock or any securities convertible into or exchangeable for shares of Common Stock or the right to purchase shares of Common Stock or such convertible or exchangeable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those adjustments required by clauses (a), (b), (c), (d) and (e) of this Section 14.04, and subject to applicable exchange listing standards of Nasdaq and the TSX, the Company from time to time may increase the Conversion Rate by any amount for a period of at least twenty (20) Business Days if the Board of Directors determines that such increase would be in the Company’s best interest. In addition, subject to applicable exchange listing standards of Nasdaq and the TSX, the Company may (but is not required to) increase the Conversion Rate to avoid or diminish income tax to holders of Common Stock or rights to purchase shares of the Common Stock in connection with a dividend or distribution of shares of Common Stock (or rights to acquire shares of Common Stock) or similar event.</w:t>
      </w:r>
    </w:p>
    <w:p>
      <w:pPr>
        <w:spacing w:after="0" w:line="18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in this Article 14, the Conversion Rate shall not be adjusted: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Stock at a price below the Conversion Price or otherwise, other than any such issuance described in clause (a), (b) or (c) of this Section 14.04;</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Stock pursuant to any present or future plan providing for the reinvestment of dividends or interest payable on the Company’s securities and the investment of additional optional amounts in shares of Common Stock under any plan;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3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Stock or options or rights to purchase those shares pursuant to any present or future employee, director or consultant benefit or incentive plan or program of or assumed by the Company or any of the Company’s Subsidiaries;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2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Stock pursuant to any option, warrant, right or exercisable, exchangeable or convertible security not described in clause (iii) of this subsection and outstanding as of the date the Notes were first issued;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of the Common Stock;</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5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repurchase of any of the Common Stock pursuant to an open-market share repurchase program or other buy-back transaction that is not a tender or exchange offer, including pursuant to an “ordinary course issuer bid” over the facilities of the TSX; or</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including Additional Amounts, if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right="20" w:firstLine="656"/>
        <w:spacing w:after="0" w:line="282" w:lineRule="auto"/>
        <w:tabs>
          <w:tab w:leader="none" w:pos="88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other determinations under this Article 14 shall be made by the Company and shall be made to the nearest one-ten thousandth (1/10,000th) of a share.</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1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the aggregate of all such deferred adjustments equals or exceeds 1% of the Conversion Rate, (ii) regardless of whether the aggregate adjustment is less than 1% of the applicable Conversion Rate, (x) on the Conversion Date for any Notes (in the case of Physical Settlement), or (y) on each Trading Day of any Observation Period related to any conversion of Notes (in the case of Cash Settlement or Combination Settlement), and (iii) on the effective date of any Make-Whole Fundamental Change, Termination of Trading and/or Fundamental Change, in each case, unless the adjustment has already been made.</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5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0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14.04, if: (i) a Note is to be converted, (ii) the Record Date or Effective Date for any event that requires an adjustment to the Conversion Rate pursuant to the provisions described in clauses (a) through (d) of this Section 14.04, inclusive, has occurred on or before the Conversion Date for such conversion, but an adjustment to the Conversion Rate for such event has not yet become effective as of such Conversion Date, (iii) the consideration due upon such conversion includes any whole shares of Common Stock, and (iv) such shares of Common Stock are not entitled to participate in such event (because they were not held on the related Record Date or otherwise), then, solely for purposes of such conversion, the Company shall, without duplication, give effect to such adjustment on such Conversion Date, and, for the avoidance of doubt, such shares of Common Stock will not be entitled to participate in such event. In such case, if the date the Company is otherwise required to deliver the consideration due upon such conversion is before the first date on which the amount of such adjustment can be determined, then the Company shall delay the settlement of such conversion until the second Business Day after such first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14.05 Adjustments of Prices. </w:t>
      </w:r>
      <w:r>
        <w:rPr>
          <w:rFonts w:ascii="Times New Roman" w:cs="Times New Roman" w:eastAsia="Times New Roman" w:hAnsi="Times New Roman"/>
          <w:sz w:val="18"/>
          <w:szCs w:val="18"/>
          <w:color w:val="auto"/>
        </w:rPr>
        <w:t>Whenever any provision of this Indenture requires the Company to calculate the Last Reported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the Daily VWAPs, the Daily Conversion Values or the Daily Settlement Amounts over a span of multiple days (including, without limitation, an Observation Period and the Stock Price for purposes of a Make-Whole Fundamental Change or a Notice of Optional Redemption), the Board of Directors shall, in good faith, make appropriate adjustments in a commercially reasonable manner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14.06 Shares to Be Fully Paid. </w:t>
      </w:r>
      <w:r>
        <w:rPr>
          <w:rFonts w:ascii="Times New Roman" w:cs="Times New Roman" w:eastAsia="Times New Roman" w:hAnsi="Times New Roman"/>
          <w:sz w:val="18"/>
          <w:szCs w:val="18"/>
          <w:color w:val="auto"/>
        </w:rPr>
        <w:t>The Company shall provide, free from preemptive rights, out of its authorized but unissued shares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held in treasury, sufficient shares of Common Stock to provide for conversion of the Notes from time to time as such Notes are presented for conversion (assuming delivery of the maximum number of Additional Shares pursuant to Section 14.03 and that at the time of computation of such number of shares, all such Notes would be converted by a single Holder and that Physical Settlement were applicable).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Section 14.07 Effect of Recapitalizations, Reclassifications and Changes of the Common Stock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0" w:hanging="244"/>
        <w:spacing w:after="0"/>
        <w:tabs>
          <w:tab w:leader="none" w:pos="5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225" w:lineRule="exact"/>
        <w:rPr>
          <w:rFonts w:ascii="Times New Roman" w:cs="Times New Roman" w:eastAsia="Times New Roman" w:hAnsi="Times New Roman"/>
          <w:sz w:val="18"/>
          <w:szCs w:val="18"/>
          <w:color w:val="auto"/>
        </w:rPr>
      </w:pPr>
    </w:p>
    <w:p>
      <w:pPr>
        <w:ind w:left="1180" w:hanging="216"/>
        <w:spacing w:after="0"/>
        <w:tabs>
          <w:tab w:leader="none" w:pos="11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Stock (other than changes resulting from a share split or consolidation),</w:t>
      </w:r>
    </w:p>
    <w:p>
      <w:pPr>
        <w:spacing w:after="0" w:line="225"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amalgamation, arrangement, binding share exchange or combination involving the Company,</w:t>
      </w:r>
    </w:p>
    <w:p>
      <w:pPr>
        <w:spacing w:after="0" w:line="225" w:lineRule="exact"/>
        <w:rPr>
          <w:rFonts w:ascii="Times New Roman" w:cs="Times New Roman" w:eastAsia="Times New Roman" w:hAnsi="Times New Roman"/>
          <w:sz w:val="18"/>
          <w:szCs w:val="18"/>
          <w:color w:val="auto"/>
        </w:rPr>
      </w:pPr>
    </w:p>
    <w:p>
      <w:pPr>
        <w:ind w:left="320" w:firstLine="644"/>
        <w:spacing w:after="0" w:line="282" w:lineRule="auto"/>
        <w:tabs>
          <w:tab w:leader="none" w:pos="128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or other transfer to a third party of all or substantially all of the consolidated assets of the Company and the Company’s Subsidiaries or</w:t>
      </w:r>
    </w:p>
    <w:p>
      <w:pPr>
        <w:spacing w:after="0" w:line="161" w:lineRule="exact"/>
        <w:rPr>
          <w:rFonts w:ascii="Times New Roman" w:cs="Times New Roman" w:eastAsia="Times New Roman" w:hAnsi="Times New Roman"/>
          <w:sz w:val="18"/>
          <w:szCs w:val="18"/>
          <w:color w:val="auto"/>
        </w:rPr>
      </w:pPr>
    </w:p>
    <w:p>
      <w:pPr>
        <w:ind w:left="1260" w:hanging="296"/>
        <w:spacing w:after="0"/>
        <w:tabs>
          <w:tab w:leader="none" w:pos="12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93" w:name="page94"/>
    <w:bookmarkEnd w:id="93"/>
    <w:p>
      <w:pPr>
        <w:jc w:val="both"/>
        <w:spacing w:after="0" w:line="252" w:lineRule="auto"/>
        <w:rPr>
          <w:sz w:val="20"/>
          <w:szCs w:val="20"/>
          <w:color w:val="auto"/>
        </w:rPr>
      </w:pPr>
      <w:r>
        <w:rPr>
          <w:rFonts w:ascii="Times New Roman" w:cs="Times New Roman" w:eastAsia="Times New Roman" w:hAnsi="Times New Roman"/>
          <w:sz w:val="18"/>
          <w:szCs w:val="18"/>
          <w:color w:val="auto"/>
        </w:rPr>
        <w:t>in each case, as a result of which the Common Stock would be converted into, or exchanged for, stock, other securities or other property or assets (including cash or any combination thereof) (any such event, a “</w:t>
      </w:r>
      <w:r>
        <w:rPr>
          <w:rFonts w:ascii="Times New Roman" w:cs="Times New Roman" w:eastAsia="Times New Roman" w:hAnsi="Times New Roman"/>
          <w:sz w:val="18"/>
          <w:szCs w:val="18"/>
          <w:b w:val="1"/>
          <w:bCs w:val="1"/>
          <w:color w:val="auto"/>
        </w:rPr>
        <w:t>Merger Event</w:t>
      </w:r>
      <w:r>
        <w:rPr>
          <w:rFonts w:ascii="Times New Roman" w:cs="Times New Roman" w:eastAsia="Times New Roman" w:hAnsi="Times New Roman"/>
          <w:sz w:val="18"/>
          <w:szCs w:val="18"/>
          <w:color w:val="auto"/>
        </w:rPr>
        <w:t>”), then, at and after the effective time of such Merger Event, the right to convert each $1,000 principal amount of Notes shall be changed into a right to convert such principal amount of Notes into the kind and amount of shares,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meaning the kind and amount of Reference Property that a holder of one share of Common Stock is entitled to receive) upon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Merger Event and, prior to or at the effective time of such Merger Event, the Company or the successor or purchasing Person, as the case may be, shall execute with the Trustee a supplemental indenture permitted under Section 10.01(h) providing for such change in the right to convert each $1,000 principal amount of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and after the effective time of the Merger Event (A) the Company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Common Stock that the Company would have been required to deliver upon conversion of the Notes in accordance with Section 14.02 shall instead be deliverable in the amount and type of Reference Property that a holder of that number shares of Common Stock would have received in such Merger Event and (III) the Daily VWAP and the Last Reported Sale Price shall be calculated based on the value of a unit of Reference Property.</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the Merger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of this paragraph attributable to one share of Common Stock. If the holders of the Common Stock receive only cash in such Merger Event, then for all conversions for which the relevant Conversion Date occurs after the effective date of such Merger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price paid per share of Common Stock in such Merger Event and (B) the Company shall satisfy the Conversion Obligation by paying cash to converting Holders on the second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supplemental indenture described in the second immediately preceding paragraph shall provide for anti-dilution and other adjustments that shall be as nearly equivalent as is possible to the adjustments provided for in this Article 14. If, in the case of any Merger Event, the Reference Property includes shares, securities or other property or assets (including any combination thereof) of a Person other than the Company or the successor or purchasing corporation, as the case may be, in such Merger Event, then such supplemental indenture shall also be executed by such other Person and shall contain such additional provisions to protect the interests of the Holders as the Board of Directors shall in good faith reasonably consider necessary by reason of the foregoing, including the provisions providing for the purchase rights set forth in Article 15.</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56"/>
        <w:spacing w:after="0" w:line="256" w:lineRule="auto"/>
        <w:tabs>
          <w:tab w:leader="none" w:pos="9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twenty (20) days after execution thereof. Failure to deliver such notice shall not affect the legality or validity of such supplemental indenture.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become a party to any Merger Event unless its terms are consistent with this Section 14.07. None of the foregoing provisions shall affect the right of a Holder of Notes to convert its Notes into cash, Common Stock or a combination of cash and Common Stock, as applicable, as set forth in Section 14.01 and Section 14.02 prior to the effective date of such Merger Event.</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Merger Events.</w:t>
      </w:r>
    </w:p>
    <w:p>
      <w:pPr>
        <w:spacing w:after="0" w:line="221" w:lineRule="exact"/>
        <w:rPr>
          <w:rFonts w:ascii="Times New Roman" w:cs="Times New Roman" w:eastAsia="Times New Roman" w:hAnsi="Times New Roman"/>
          <w:sz w:val="18"/>
          <w:szCs w:val="18"/>
          <w:color w:val="auto"/>
        </w:rPr>
      </w:pPr>
    </w:p>
    <w:p>
      <w:pPr>
        <w:ind w:firstLine="656"/>
        <w:spacing w:after="0" w:line="286" w:lineRule="auto"/>
        <w:tabs>
          <w:tab w:leader="none" w:pos="92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any Merger Event, references to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shall be deemed to refer to any Reference Property that constitutes Common Equity after giving effect to such Merger Event.</w:t>
      </w:r>
    </w:p>
    <w:p>
      <w:pPr>
        <w:spacing w:after="0" w:line="157" w:lineRule="exact"/>
        <w:rPr>
          <w:sz w:val="20"/>
          <w:szCs w:val="20"/>
          <w:color w:val="auto"/>
        </w:rPr>
      </w:pPr>
    </w:p>
    <w:p>
      <w:pPr>
        <w:ind w:lef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14.08 Certain Covenants. </w:t>
      </w:r>
      <w:r>
        <w:rPr>
          <w:rFonts w:ascii="Times New Roman" w:cs="Times New Roman" w:eastAsia="Times New Roman" w:hAnsi="Times New Roman"/>
          <w:sz w:val="18"/>
          <w:szCs w:val="18"/>
          <w:color w:val="auto"/>
        </w:rPr>
        <w:t>(a)The Company covenants that all shares of Common Stock issued upon conversion of Notes will be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and non-assessable by the Company and free from all taxes, liens and charges with respect to the issue thereof.</w:t>
      </w:r>
    </w:p>
    <w:p>
      <w:pPr>
        <w:spacing w:after="0" w:line="160" w:lineRule="exact"/>
        <w:rPr>
          <w:sz w:val="20"/>
          <w:szCs w:val="20"/>
          <w:color w:val="auto"/>
        </w:rPr>
      </w:pPr>
    </w:p>
    <w:p>
      <w:pPr>
        <w:jc w:val="both"/>
        <w:ind w:firstLine="656"/>
        <w:spacing w:after="0" w:line="261" w:lineRule="auto"/>
        <w:tabs>
          <w:tab w:leader="none" w:pos="9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left="34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14.09 Responsibility of Trustee. </w:t>
      </w:r>
      <w:r>
        <w:rPr>
          <w:rFonts w:ascii="Times New Roman" w:cs="Times New Roman" w:eastAsia="Times New Roman" w:hAnsi="Times New Roman"/>
          <w:sz w:val="18"/>
          <w:szCs w:val="18"/>
          <w:color w:val="auto"/>
        </w:rPr>
        <w:t>The Trustee and any other Conversion Agent shall not at any time be under any duty or responsibility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Common Stock, or of any securities, property or cash that may at any time be issued or delivered upon the conversion of any Note; and neither the Trustee nor any other Conversion Agent shall make any representations with respect thereto. Neither the Trustee nor any Conversion Agent shall be responsible for any failure of the Company to issue, transfer or deliver any Common Stock or share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or securities or property (including cash) receivable by Holders upon the conversion of their Notes after any event referred to in such Section 14.07 or to any adjustment to be made with respect thereto, but, subject to the provisions of Section 7.01, Section 7.02 and Section 7.07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14.10 Notice to Holders Prior to Certain Actions</w:t>
      </w:r>
      <w:r>
        <w:rPr>
          <w:rFonts w:ascii="Times New Roman" w:cs="Times New Roman" w:eastAsia="Times New Roman" w:hAnsi="Times New Roman"/>
          <w:sz w:val="18"/>
          <w:szCs w:val="18"/>
          <w:color w:val="auto"/>
        </w:rPr>
        <w:t>. In case of any: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action by the Company or one of its Subsidiaries that would require an adjustment in the Conversion Rate pursuant to Section 14.04 or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14.11; or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voluntary or involuntary dissolution, liquidation or winding-up of the Company;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promptly as possible but in any event at least ten (10) days prior to the applicable date hereinafter specified,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dissolution, liquidation or winding-up is expected to become effective or occur, and the date as of which it is expected that holders of Common Stock of record shall be entitled to exchange their Common Stock for securities or other property deliverable upon such dissolution, liquidation or winding-up. Failure to give such notice, or any defect therein, shall not affect the legality or validity of such action by the Company or one of its Subsidiaries, dissolution, liquidation or winding-up.</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6" w:name="page97"/>
    <w:bookmarkEnd w:id="96"/>
    <w:p>
      <w:pPr>
        <w:jc w:val="both"/>
        <w:ind w:left="3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14.11 Stockholder Rights Plans. </w:t>
      </w:r>
      <w:r>
        <w:rPr>
          <w:rFonts w:ascii="Times New Roman" w:cs="Times New Roman" w:eastAsia="Times New Roman" w:hAnsi="Times New Roman"/>
          <w:sz w:val="18"/>
          <w:szCs w:val="18"/>
          <w:color w:val="auto"/>
        </w:rPr>
        <w:t>If the Company has a stockholder rights plan in effect upon conversion of the Notes, each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Common Stock in accordance with the provisions of the applicable stockholder rights plan, the Conversion Rate shall be adjusted at the time of separation as if the Company distributed to all or substantially all holders of the Distributed Property as provided in Section 14.04(c), subject to readjustment in the event of the expiration, termination or redemption of such rights.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equirement 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ffer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epurchase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15.01 [Intentionally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15.02 Requirement to Offer to Repurchase Notes Upon a Fundamental Change.</w:t>
      </w:r>
    </w:p>
    <w:p>
      <w:pPr>
        <w:spacing w:after="0" w:line="227" w:lineRule="exact"/>
        <w:rPr>
          <w:sz w:val="20"/>
          <w:szCs w:val="20"/>
          <w:color w:val="auto"/>
        </w:rPr>
      </w:pPr>
    </w:p>
    <w:p>
      <w:pPr>
        <w:jc w:val="both"/>
        <w:ind w:firstLine="656"/>
        <w:spacing w:after="0" w:line="254" w:lineRule="auto"/>
        <w:tabs>
          <w:tab w:leader="none" w:pos="9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Fundamental Change occurs at any time, the Company shall be required to make an offer to repurchase for cash all of the outstanding Notes on the date (the “</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specified by the Company that is not less than twenty (20) Business Days or more than thirty five (35) Business Days following the date of the Fundamental Change Company Notice at a repurchase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excluding, the Fundamental Change Repurchase Date (the “</w:t>
      </w:r>
      <w:r>
        <w:rPr>
          <w:rFonts w:ascii="Times New Roman" w:cs="Times New Roman" w:eastAsia="Times New Roman" w:hAnsi="Times New Roman"/>
          <w:sz w:val="18"/>
          <w:szCs w:val="18"/>
          <w:b w:val="1"/>
          <w:bCs w:val="1"/>
          <w:color w:val="auto"/>
        </w:rPr>
        <w:t>Fundamental Change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unless the Fundamental Change Repurchase Date falls after a Regular Record Date but on or prior to the Interest Payment Date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Record Date relates, in which case the Company shall instead pay the full amount of accrued and unpaid interest to Holders of record as of such Regular Record Date, and the Fundamental Change Repurchase Price shall be equal to 100% of the principal amount of Notes to be repurchased pursuant to this Article 15.</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15.02 shall be made upon:</w:t>
      </w:r>
    </w:p>
    <w:p>
      <w:pPr>
        <w:spacing w:after="0" w:line="221" w:lineRule="exact"/>
        <w:rPr>
          <w:rFonts w:ascii="Times New Roman" w:cs="Times New Roman" w:eastAsia="Times New Roman" w:hAnsi="Times New Roman"/>
          <w:sz w:val="18"/>
          <w:szCs w:val="18"/>
          <w:color w:val="auto"/>
        </w:rPr>
      </w:pPr>
    </w:p>
    <w:p>
      <w:pPr>
        <w:jc w:val="both"/>
        <w:ind w:left="660" w:firstLine="644"/>
        <w:spacing w:after="0" w:line="259" w:lineRule="auto"/>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a Holder of a duly completed notice (the “</w:t>
      </w:r>
      <w:r>
        <w:rPr>
          <w:rFonts w:ascii="Times New Roman" w:cs="Times New Roman" w:eastAsia="Times New Roman" w:hAnsi="Times New Roman"/>
          <w:sz w:val="18"/>
          <w:szCs w:val="18"/>
          <w:b w:val="1"/>
          <w:bCs w:val="1"/>
          <w:color w:val="auto"/>
        </w:rPr>
        <w:t>Fundamental Change Repurchase Offer Acceptance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in the form set forth in Attachment 2 to the Form of Note attached hereto as Exhibit A, if the Notes are Definitive Notes,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the Depositary’s procedures for surrendering interests in Global Notes, if the Notes are Global Notes, on or before the close of business on the Business Day immediately preceding the Fundamental Change Repurchase Date (and in the case of Definitive Notes, Holders must deliver such notice on or before the second Business Day immediately preceding the Fundamental Change Repurchase Date); and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Definitive Notes, to the Paying Agent at any time after delivery of the Fundamental Change Repurchase Offer Acceptance Notice (together with all necessary endorsements for transfer) at the corporate trust office of the Paying Agent, or book-entry transfer of the Notes, if the Notes are Global Notes, in compliance with the procedures of the Depositary, in each case, such delivery or transfer being a condition to receipt by the Holder of the Fundamental Change Repurchase Price therefor.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The Fundamental Change Repurchase Offer Acceptance Notice in respect of any Definitive Notes to be repurchased shall state:</w:t>
      </w:r>
    </w:p>
    <w:p>
      <w:pPr>
        <w:spacing w:after="0" w:line="225" w:lineRule="exact"/>
        <w:rPr>
          <w:sz w:val="20"/>
          <w:szCs w:val="20"/>
          <w:color w:val="auto"/>
        </w:rPr>
      </w:pPr>
    </w:p>
    <w:p>
      <w:pPr>
        <w:ind w:left="1520" w:hanging="216"/>
        <w:spacing w:after="0"/>
        <w:tabs>
          <w:tab w:leader="none" w:pos="1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to be delivered for repurchase;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 integral multiple thereof;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Notes are Global Notes, to accept the Fundamental Change repurchase offer, Holders must surrender their Notes in accordance with applicable Depositary procedures.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Offer Acceptance Notice contemplated by this Section 15.02 shall have the right to withdraw, in whole or in part, such Fundamental Change Repurchase Offer Acceptance Notice at any time prior to the close of business on the Business Day immediately preceding the Fundamental Change Repurchase Date (and in the case of Definitive Notes, Holders must withdraw such notice on or before the second Business Day immediately preceding the Fundamental Change Repurchase Date) by delivery of a written notice of withdrawal to the Paying Agent in accordance with Section 15.03.</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Paying Agent shall promptly notify the Company of the receipt by it of any Fundamental Change Repurchase Offer Acceptance Notice or written notice of withdrawal thereof.</w:t>
      </w:r>
    </w:p>
    <w:p>
      <w:pPr>
        <w:spacing w:after="0" w:line="162" w:lineRule="exact"/>
        <w:rPr>
          <w:sz w:val="20"/>
          <w:szCs w:val="20"/>
          <w:color w:val="auto"/>
        </w:rPr>
      </w:pPr>
    </w:p>
    <w:p>
      <w:pPr>
        <w:jc w:val="both"/>
        <w:ind w:firstLine="656"/>
        <w:spacing w:after="0" w:line="255" w:lineRule="auto"/>
        <w:tabs>
          <w:tab w:leader="none" w:pos="9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day after the occurrence of the effective date of a Fundamental Change, the Company shall provide to all Holders, the Trustee, the Conversion Agent (if other than the Trustee) and the Paying Agent (if other than the Trustee) a notice (the “</w:t>
      </w:r>
      <w:r>
        <w:rPr>
          <w:rFonts w:ascii="Times New Roman" w:cs="Times New Roman" w:eastAsia="Times New Roman" w:hAnsi="Times New Roman"/>
          <w:sz w:val="18"/>
          <w:szCs w:val="18"/>
          <w:b w:val="1"/>
          <w:bCs w:val="1"/>
          <w:color w:val="auto"/>
        </w:rPr>
        <w:t>Fundamental Change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the occurrence of the effective date of the Fundamental Change and containing an offer to repurchase the outstanding Notes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Change Repurchase Date at the Fundamental Change Repurchase Price. In the case of Definitive Notes, such notice shall be by first class mail or, in the case of Global Notes, such notice shall be delivered in accordance with the applicable procedures of the Depositary. Simultaneously with providing such notice, the Company shall publish such information on the Company’s website and in a press release or through such other public medium as the Company may use at that time. Each Fundamental Change Company Notice shall specify:</w:t>
      </w:r>
    </w:p>
    <w:p>
      <w:pPr>
        <w:spacing w:after="0" w:line="18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Fundamental Change;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1620" w:hanging="316"/>
        <w:spacing w:after="0"/>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accept the repurchase offer pursuant to this Article 15;</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 if applicable;</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 as a result of the Fundamental Change (or related Make-Whole Fundamental Change);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Offer Acceptance Notice has been delivered by a Holder may be converted only if the Holder withdraws the Fundamental Change Repurchase Offer Acceptance Notice in accordance with the terms of this Indenture; and</w:t>
      </w:r>
    </w:p>
    <w:p>
      <w:pPr>
        <w:spacing w:after="0" w:line="17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for the Company to repurchase their Notes.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Company’s obligation to make an offer to repurchase to the Holders or affect the validity of the proceedings for the repurchase of the Notes pursuant to this Section 15.02.</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At the Company’s request, the Trustee shall give such notice in the Company’s name and at the Company’s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all cases, the text of such Fundamental Change Company Notice shall be prepared by the Company.</w:t>
      </w:r>
    </w:p>
    <w:p>
      <w:pPr>
        <w:spacing w:after="0" w:line="160" w:lineRule="exact"/>
        <w:rPr>
          <w:sz w:val="20"/>
          <w:szCs w:val="20"/>
          <w:color w:val="auto"/>
        </w:rPr>
      </w:pPr>
    </w:p>
    <w:p>
      <w:pPr>
        <w:jc w:val="both"/>
        <w:ind w:firstLine="656"/>
        <w:spacing w:after="0" w:line="254" w:lineRule="auto"/>
        <w:tabs>
          <w:tab w:leader="none" w:pos="93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as applicable). The Paying Agent will promptly return to the respective Holders thereof any Definitive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Offer Acceptance Notice with respect thereto shall be deemed to have been withdrawn.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left="3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15.03 Withdrawal of Fundamental Change Repurchase Offer Acceptance Notice. </w:t>
      </w:r>
      <w:r>
        <w:rPr>
          <w:rFonts w:ascii="Times New Roman" w:cs="Times New Roman" w:eastAsia="Times New Roman" w:hAnsi="Times New Roman"/>
          <w:sz w:val="18"/>
          <w:szCs w:val="18"/>
          <w:color w:val="auto"/>
        </w:rPr>
        <w:t>(a) A Fundamental Change Repurchase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Notice may be withdrawn (in whole or in part) in respect of Definitive Notes by means of a written notice of withdrawal delivered to the Paying Agent in accordance with this Section 15.03 at any time on or before the second Business Day immediately preceding the Fundamental Change Repurchase Date, specifying:</w:t>
      </w:r>
    </w:p>
    <w:p>
      <w:pPr>
        <w:spacing w:after="0" w:line="182" w:lineRule="exact"/>
        <w:rPr>
          <w:sz w:val="20"/>
          <w:szCs w:val="20"/>
          <w:color w:val="auto"/>
        </w:rPr>
      </w:pPr>
    </w:p>
    <w:p>
      <w:pPr>
        <w:ind w:left="660" w:firstLine="644"/>
        <w:spacing w:after="0" w:line="282" w:lineRule="auto"/>
        <w:tabs>
          <w:tab w:leader="none" w:pos="15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 which must be $1,000 or an integral multiple thereof,</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 of the Note in respect of which such notice of withdrawal is being submitted,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3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Offer Acceptance Notice, which portion must be in principal amounts of $1,000 or an integral multiple of $1,000;</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Notes are Global Notes, Holders may withdraw their Notes subject to repurchase at any time prior to the close of business on the Business Day immediately preceding the Fundamental Change Repurchase Date in accordance with applicable procedures of the Depositary.</w:t>
      </w:r>
    </w:p>
    <w:p>
      <w:pPr>
        <w:spacing w:after="0" w:line="160"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Section 15.04 Deposit of Fundamental Change Repurchase Price. </w:t>
      </w:r>
      <w:r>
        <w:rPr>
          <w:rFonts w:ascii="Times New Roman" w:cs="Times New Roman" w:eastAsia="Times New Roman" w:hAnsi="Times New Roman"/>
          <w:sz w:val="18"/>
          <w:szCs w:val="18"/>
          <w:color w:val="auto"/>
        </w:rPr>
        <w:t>(a) The Company will deposit with the Trustee (or other Paying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appointed by the Company, or if the Company is acting as its own Paying Agent, set aside, segregate and hold in trust as provided in Section 4.04 and Section 7.05)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in the case of Global Notes, and on or before the second Business Day immediately preceding the Fundamental Change Repurchase Date, in the case of Definitive Notes) will be made on the later of (i) the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payments to the Depositary shall be made by wire transfer of immediately available funds to the account of the Depositary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nominee. The Trustee shall, promptly after such payment and upon written demand by the Company, return to the Company any funds in excess of the Fundamental Change Repurchase Price.</w:t>
      </w:r>
    </w:p>
    <w:p>
      <w:pPr>
        <w:spacing w:after="0" w:line="189" w:lineRule="exact"/>
        <w:rPr>
          <w:sz w:val="20"/>
          <w:szCs w:val="20"/>
          <w:color w:val="auto"/>
        </w:rPr>
      </w:pPr>
    </w:p>
    <w:p>
      <w:pPr>
        <w:jc w:val="both"/>
        <w:ind w:firstLine="656"/>
        <w:spacing w:after="0" w:line="256" w:lineRule="auto"/>
        <w:tabs>
          <w:tab w:leader="none" w:pos="92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11:00 a.m. New York City time, on the Fundamental Change Repurchase Date, the Trustee (or other Paying Agent appointed by the Company) holds money sufficient to pay the Fundamental Change Repurchase Price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0" w:name="page101"/>
    <w:bookmarkEnd w:id="100"/>
    <w:p>
      <w:pPr>
        <w:jc w:val="both"/>
        <w:ind w:firstLine="656"/>
        <w:spacing w:after="0" w:line="266" w:lineRule="auto"/>
        <w:tabs>
          <w:tab w:leader="none" w:pos="9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Section 15.05 Covenant to Comply with Applicable Laws Upon Repurchase of Notes. </w:t>
      </w:r>
      <w:r>
        <w:rPr>
          <w:rFonts w:ascii="Times New Roman" w:cs="Times New Roman" w:eastAsia="Times New Roman" w:hAnsi="Times New Roman"/>
          <w:sz w:val="18"/>
          <w:szCs w:val="18"/>
          <w:color w:val="auto"/>
        </w:rPr>
        <w:t>In connection with any repurchase offer upon a</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Fundamental Change pursuant to this Article 15, the Company will, if required:</w:t>
      </w:r>
    </w:p>
    <w:p>
      <w:pPr>
        <w:spacing w:after="0" w:line="207" w:lineRule="exact"/>
        <w:rPr>
          <w:sz w:val="20"/>
          <w:szCs w:val="20"/>
          <w:color w:val="auto"/>
        </w:rPr>
      </w:pPr>
    </w:p>
    <w:p>
      <w:pPr>
        <w:ind w:firstLine="656"/>
        <w:spacing w:after="0" w:line="282" w:lineRule="auto"/>
        <w:tabs>
          <w:tab w:leader="none" w:pos="89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Rule 13e-4, Rule 14e-1 and any other tender offer rules under the Exchange Act that may then be applicable, and any requirements of Canadian securities laws that may then be applicable;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all materials required under applicable U.S. and Canadian securities laws or other applicable laws;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U.S. federal and state and Canadian securities laws in connection with any offer by the Company to repurchase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so as to permit the rights and obligations under this Article 15 to be exercised in the time and in the manner specified in this Article 15.</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this Indenture, the Company shall not be required to repurchase, or to make an offer to repurchase, the Notes upon a Fundamental Change if a third party makes such an offer in the same manner, at the same time and otherwise in compliance with the requirements for such an offer made by the Company as if the Company made it, and such third party purchases all Notes properly surrendered and not validly withdrawn under its offer in the same manner, at the same time and otherwise in compliance with the requirements for an offer made by us as set forth in this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p>
    <w:p>
      <w:pPr>
        <w:spacing w:after="0" w:line="223" w:lineRule="exact"/>
        <w:rPr>
          <w:sz w:val="20"/>
          <w:szCs w:val="20"/>
          <w:color w:val="auto"/>
        </w:rPr>
      </w:pPr>
    </w:p>
    <w:p>
      <w:pPr>
        <w:jc w:val="both"/>
        <w:ind w:left="3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16.01 Optional Redemption. </w:t>
      </w:r>
      <w:r>
        <w:rPr>
          <w:rFonts w:ascii="Times New Roman" w:cs="Times New Roman" w:eastAsia="Times New Roman" w:hAnsi="Times New Roman"/>
          <w:sz w:val="18"/>
          <w:szCs w:val="18"/>
          <w:color w:val="auto"/>
        </w:rPr>
        <w:t>The Notes shall not be redeemable by the Company prior to July 20, 2029. On or after July 20, 2029,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redeem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for cash all or any portion of the Notes, at its option, at the Redemption Price, if the Last Reported Sale Price of the Common Stock for at least twenty (20) Trading Days (whether or not consecutive) during any thirty (30) consecutive Trading Day period (including the last Trading Day of such period) ending on, and including, the Trading Day immediately preceding the date on which the Company provides the Notice of Optional Redemption in accordance with Section 16.02 has been at least 130% of the Conversion Price then in effect on each such Trading Day.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left="34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16.02 Notice of Optional Redemption; Selection of Notes. </w:t>
      </w:r>
      <w:r>
        <w:rPr>
          <w:rFonts w:ascii="Times New Roman" w:cs="Times New Roman" w:eastAsia="Times New Roman" w:hAnsi="Times New Roman"/>
          <w:sz w:val="18"/>
          <w:szCs w:val="18"/>
          <w:color w:val="auto"/>
        </w:rPr>
        <w:t>(a) In case the Company exercises its Optional Redemption right to redeem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or, as the case may be, any part of the Notes pursuant to Section 16.01, it shall fix a Redemption Date and it or, at its written request received by the Trustee not less than five (5) Business Days prior to the date such Notice of Optional Redemption is to be sent (or such shorter period of time as may be acceptable to the Trustee), the Trustee, in the name of and at the expense of the Company, shall deliver or cause to be delivered a notice of such Optional Redemption (a “</w:t>
      </w:r>
      <w:r>
        <w:rPr>
          <w:rFonts w:ascii="Times New Roman" w:cs="Times New Roman" w:eastAsia="Times New Roman" w:hAnsi="Times New Roman"/>
          <w:sz w:val="18"/>
          <w:szCs w:val="18"/>
          <w:b w:val="1"/>
          <w:bCs w:val="1"/>
          <w:color w:val="auto"/>
        </w:rPr>
        <w:t>Notice of Optional Redemption</w:t>
      </w:r>
      <w:r>
        <w:rPr>
          <w:rFonts w:ascii="Times New Roman" w:cs="Times New Roman" w:eastAsia="Times New Roman" w:hAnsi="Times New Roman"/>
          <w:sz w:val="18"/>
          <w:szCs w:val="18"/>
          <w:color w:val="auto"/>
        </w:rPr>
        <w:t xml:space="preserve">”) not less than forty (40) nor more than seventy (70) Scheduled Trading Days prior to the Redemption Date to each Holder so to be redeemed as a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shall give such notice, it shall also give the Notice of Optional Redemption to the Trustee and the Paying Agent (if other than the Trustee);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Company elects Physical Settlement in such Notice of Optional Redemption in respect of all conversions with a Conversion Date that occurs on or after the date the Company provides such Notice of Optional Redemption and before the related Redemption Date in accordance with Section 14.02(a)(iii) or if Physical Settlement otherwise applies as a result of the Company’s irrevocable election, in each case the Company may provide such notice not less than fifteen</w:t>
      </w:r>
    </w:p>
    <w:p>
      <w:pPr>
        <w:spacing w:after="0" w:line="7" w:lineRule="exact"/>
        <w:rPr>
          <w:sz w:val="20"/>
          <w:szCs w:val="20"/>
          <w:color w:val="auto"/>
        </w:rPr>
      </w:pPr>
    </w:p>
    <w:p>
      <w:pPr>
        <w:ind w:left="340" w:hanging="8"/>
        <w:spacing w:after="0" w:line="260" w:lineRule="auto"/>
        <w:tabs>
          <w:tab w:leader="none" w:pos="6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 more than seventy five (75) calendar days before such Redemption Date. The Redemption Date must be a Business Day and the Company may not specify a Redemption Date that falls on or after the 31st Scheduled Trading Day immediately preceding the Maturity Date.</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92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Optional Redemption, if delivered in the manner herein provided, shall be conclusively presumed to have been duly given, whether or not the Holder receives such notice. In any case, failure to give such Notice of Optional Redemption or any defect in the Notice of Optional Redemption to the Holder of any Note designated for redemption as a whole or in part shall not affect the validity of the proceedings for the redemption of any other Note.</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Optional Redemption shall specify: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Note to be redeemed, and that interest thereon, if any, shall cease to accrue on and after the Redemption Date;</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may surrender their Notes for conversion at any time prior to the close of business on the second Scheduled Trading Day immediately preceding the Redemption Date;</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Notes and the Settlement Method and Specified Dollar Amount, if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2" w:name="page103"/>
    <w:bookmarkEnd w:id="102"/>
    <w:p>
      <w:pPr>
        <w:ind w:left="1300"/>
        <w:spacing w:after="0"/>
        <w:rPr>
          <w:sz w:val="20"/>
          <w:szCs w:val="20"/>
          <w:color w:val="auto"/>
        </w:rPr>
      </w:pPr>
      <w:r>
        <w:rPr>
          <w:rFonts w:ascii="Times New Roman" w:cs="Times New Roman" w:eastAsia="Times New Roman" w:hAnsi="Times New Roman"/>
          <w:sz w:val="18"/>
          <w:szCs w:val="18"/>
          <w:color w:val="auto"/>
        </w:rPr>
        <w:t>(vii) the Conversion Rate and, if applicable, the number of Additional Shares added to the Conversion Rate in accordance with Section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14.03;</w:t>
      </w:r>
    </w:p>
    <w:p>
      <w:pPr>
        <w:spacing w:after="0" w:line="207" w:lineRule="exact"/>
        <w:rPr>
          <w:sz w:val="20"/>
          <w:szCs w:val="20"/>
          <w:color w:val="auto"/>
        </w:rPr>
      </w:pPr>
    </w:p>
    <w:p>
      <w:pPr>
        <w:ind w:left="1700" w:hanging="396"/>
        <w:spacing w:after="0"/>
        <w:tabs>
          <w:tab w:leader="none" w:pos="1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3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Optional Redemption shall be irrevocable.</w:t>
      </w:r>
    </w:p>
    <w:p>
      <w:pPr>
        <w:spacing w:after="0" w:line="225" w:lineRule="exact"/>
        <w:rPr>
          <w:sz w:val="20"/>
          <w:szCs w:val="20"/>
          <w:color w:val="auto"/>
        </w:rPr>
      </w:pPr>
    </w:p>
    <w:p>
      <w:pPr>
        <w:jc w:val="both"/>
        <w:ind w:firstLine="656"/>
        <w:spacing w:after="0" w:line="258" w:lineRule="auto"/>
        <w:tabs>
          <w:tab w:leader="none" w:pos="9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fewer than all of the outstanding Notes are to be redeemed, the Notes to be redeemed will be selected, in the case of Notes represented by a Global Note, according to the Depositary’s applicable procedures, or, in the case of Notes represented by a Definitive Note, the Notes or portions thereof to be redeemed shall be selected (in principal amounts of $1,000 or multiples thereof) by lot or on </w:t>
      </w:r>
      <w:r>
        <w:rPr>
          <w:rFonts w:ascii="Times New Roman" w:cs="Times New Roman" w:eastAsia="Times New Roman" w:hAnsi="Times New Roman"/>
          <w:sz w:val="18"/>
          <w:szCs w:val="18"/>
          <w:i w:val="1"/>
          <w:iCs w:val="1"/>
          <w:color w:val="auto"/>
        </w:rPr>
        <w:t>a pro rata</w:t>
      </w:r>
      <w:r>
        <w:rPr>
          <w:rFonts w:ascii="Times New Roman" w:cs="Times New Roman" w:eastAsia="Times New Roman" w:hAnsi="Times New Roman"/>
          <w:sz w:val="18"/>
          <w:szCs w:val="18"/>
          <w:color w:val="auto"/>
        </w:rPr>
        <w:t xml:space="preserve"> basis.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16.03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Section 16.04 [Reserved].</w:t>
      </w:r>
    </w:p>
    <w:p>
      <w:pPr>
        <w:spacing w:after="0" w:line="225"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16.05 Payment of Notes Called for Redemption. </w:t>
      </w:r>
      <w:r>
        <w:rPr>
          <w:rFonts w:ascii="Times New Roman" w:cs="Times New Roman" w:eastAsia="Times New Roman" w:hAnsi="Times New Roman"/>
          <w:sz w:val="18"/>
          <w:szCs w:val="18"/>
          <w:color w:val="auto"/>
        </w:rPr>
        <w:t>(a) If any Notice of Optional Redemption has been given in respect of the Notes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Section 16.02, the Notes shall become due and payable on the Redemption Date at the place or places stated in the Notice of Optional Redemption and at the applicable Redemption Price. On presentation and surrender of the Notes at the place or places stated in the Notice of Optional Redemption, the Notes shall be paid and redeemed by the Company at the applicable Redemption Price.</w:t>
      </w:r>
    </w:p>
    <w:p>
      <w:pPr>
        <w:spacing w:after="0" w:line="182" w:lineRule="exact"/>
        <w:rPr>
          <w:sz w:val="20"/>
          <w:szCs w:val="20"/>
          <w:color w:val="auto"/>
        </w:rPr>
      </w:pPr>
    </w:p>
    <w:p>
      <w:pPr>
        <w:jc w:val="both"/>
        <w:ind w:firstLine="656"/>
        <w:spacing w:after="0" w:line="256" w:lineRule="auto"/>
        <w:tabs>
          <w:tab w:leader="none" w:pos="91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11:00 a.m. New York City time on the Redemption Date, the Company shall deposit with the Paying Agent or, if the Company or a Subsidiary of the Company is acting as the Paying Agent, shall segregate and hold in trust as provided in Section 4.04 and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left="34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Section 16.06 Restrictions on Redemption. </w:t>
      </w:r>
      <w:r>
        <w:rPr>
          <w:rFonts w:ascii="Times New Roman" w:cs="Times New Roman" w:eastAsia="Times New Roman" w:hAnsi="Times New Roman"/>
          <w:sz w:val="17"/>
          <w:szCs w:val="17"/>
          <w:color w:val="auto"/>
        </w:rPr>
        <w:t>The Company may not redeem any Notes on any date if the principal amount of the Notes has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 as applicable).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p>
      <w:pPr>
        <w:spacing w:after="0" w:line="223" w:lineRule="exact"/>
        <w:rPr>
          <w:sz w:val="20"/>
          <w:szCs w:val="20"/>
          <w:color w:val="auto"/>
        </w:rPr>
      </w:pPr>
    </w:p>
    <w:p>
      <w:pPr>
        <w:jc w:val="both"/>
        <w:ind w:lef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17.01 Provisions Binding on Company’s Successors. </w:t>
      </w:r>
      <w:r>
        <w:rPr>
          <w:rFonts w:ascii="Times New Roman" w:cs="Times New Roman" w:eastAsia="Times New Roman" w:hAnsi="Times New Roman"/>
          <w:sz w:val="18"/>
          <w:szCs w:val="18"/>
          <w:color w:val="auto"/>
        </w:rPr>
        <w:t>All the covenants, stipulations, promises and agreements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this Indenture shall bind its successors and assigns whether so expressed or not.</w:t>
      </w:r>
    </w:p>
    <w:p>
      <w:pPr>
        <w:spacing w:after="0" w:line="158" w:lineRule="exact"/>
        <w:rPr>
          <w:sz w:val="20"/>
          <w:szCs w:val="20"/>
          <w:color w:val="auto"/>
        </w:rPr>
      </w:pPr>
    </w:p>
    <w:p>
      <w:pPr>
        <w:jc w:val="both"/>
        <w:ind w:lef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17.02 Official Acts by Successor Corporation. </w:t>
      </w:r>
      <w:r>
        <w:rPr>
          <w:rFonts w:ascii="Times New Roman" w:cs="Times New Roman" w:eastAsia="Times New Roman" w:hAnsi="Times New Roman"/>
          <w:sz w:val="18"/>
          <w:szCs w:val="18"/>
          <w:color w:val="auto"/>
        </w:rPr>
        <w:t>Any act or proceeding by any provision of this Indenture authorized or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73"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17.03 Addresses for Notices, Etc. </w:t>
      </w:r>
      <w:r>
        <w:rPr>
          <w:rFonts w:ascii="Times New Roman" w:cs="Times New Roman" w:eastAsia="Times New Roman" w:hAnsi="Times New Roman"/>
          <w:sz w:val="18"/>
          <w:szCs w:val="18"/>
          <w:color w:val="auto"/>
        </w:rPr>
        <w:t>Any notice or demand that by any provision of this Indenture is required or permitted to be given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by the Trustee or by the Holders on the Company or the Guarantor shall be deemed to have been sufficiently given or made, for all purposes if given or served by overnight courier or by being deposited postage prepaid by registered or certified mail in a post office letter box addressed (until another address is filed by the Company or the Guarantor with the Trustee) to Keel Infrastructure Corp., Attention: Legal Department, [***]; copy to: CFO, Jonathan Mir, [***].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notice or communication delivered or to be delivered to a Holder of Definitive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4" w:name="page105"/>
    <w:bookmarkEnd w:id="104"/>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xml:space="preserve"> given pursuant to this Indenture and delivered using Electronic Means;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provide to the Trustee an incumbency certificate listing officers with the authority to provide such Instructions (“</w:t>
      </w:r>
      <w:r>
        <w:rPr>
          <w:rFonts w:ascii="Times New Roman" w:cs="Times New Roman" w:eastAsia="Times New Roman" w:hAnsi="Times New Roman"/>
          <w:sz w:val="18"/>
          <w:szCs w:val="18"/>
          <w:b w:val="1"/>
          <w:bCs w:val="1"/>
          <w:color w:val="auto"/>
        </w:rPr>
        <w:t>Authorized Officers”)</w:t>
      </w:r>
      <w:r>
        <w:rPr>
          <w:rFonts w:ascii="Times New Roman" w:cs="Times New Roman" w:eastAsia="Times New Roman" w:hAnsi="Times New Roman"/>
          <w:sz w:val="18"/>
          <w:szCs w:val="18"/>
          <w:color w:val="auto"/>
        </w:rPr>
        <w:t xml:space="preserve">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4"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17.04 Governing Law; Jurisdiction. </w:t>
      </w:r>
      <w:r>
        <w:rPr>
          <w:rFonts w:ascii="Times New Roman" w:cs="Times New Roman" w:eastAsia="Times New Roman" w:hAnsi="Times New Roman"/>
          <w:sz w:val="18"/>
          <w:szCs w:val="18"/>
          <w:color w:val="auto"/>
        </w:rPr>
        <w:t>THIS INDENTURE, THE GUARANTEE AND EACH NOTE, AND ANY CLAIM,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CONTROVERSY OR DISPUTE ARISING UNDER OR RELATED TO THIS INDENTURE AND EACH NOTE, SHALL BE GOVERNED BY, AND CONSTRUED IN ACCORDANCE WITH, THE LAWS OF THE STATE OF NEW YORK (WITHOUT REGARD TO THE CONFLICTS OF LAWS PROVISIONS THEREOF).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Company and the Guarantor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any United States federal or State of New York court located in the Borough of Manhattan, New York City, New York and, until amounts due and to become due in respect of the Notes have been paid, hereby irrevocably consents and submits to the non-exclusive jurisdiction of each such court with respect to any such legal action, suit or proceeding for itself in respect of its properties, assets and revenues.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Company and the Guarantor irrevocably and unconditionally waives, to the fullest extent permitted by law, any objection which it may now or hereafter have to the laying of venue of any of the aforesaid actions, suits or proceedings arising out of or in connection with this Indenture brought in any United States federal or State of New York court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Guarantor shall appoint the Company as its agent for service of process in any suit, action or proceeding with respect to its Guarantee, this Indenture and the Notes and for actions brought under the U.S. federal or state securities laws brought in any U.S. federal or state court located in the Borough of Manhattan in the City of New York. Service of any process on the Company in any such action (and written notice of such service to the Guarantor) shall be effective service of process against the Guarantor for any suit, action or proceeding brought in any such court.</w:t>
      </w:r>
    </w:p>
    <w:p>
      <w:pPr>
        <w:spacing w:after="0" w:line="178" w:lineRule="exact"/>
        <w:rPr>
          <w:sz w:val="20"/>
          <w:szCs w:val="20"/>
          <w:color w:val="auto"/>
        </w:rPr>
      </w:pPr>
    </w:p>
    <w:p>
      <w:pPr>
        <w:jc w:val="both"/>
        <w:ind w:lef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17.05 Evidence of Compliance with Conditions Precedent; Certificates and Opinions of Counsel to Trustee. </w:t>
      </w:r>
      <w:r>
        <w:rPr>
          <w:rFonts w:ascii="Times New Roman" w:cs="Times New Roman" w:eastAsia="Times New Roman" w:hAnsi="Times New Roman"/>
          <w:sz w:val="18"/>
          <w:szCs w:val="18"/>
          <w:color w:val="auto"/>
        </w:rPr>
        <w:t>Upon any application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by the Company to the Trustee to take any action under any of the provisions of this Indenture, the Company shall, if requested by the Trustee, furnish to the Trustee an Officer’s Certificate and an Opinion of Counsel stating that such action is permitted by the terms of this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Opinion of Counsel shall be required to be delivered in connection with (1) any exchange by the Company in its sole discretion of the restricted CUSIP of the Restricted Securities to an unrestricted CUSIP pursuant to the applicable procedures of the Depositary upon the Notes becoming freely tradeable by non-Affiliates of the Company under Rule 144, or (2) a request by the Company that the Trustee delivers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74" w:lineRule="exact"/>
        <w:rPr>
          <w:sz w:val="20"/>
          <w:szCs w:val="20"/>
          <w:color w:val="auto"/>
        </w:rPr>
      </w:pPr>
    </w:p>
    <w:p>
      <w:pPr>
        <w:jc w:val="both"/>
        <w:ind w:lef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17.06 Legal Holidays. </w:t>
      </w:r>
      <w:r>
        <w:rPr>
          <w:rFonts w:ascii="Times New Roman" w:cs="Times New Roman" w:eastAsia="Times New Roman" w:hAnsi="Times New Roman"/>
          <w:sz w:val="18"/>
          <w:szCs w:val="18"/>
          <w:color w:val="auto"/>
        </w:rPr>
        <w:t>In any case where any Interest Payment Date, any Fundamental Change Repurchase Date, any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73" w:lineRule="exact"/>
        <w:rPr>
          <w:sz w:val="20"/>
          <w:szCs w:val="20"/>
          <w:color w:val="auto"/>
        </w:rPr>
      </w:pPr>
    </w:p>
    <w:p>
      <w:pPr>
        <w:jc w:val="both"/>
        <w:ind w:lef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17.07 No Security Interest Created. </w:t>
      </w:r>
      <w:r>
        <w:rPr>
          <w:rFonts w:ascii="Times New Roman" w:cs="Times New Roman" w:eastAsia="Times New Roman" w:hAnsi="Times New Roman"/>
          <w:sz w:val="18"/>
          <w:szCs w:val="18"/>
          <w:color w:val="auto"/>
        </w:rPr>
        <w:t>Nothing in this Indenture or in the Notes, expressed or implied, shall be construed to constitute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interest under the Uniform Commercial Code or similar legislation, as now or hereafter enacted and in effect, in any jurisdiction.</w:t>
      </w:r>
    </w:p>
    <w:p>
      <w:pPr>
        <w:spacing w:after="0" w:line="158" w:lineRule="exact"/>
        <w:rPr>
          <w:sz w:val="20"/>
          <w:szCs w:val="20"/>
          <w:color w:val="auto"/>
        </w:rPr>
      </w:pPr>
    </w:p>
    <w:p>
      <w:pPr>
        <w:jc w:val="both"/>
        <w:ind w:lef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17.08 Benefits of Indenture. </w:t>
      </w:r>
      <w:r>
        <w:rPr>
          <w:rFonts w:ascii="Times New Roman" w:cs="Times New Roman" w:eastAsia="Times New Roman" w:hAnsi="Times New Roman"/>
          <w:sz w:val="18"/>
          <w:szCs w:val="18"/>
          <w:color w:val="auto"/>
        </w:rPr>
        <w:t>Nothing in this Indenture or in the Notes, expressed or implied, shall give to any Person,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the parties hereto, any Paying Agent, any Conversion Agent, any authenticating agent, any Note Registrar and their successors hereunder, any benefit or any legal or equitable right, remedy or claim under this Indenture.</w:t>
      </w:r>
    </w:p>
    <w:p>
      <w:pPr>
        <w:spacing w:after="0" w:line="173" w:lineRule="exact"/>
        <w:rPr>
          <w:sz w:val="20"/>
          <w:szCs w:val="20"/>
          <w:color w:val="auto"/>
        </w:rPr>
      </w:pPr>
    </w:p>
    <w:p>
      <w:pPr>
        <w:jc w:val="both"/>
        <w:ind w:left="340"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17.09 Table of Contents, Headings, Etc. </w:t>
      </w:r>
      <w:r>
        <w:rPr>
          <w:rFonts w:ascii="Times New Roman" w:cs="Times New Roman" w:eastAsia="Times New Roman" w:hAnsi="Times New Roman"/>
          <w:sz w:val="18"/>
          <w:szCs w:val="18"/>
          <w:color w:val="auto"/>
        </w:rPr>
        <w:t>The table of contents and the titles and headings of the articles and sections of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17.10 Authenticating Agent. </w:t>
      </w:r>
      <w:r>
        <w:rPr>
          <w:rFonts w:ascii="Times New Roman" w:cs="Times New Roman" w:eastAsia="Times New Roman" w:hAnsi="Times New Roman"/>
          <w:sz w:val="18"/>
          <w:szCs w:val="18"/>
          <w:color w:val="auto"/>
        </w:rPr>
        <w:t>The Trustee may appoint an authenticating agent that shall be authorized to act on behalf of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time-to-time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lieu of the Trustee’s certificate of authentication, an alternative certificate of authentication in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3"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Section 17.11 Execution in Counterparts. </w:t>
      </w:r>
      <w:r>
        <w:rPr>
          <w:rFonts w:ascii="Times New Roman" w:cs="Times New Roman" w:eastAsia="Times New Roman" w:hAnsi="Times New Roman"/>
          <w:sz w:val="18"/>
          <w:szCs w:val="18"/>
          <w:color w:val="auto"/>
        </w:rPr>
        <w:t>This Indenture may be executed in any number of counterparts, each of which shall be an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and shall be deemed to be their original signatures for all purposes. Unless otherwise provided in this Indenture or in any Note, the words “execute”, “execution”, “signed”, and “signature” and words of similar import used in or related to any document to be signed in connection with this Indenture, any Note or any of the transactions contemplated hereby (including amendments, waivers, consents and other modifications) will be deemed to include electronic signatures and the keeping of records in electronic form, each of which will be, except with respect to authentication of the Notes by the Trustee,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reasonable procedures approved by the Trustee.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17.12 Severability. </w:t>
      </w:r>
      <w:r>
        <w:rPr>
          <w:rFonts w:ascii="Times New Roman" w:cs="Times New Roman" w:eastAsia="Times New Roman" w:hAnsi="Times New Roman"/>
          <w:sz w:val="18"/>
          <w:szCs w:val="18"/>
          <w:color w:val="auto"/>
        </w:rPr>
        <w:t>In the event any provision of this Indenture or in the Notes shall be invalid, illegal or unenforceable, then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permitted by law) the validity, legality or enforceability of the remaining provisions shall not in any way be affected or impaired.</w:t>
      </w:r>
    </w:p>
    <w:p>
      <w:pPr>
        <w:spacing w:after="0" w:line="1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Section 17.13 Waiver of Jury Trial. </w:t>
      </w:r>
      <w:r>
        <w:rPr>
          <w:rFonts w:ascii="Times New Roman" w:cs="Times New Roman" w:eastAsia="Times New Roman" w:hAnsi="Times New Roman"/>
          <w:sz w:val="18"/>
          <w:szCs w:val="18"/>
          <w:b w:val="1"/>
          <w:bCs w:val="1"/>
          <w:color w:val="auto"/>
        </w:rPr>
        <w:t>EACH OF THE COMPANY, THE GUARANTOR AND THE TRUSTEE 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IRREVOCABLY WAIVES, TO THE FULLEST EXTENT PERMITTED BY APPLICABLE LAW, ANY AND ALL RIGHT TO TRIAL BY JURY IN ANY LEGAL PROCEEDING ARISING OUT OF OR RELATING TO THIS INDENTURE, THE NOTES OR THE TRANSACTIONS CONTEMPLATED HEREBY.</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17.14 Force Majeure. </w:t>
      </w:r>
      <w:r>
        <w:rPr>
          <w:rFonts w:ascii="Times New Roman" w:cs="Times New Roman" w:eastAsia="Times New Roman" w:hAnsi="Times New Roman"/>
          <w:sz w:val="18"/>
          <w:szCs w:val="18"/>
          <w:color w:val="auto"/>
        </w:rPr>
        <w:t>In no event shall the Trustee be responsible or liable for any failure or delay in the performance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hereunder arising out of or caused by, directly or indirectly, forces beyond its control, including, without limitation, strikes, work stoppages, accidents, acts of war or terrorism, civil or military disturbances, epidemics, pandemics, disease, nuclear or natural catastrophes or acts of God, and interruptions, or loss or malfunctions of utilities; it being understood that the Trustee shall use reasonable efforts that are consistent with accepted practices in the banking industry to resume performance as soon as practicable under the circumstances.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Section 17.15 Calculations. </w:t>
      </w:r>
      <w:r>
        <w:rPr>
          <w:rFonts w:ascii="Times New Roman" w:cs="Times New Roman" w:eastAsia="Times New Roman" w:hAnsi="Times New Roman"/>
          <w:sz w:val="18"/>
          <w:szCs w:val="18"/>
          <w:color w:val="auto"/>
        </w:rPr>
        <w:t>Except as otherwise provided herein, the Company shall be responsible for making all calculations called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Indenture and the Notes. These calculations include, but are not limited to, determinations of the Stock Price for purposes of a Make-Whole Fundamental Change, the Last Reported Sale Price, the Daily VWAPs, the Daily Conversion Values, the Daily Settlement Amount, accrued interest payable on the Notes and the Conversion Rate. The Company shall make all these calculations in good faith and, absent manifest error, the Company’s calculations shall be final and binding on Holders. The Company shall provide a schedule of its calculations to each of the Trustee and the Conversion Agent (if other than the Trustee), and each of the Trustee, the Paying Agent, the Note Registrar and the Conversion Agent is entitled to rely conclusively upon the accuracy of the Company’s calculations without independent verification. The Trustee will forward the Company’s calculations to any Holder upon the written request of that Holder. For the avoidance of doubt, the Trustee, in any of its roles under this Indenture or any capacity, shall not be responsible or liable for any calculation pursuant to this Indenture or the Notes.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17.16 USA PATRIOT Act. </w:t>
      </w:r>
      <w:r>
        <w:rPr>
          <w:rFonts w:ascii="Times New Roman" w:cs="Times New Roman" w:eastAsia="Times New Roman" w:hAnsi="Times New Roman"/>
          <w:sz w:val="18"/>
          <w:szCs w:val="18"/>
          <w:color w:val="auto"/>
        </w:rPr>
        <w:t>The parties hereto acknowledge that in accordance with Section 326 of the USA PATRIOT Act,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 all financial institutions and in order to help fight the funding of terrorism and money laundering, are required to obtain, verify, and record information that identifies each person or legal entity that establishes a relationship or opens an account with the Trustee. Company agrees that it will provide the Trustee with such information as it may request in order for the Trustee to satisfy the requirements of the USA PATRIOT Act.</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KEEL INFRASTRUCTURE CORP., as the Company</w:t>
      </w:r>
    </w:p>
    <w:p>
      <w:pPr>
        <w:spacing w:after="0" w:line="235"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18415</wp:posOffset>
            </wp:positionV>
            <wp:extent cx="255460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6560"/>
        <w:spacing w:after="0"/>
        <w:tabs>
          <w:tab w:leader="none" w:pos="7200" w:val="left"/>
        </w:tabs>
        <w:rPr>
          <w:sz w:val="20"/>
          <w:szCs w:val="20"/>
          <w:color w:val="auto"/>
        </w:rPr>
      </w:pPr>
      <w:r>
        <w:rPr>
          <w:rFonts w:ascii="Times New Roman" w:cs="Times New Roman" w:eastAsia="Times New Roman" w:hAnsi="Times New Roman"/>
          <w:sz w:val="18"/>
          <w:szCs w:val="18"/>
          <w:color w:val="auto"/>
        </w:rPr>
        <w:t>Name:</w:t>
        <w:tab/>
        <w:t>Jonathan Mir</w:t>
      </w:r>
    </w:p>
    <w:p>
      <w:pPr>
        <w:spacing w:after="0" w:line="27" w:lineRule="exact"/>
        <w:rPr>
          <w:sz w:val="20"/>
          <w:szCs w:val="20"/>
          <w:color w:val="auto"/>
        </w:rPr>
      </w:pPr>
    </w:p>
    <w:p>
      <w:pPr>
        <w:ind w:left="6560"/>
        <w:spacing w:after="0"/>
        <w:tabs>
          <w:tab w:leader="none" w:pos="7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BITFARMS LTD., as the Guarantor</w:t>
      </w:r>
    </w:p>
    <w:p>
      <w:pPr>
        <w:spacing w:after="0" w:line="223"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18415</wp:posOffset>
            </wp:positionV>
            <wp:extent cx="255460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6560"/>
        <w:spacing w:after="0"/>
        <w:tabs>
          <w:tab w:leader="none" w:pos="7200" w:val="left"/>
        </w:tabs>
        <w:rPr>
          <w:sz w:val="20"/>
          <w:szCs w:val="20"/>
          <w:color w:val="auto"/>
        </w:rPr>
      </w:pPr>
      <w:r>
        <w:rPr>
          <w:rFonts w:ascii="Times New Roman" w:cs="Times New Roman" w:eastAsia="Times New Roman" w:hAnsi="Times New Roman"/>
          <w:sz w:val="18"/>
          <w:szCs w:val="18"/>
          <w:color w:val="auto"/>
        </w:rPr>
        <w:t>Name:</w:t>
        <w:tab/>
        <w:t>Rachel Silverstein</w:t>
      </w:r>
    </w:p>
    <w:p>
      <w:pPr>
        <w:spacing w:after="0" w:line="27" w:lineRule="exact"/>
        <w:rPr>
          <w:sz w:val="20"/>
          <w:szCs w:val="20"/>
          <w:color w:val="auto"/>
        </w:rPr>
      </w:pPr>
    </w:p>
    <w:p>
      <w:pPr>
        <w:ind w:left="6560"/>
        <w:spacing w:after="0"/>
        <w:tabs>
          <w:tab w:leader="none" w:pos="7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980" w:top="904" w:right="939" w:bottom="1440" w:gutter="0" w:footer="0" w:header="0"/>
        </w:sectPr>
      </w:pPr>
    </w:p>
    <w:bookmarkStart w:id="110" w:name="page111"/>
    <w:bookmarkEnd w:id="110"/>
    <w:p>
      <w:pPr>
        <w:ind w:left="5640"/>
        <w:spacing w:after="0"/>
        <w:rPr>
          <w:sz w:val="20"/>
          <w:szCs w:val="20"/>
          <w:color w:val="auto"/>
        </w:rPr>
      </w:pPr>
      <w:r>
        <w:rPr>
          <w:rFonts w:ascii="Times New Roman" w:cs="Times New Roman" w:eastAsia="Times New Roman" w:hAnsi="Times New Roman"/>
          <w:sz w:val="17"/>
          <w:szCs w:val="17"/>
          <w:color w:val="auto"/>
        </w:rPr>
        <w:t>COMPUTERSHARE TRUST COMPANY,</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 as Trustee</w:t>
      </w:r>
    </w:p>
    <w:p>
      <w:pPr>
        <w:spacing w:after="0" w:line="20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Chriss Reichow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18415</wp:posOffset>
            </wp:positionV>
            <wp:extent cx="255460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Chriss Reichow</w:t>
      </w:r>
    </w:p>
    <w:p>
      <w:pPr>
        <w:spacing w:after="0" w:line="2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PROVISIONS RELATING TO INITIAL NOTES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ADDITIONAL NOTES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Definitions.</w:t>
      </w:r>
    </w:p>
    <w:p>
      <w:pPr>
        <w:spacing w:after="0" w:line="227" w:lineRule="exact"/>
        <w:rPr>
          <w:sz w:val="20"/>
          <w:szCs w:val="20"/>
          <w:color w:val="auto"/>
        </w:rPr>
      </w:pPr>
    </w:p>
    <w:p>
      <w:pPr>
        <w:ind w:left="900" w:hanging="244"/>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Appendix A have the meanings given to them in this Indenture. The following capitalized terms have the following meanings: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Resale Restriction Termination Date</w:t>
      </w:r>
      <w:r>
        <w:rPr>
          <w:rFonts w:ascii="Times New Roman" w:cs="Times New Roman" w:eastAsia="Times New Roman" w:hAnsi="Times New Roman"/>
          <w:sz w:val="18"/>
          <w:szCs w:val="18"/>
          <w:color w:val="auto"/>
        </w:rPr>
        <w:t>” means, with respect to the Initial Notes, October 10, 2026, and with respect to any Additional Notes, the date that is four (4) months and one (1) day following the issue date of such Additional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9" w:lineRule="exact"/>
        <w:rPr>
          <w:sz w:val="20"/>
          <w:szCs w:val="20"/>
          <w:color w:val="auto"/>
        </w:rPr>
      </w:pPr>
    </w:p>
    <w:p>
      <w:pPr>
        <w:ind w:left="920" w:hanging="264"/>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w:t>
            </w:r>
          </w:p>
        </w:tc>
        <w:tc>
          <w:tcPr>
            <w:tcW w:w="46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Defined in Section</w:t>
            </w:r>
          </w:p>
        </w:tc>
      </w:tr>
      <w:tr>
        <w:trPr>
          <w:trHeight w:val="20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“Definitive Notes Legend”</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1.3(a)(i)</w:t>
            </w:r>
          </w:p>
        </w:tc>
      </w:tr>
      <w:tr>
        <w:trPr>
          <w:trHeight w:val="216"/>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“Global Notes Legend”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1.3(a)(i)</w:t>
            </w:r>
          </w:p>
        </w:tc>
      </w:tr>
      <w:tr>
        <w:trPr>
          <w:trHeight w:val="216"/>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Securities Legends”</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1.3(a)(i)</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“Rule 144A</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 Note”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144A</w:t>
            </w: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r>
    </w:tbl>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Form and Dating; Global Notes.</w:t>
      </w:r>
      <w:r>
        <w:rPr>
          <w:rFonts w:ascii="Times New Roman" w:cs="Times New Roman" w:eastAsia="Times New Roman" w:hAnsi="Times New Roman"/>
          <w:sz w:val="18"/>
          <w:szCs w:val="18"/>
          <w:color w:val="auto"/>
        </w:rPr>
        <w:t xml:space="preserve"> The Initial Notes issued on the date hereof shall be (i) offered and sold by the Company to the Initial Purchasers and (ii) resold, initially only to QIBs in reliance on Rule 144A (“</w:t>
      </w:r>
      <w:r>
        <w:rPr>
          <w:rFonts w:ascii="Times New Roman" w:cs="Times New Roman" w:eastAsia="Times New Roman" w:hAnsi="Times New Roman"/>
          <w:sz w:val="18"/>
          <w:szCs w:val="18"/>
          <w:b w:val="1"/>
          <w:bCs w:val="1"/>
          <w:color w:val="auto"/>
        </w:rPr>
        <w:t>Rule 144A Notes</w:t>
      </w:r>
      <w:r>
        <w:rPr>
          <w:rFonts w:ascii="Times New Roman" w:cs="Times New Roman" w:eastAsia="Times New Roman" w:hAnsi="Times New Roman"/>
          <w:sz w:val="18"/>
          <w:szCs w:val="18"/>
          <w:color w:val="auto"/>
        </w:rPr>
        <w:t>”). Rule 144A Notes shall be issued initially in the form of one or more permanent global Notes in definitive, fully registered form (collectively, the “</w:t>
      </w:r>
      <w:r>
        <w:rPr>
          <w:rFonts w:ascii="Times New Roman" w:cs="Times New Roman" w:eastAsia="Times New Roman" w:hAnsi="Times New Roman"/>
          <w:sz w:val="18"/>
          <w:szCs w:val="18"/>
          <w:b w:val="1"/>
          <w:bCs w:val="1"/>
          <w:color w:val="auto"/>
        </w:rPr>
        <w:t>Rule 144A Global Note</w:t>
      </w:r>
      <w:r>
        <w:rPr>
          <w:rFonts w:ascii="Times New Roman" w:cs="Times New Roman" w:eastAsia="Times New Roman" w:hAnsi="Times New Roman"/>
          <w:sz w:val="18"/>
          <w:szCs w:val="18"/>
          <w:color w:val="auto"/>
        </w:rPr>
        <w:t>”) without interest coupons and bearing the Global Notes Legend and Restricted Securities Legend, which shall be deposited on behalf of the purchasers of the Notes represented thereby with the Custodian, and registered in the name of the Depositary or a nominee of the Depositary, duly executed by the Company and authenticated by the Trustee as provided in the Indenture.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900" w:hanging="244"/>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 on the Notes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Section 2.2, each Note shall bear legends in substantially the following form (each defined term in the legend being defined as such for purposes of the legend only) (the first legend below, the “</w:t>
      </w:r>
      <w:r>
        <w:rPr>
          <w:rFonts w:ascii="Times New Roman" w:cs="Times New Roman" w:eastAsia="Times New Roman" w:hAnsi="Times New Roman"/>
          <w:sz w:val="18"/>
          <w:szCs w:val="18"/>
          <w:b w:val="1"/>
          <w:bCs w:val="1"/>
          <w:color w:val="auto"/>
        </w:rPr>
        <w:t>U.S. Restricted Securities Legend</w:t>
      </w:r>
      <w:r>
        <w:rPr>
          <w:rFonts w:ascii="Times New Roman" w:cs="Times New Roman" w:eastAsia="Times New Roman" w:hAnsi="Times New Roman"/>
          <w:sz w:val="18"/>
          <w:szCs w:val="18"/>
          <w:color w:val="auto"/>
        </w:rPr>
        <w:t>” and the second legend, the “</w:t>
      </w:r>
      <w:r>
        <w:rPr>
          <w:rFonts w:ascii="Times New Roman" w:cs="Times New Roman" w:eastAsia="Times New Roman" w:hAnsi="Times New Roman"/>
          <w:sz w:val="18"/>
          <w:szCs w:val="18"/>
          <w:b w:val="1"/>
          <w:bCs w:val="1"/>
          <w:color w:val="auto"/>
        </w:rPr>
        <w:t>Canadian Restricted Securities Legend</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Restricted Securities Legends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“THIS SECURITY HAS NOT BEEN REGISTERED UNDER THE U.S. SECURITIES ACT OF 1933, AS AMENDED (THE “SECURITIES ACT”), AND ACCORDINGLY, MAY NOT BE OFFERED OR SOLD EXCEPT AS SET FORTH IN THE FOLLOWING SENTENCE. BY ITS ACQUISITION HEREOF, THE HOLDER AGREES (1) THAT IT WILL NOT RESELL OR OTHERWISE TRANSFER THE SECURITY EVIDENCED HEREBY, EXCEPT (A) TO KEEL INFRASTRUCTURE CORP. (THE “ISSUER”) OR A SUBSIDIARY OF THE ISSUER; (B) UNDER A REGISTRATION STATEMENT THAT HAS BEEN DECLARED EFFECTIVE UNDER THE SECURITIES ACT; (C) TO A PERSON THE SELLER REASONABLY BELIEVES IS A QUALIFIED INSTITUTIONAL BUYER (AS DEFINED IN RULE 144A ADOPTED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PURSUANT TO (D), FURNISH TO THE ISSUER AND THE TRUSTEE OR TRANSFER AGENT FOR THIS SECURITY, AS APPLICABLE, SUCH CERTIFICATIONS, LEGAL OPINIONS OR OTHER INFORMATION AS MAY BE REQUIRED TO CONFIRM THAT SUCH TRANSFER IS BEING MADE PURSUANT TO AN EXEMPTION FROM, OR IN A TRANSACTION NOT SUBJECT TO, THE REGISTRATION REQUIREMENTS OF THE SECURITIES ACT.</w:t>
      </w:r>
    </w:p>
    <w:p>
      <w:pPr>
        <w:spacing w:after="0" w:line="197" w:lineRule="exact"/>
        <w:rPr>
          <w:sz w:val="20"/>
          <w:szCs w:val="20"/>
          <w:color w:val="auto"/>
        </w:rPr>
      </w:pPr>
    </w:p>
    <w:p>
      <w:pPr>
        <w:jc w:val="both"/>
        <w:ind w:left="660" w:right="20"/>
        <w:spacing w:after="0" w:line="292" w:lineRule="auto"/>
        <w:rPr>
          <w:sz w:val="20"/>
          <w:szCs w:val="20"/>
          <w:color w:val="auto"/>
        </w:rPr>
      </w:pPr>
      <w:r>
        <w:rPr>
          <w:rFonts w:ascii="Times New Roman" w:cs="Times New Roman" w:eastAsia="Times New Roman" w:hAnsi="Times New Roman"/>
          <w:sz w:val="18"/>
          <w:szCs w:val="18"/>
          <w:color w:val="auto"/>
        </w:rPr>
        <w:t>IN CANADA, UNLESS PERMITTED UNDER SECURITIES LEGISLATION, THE HOLDER OF THIS SECURITY MUST NOT TRADE THE SECURITY BEFORE OCTOBER 10, 2026.”</w:t>
      </w:r>
      <w:r>
        <w:rPr>
          <w:rFonts w:ascii="Times New Roman" w:cs="Times New Roman" w:eastAsia="Times New Roman" w:hAnsi="Times New Roman"/>
          <w:sz w:val="29"/>
          <w:szCs w:val="29"/>
          <w:color w:val="auto"/>
          <w:vertAlign w:val="superscript"/>
        </w:rPr>
        <w:t>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Definitive Note shall bear the following additional legend (“</w:t>
      </w:r>
      <w:r>
        <w:rPr>
          <w:rFonts w:ascii="Times New Roman" w:cs="Times New Roman" w:eastAsia="Times New Roman" w:hAnsi="Times New Roman"/>
          <w:sz w:val="18"/>
          <w:szCs w:val="18"/>
          <w:b w:val="1"/>
          <w:bCs w:val="1"/>
          <w:color w:val="auto"/>
        </w:rPr>
        <w:t>Definitive Notes Legend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NOTE REGISTRAR AND TRANSFER AGENT SUCH CERTIFICATES AND OTHER INFORMATION AS SUCH TRANSFER AGENT MAY REASONABLY REQUIRE TO CONFIRM THAT THE TRANSFER COMPLIES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340" w:hanging="332"/>
        <w:spacing w:after="0" w:line="195" w:lineRule="auto"/>
        <w:tabs>
          <w:tab w:leader="none" w:pos="340" w:val="left"/>
        </w:tabs>
        <w:numPr>
          <w:ilvl w:val="0"/>
          <w:numId w:val="9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any Additional Notes, the actual Canadian Resale Restriction Termination Date for such Additional Notes will be inserted in place of October 10, 2026.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Each Global Note shall bear the following additional legend (“</w:t>
      </w:r>
      <w:r>
        <w:rPr>
          <w:rFonts w:ascii="Times New Roman" w:cs="Times New Roman" w:eastAsia="Times New Roman" w:hAnsi="Times New Roman"/>
          <w:sz w:val="18"/>
          <w:szCs w:val="18"/>
          <w:b w:val="1"/>
          <w:bCs w:val="1"/>
          <w:color w:val="auto"/>
        </w:rPr>
        <w:t>Global Notes Legend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0" w:lineRule="exact"/>
        <w:rPr>
          <w:sz w:val="20"/>
          <w:szCs w:val="20"/>
          <w:color w:val="auto"/>
        </w:rPr>
      </w:pPr>
    </w:p>
    <w:p>
      <w:pPr>
        <w:jc w:val="both"/>
        <w:ind w:firstLine="644"/>
        <w:spacing w:after="0" w:line="266" w:lineRule="auto"/>
        <w:tabs>
          <w:tab w:leader="none" w:pos="93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sale or transfer after the expiration of the Canadian Resale Restriction Termination Date of any Initial Note or Additional Note, all requirements that such Initial Note or Additional Note bear the Canadian Restricted Securities Legend shall cease to apply and the requirements requiring any such Initial Note or Additional Note be issued in global form shall continue to apply.</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95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Additional Notes sold in a registered offering under the Securities Act shall not be required to bear the U.S. Restricted Securities Legend;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Additional Notes may be required to include the Canadian Restricted Securities Legend unless such Additional Notes are qualified for distribution by a prospectus under Canadian securities laws or otherwise not subject to any applicable resale restrictions under securities laws.</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95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its sole discretion, cause the U.S. Restricted Securities Legend on any Global Note to be removed (or deemed removed) and cause such Global Note to be identified by an unrestricted CUSIP at any time on or after the Canadian Resale Restriction Termination Date, without delivering an Opinion of Counsel, by:</w:t>
      </w:r>
    </w:p>
    <w:p>
      <w:pPr>
        <w:spacing w:after="0" w:line="175" w:lineRule="exact"/>
        <w:rPr>
          <w:rFonts w:ascii="Times New Roman" w:cs="Times New Roman" w:eastAsia="Times New Roman" w:hAnsi="Times New Roman"/>
          <w:sz w:val="18"/>
          <w:szCs w:val="18"/>
          <w:color w:val="auto"/>
        </w:rPr>
      </w:pPr>
    </w:p>
    <w:p>
      <w:pPr>
        <w:jc w:val="both"/>
        <w:ind w:left="320" w:firstLine="648"/>
        <w:spacing w:after="0" w:line="253" w:lineRule="auto"/>
        <w:tabs>
          <w:tab w:leader="none" w:pos="126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 written notice (x) certifying that all Notes represented by any Rule 144A Global Note would be freely tradable under Rule 144 by a person who is not an Affiliate of the Company (within the meaning of Rule 144) and has not been an Affiliate of the Company (within the meaning of Rule 144A) during the immediately preceding ninety (90) days, the Company is no longer subject to the limitations imposed by Rule 144(i), (y) instructing the Trustee to take any actions as may be necessary so that the Restricted Securities Legends set forth on the Global Notes shall be deemed removed from the Global Notes in accordance with the terms and conditions of the Notes and the Indenture, without further action on the part of Holders and (z) instructing the Trustee to take any actions as may be necessary so that the restricted CUSIP number for the Notes shall be removed from the Global Notes and replaced with an unrestricted CUSIP number. Immediately upon receipt of such notice by the Trustee the Restricted Securities Legends will be deemed removed from such Global Notes specified in such notice and the restricted CUSIP number will be deemed removed from each of such Global Notes and deemed replaced with an unrestricted CUSIP number; and</w:t>
      </w:r>
    </w:p>
    <w:p>
      <w:pPr>
        <w:spacing w:after="0" w:line="200" w:lineRule="exact"/>
        <w:rPr>
          <w:sz w:val="20"/>
          <w:szCs w:val="20"/>
          <w:color w:val="auto"/>
        </w:rPr>
      </w:pPr>
    </w:p>
    <w:p>
      <w:pPr>
        <w:spacing w:after="0" w:line="21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14" w:name="page115"/>
    <w:bookmarkEnd w:id="114"/>
    <w:p>
      <w:pPr>
        <w:ind w:left="324" w:firstLine="648"/>
        <w:spacing w:after="0" w:line="282" w:lineRule="auto"/>
        <w:tabs>
          <w:tab w:leader="none" w:pos="1261"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Depositary an instruction letter for the Depositary’s mandatory exchange process (or any successor notice, form or action required pursuant to the Applicable Procedures) to the extent required.</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 on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6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certificate representing Common Stock issued upon conversion of a Note that bears the U.S. Restricted Securities Legend shall bear a legend in substantially the following form (unless agreed by the Company with written notice thereof to the Trustee and any transfer agent for the Common Stock):</w:t>
      </w:r>
    </w:p>
    <w:p>
      <w:pPr>
        <w:spacing w:after="0" w:line="176"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THIS SECURITY HAS NOT BEEN REGISTERED UNDER THE U.S. SECURITIES ACT OF 1933, AS AMENDED (THE “SECURITIES ACT”), AND ACCORDINGLY, MAY NOT BE OFFERED OR SOLD EXCEPT AS SET FORTH IN THE FOLLOWING SENTENCE. BY ITS ACQUISITION HEREOF, THE HOLDER AGREES (1) THAT IT WILL NOT RESELL OR OTHERWISE TRANSFER THE SECURITY EVIDENCED HEREBY, EXCEPT (A) TO KEEL INFRASTRUCTURE CORP. (THE “ISSUER”) OR A SUBSIDIARY OF THE ISSUER; (B) UNDER A REGISTRATION STATEMENT THAT HAS BEEN DECLARED EFFECTIVE UNDER THE SECURITIES ACT; (C) TO A PERSON THE SELLER REASONABLY BELIEVES IS A QUALIFIED INSTITUTIONAL BUYER (AS DEFINED IN RULE 144A ADOPTED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PURSUANT TO (D), FURNISH TO THE ISSUER AND THE TRUSTEE OR TRANSFER AGENT FOR THIS SECURITY, AS APPLICABLE, SUCH CERTIFICATIONS, LEGAL OPINIONS OR OTHER INFORMATION AS MAY BE REQUIRED TO CONFIRM THAT SUCH TRANSFER IS BEING MADE PURSUANT TO AN EXEMPTION FROM, OR IN A TRANSACTION NOT SUBJECT TO, THE REGISTRATION REQUIREMENTS OF THE SECURITIES ACT.</w:t>
      </w:r>
    </w:p>
    <w:p>
      <w:pPr>
        <w:spacing w:after="0" w:line="197"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ARE LISTED ON THE TORONTO STOCK EXCHANGE (“TSX”); HOWEVER, THE SAID SECURITIES CANNOT BE TRADED THROUGH THE FACILITIES OF TSX SINCE THEY ARE NOT FREELY TRANSFERABLE, AND CONSEQUENTLY ANY CERTIFICATE REPRESENTING SUCH SECURITIES IS NOT “GOOD DELIVERY” IN SETTLEMENT OF TRANSACTIONS ON TSX,</w:t>
      </w:r>
    </w:p>
    <w:p>
      <w:pPr>
        <w:spacing w:after="0" w:line="39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5" w:name="page116"/>
    <w:bookmarkEnd w:id="115"/>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provided, that if any of the Common Stock is being sold pursuant to Rule 144 under the U.S. Securities Act, if available, the legends may be removed by delivering to the Company and the transfer agent for the Company an opinion of counsel of recognized standing in form and substance reasonably satisfactory to the Company, to the effect that the legends are no longer required under applicable requirements of the Securities Act.</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Further, any share certificate representing Common Stock issued upon conversion of a Note that bears the Canadian Restricted Securities Legend shall, if the conversion occurs prior to the date referenced in the Canadian Restricted Securities Legend, bear a legend in substantially the following form:</w:t>
      </w:r>
    </w:p>
    <w:p>
      <w:pPr>
        <w:spacing w:after="0" w:line="176" w:lineRule="exact"/>
        <w:rPr>
          <w:sz w:val="20"/>
          <w:szCs w:val="20"/>
          <w:color w:val="auto"/>
        </w:rPr>
      </w:pPr>
    </w:p>
    <w:p>
      <w:pPr>
        <w:jc w:val="both"/>
        <w:ind w:left="660" w:right="20"/>
        <w:spacing w:after="0" w:line="292" w:lineRule="auto"/>
        <w:rPr>
          <w:sz w:val="20"/>
          <w:szCs w:val="20"/>
          <w:color w:val="auto"/>
        </w:rPr>
      </w:pPr>
      <w:r>
        <w:rPr>
          <w:rFonts w:ascii="Times New Roman" w:cs="Times New Roman" w:eastAsia="Times New Roman" w:hAnsi="Times New Roman"/>
          <w:sz w:val="18"/>
          <w:szCs w:val="18"/>
          <w:color w:val="auto"/>
        </w:rPr>
        <w:t>IN CANADA, UNLESS PERMITTED UNDER SECURITIES LEGISLATION, THE HOLDER OF THIS SECURITY MUST NOT TRADE THE SECURITY BEFORE OCTOBER 10, 2026.</w:t>
      </w:r>
      <w:r>
        <w:rPr>
          <w:rFonts w:ascii="Times New Roman" w:cs="Times New Roman" w:eastAsia="Times New Roman" w:hAnsi="Times New Roman"/>
          <w:sz w:val="29"/>
          <w:szCs w:val="29"/>
          <w:color w:val="auto"/>
          <w:vertAlign w:val="superscript"/>
        </w:rPr>
        <w:t>2</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Transfer and Exchange of Interests in Global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61" w:lineRule="auto"/>
        <w:tabs>
          <w:tab w:leader="none" w:pos="8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Global Notes</w:t>
      </w:r>
      <w:r>
        <w:rPr>
          <w:rFonts w:ascii="Times New Roman" w:cs="Times New Roman" w:eastAsia="Times New Roman" w:hAnsi="Times New Roman"/>
          <w:sz w:val="18"/>
          <w:szCs w:val="18"/>
          <w:color w:val="auto"/>
        </w:rPr>
        <w:t>. A transferor of a beneficial interest in a Global Note shall deliver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transfer is a transfer of a beneficial interest in one Global Note to a beneficial interest in another Global Note, the Note Registrar shall reflect on its books and records the date and an increase in the principal amount of the Global Note to which such interest is being transferred in an amount equal to the principal amount of the interest to be so transferred, and the Note Registrar shall reflect on its books and records the date and a corresponding decrease in the principal amount of Global Note from which such interest is being transferred.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Appendix A (other than the provisions set forth in Section 2.05 of the Indenture relating to the issuance of Definitive Notes), a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4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Global Note is exchanged for Definitive Notes pursuant to Section 2.05 of the Indenture, such Notes may be exchanged only in accordance with such procedures as are substantially consistent with the provisions of this Section 2.3 (including the certification requirements set forth on the reverse of the Initial Notes intended to ensure that such transfers comply with Rule 144A or such other applicable exemption from registration under the Securities Act, as the case may be) and/or such other procedures as may from time to time be adopted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ind w:left="340" w:hanging="332"/>
        <w:spacing w:after="0" w:line="195" w:lineRule="auto"/>
        <w:tabs>
          <w:tab w:leader="none" w:pos="340" w:val="left"/>
        </w:tabs>
        <w:numPr>
          <w:ilvl w:val="0"/>
          <w:numId w:val="9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any Additional Notes, the actual Canadian Resale Restriction Termination Date for such Additional Notes will be inserted in place of October 10, 2026.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920" w:hanging="26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to Global Notes without Restricted Securities Legends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4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by an owner of a beneficial interest in the Rule 144A Global Note bearing Restricted Securities Legends may be sold to a transferee who takes delivery of such interest through a Global Note that does not bear a Restricted Securities Legend provided that (A) (1) such sale occurs on and after the date that is the later of (x) the date that is six (6) months after the last date of original issuance of the Initial Notes or Additional Notes, as applicable, and (y) such later date, if any, as may be required by applicable law, and (2) upon receipt by the Trustee of a certification that such transfer shall have been effected in reliance on Rule 144 under the Securities Act; or (B) under a registration statement that has been declared effective under the Securities Act or (C) otherwise upon receipt by the Trustee of an appropriate direction or consent from the Company.</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of the Trustee</w:t>
      </w:r>
      <w:r>
        <w:rPr>
          <w:rFonts w:ascii="Times New Roman" w:cs="Times New Roman" w:eastAsia="Times New Roman" w:hAnsi="Times New Roman"/>
          <w:sz w:val="18"/>
          <w:szCs w:val="18"/>
          <w:color w:val="auto"/>
        </w:rPr>
        <w:t>. The Trustee, Paying Agent, Registrar and any transfer agent shall have no obligation or duty to monitor, determine or inquire as to compliance with any restrictions on transfer imposed under the Indenture or under applicable law with respect to any transfer of any interest in any Note (including any transfers between or among Participants,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Global Notes</w:t>
      </w:r>
      <w:r>
        <w:rPr>
          <w:rFonts w:ascii="Times New Roman" w:cs="Times New Roman" w:eastAsia="Times New Roman" w:hAnsi="Times New Roman"/>
          <w:sz w:val="18"/>
          <w:szCs w:val="18"/>
          <w:color w:val="auto"/>
        </w:rPr>
        <w:t>. In connection with any transfer of beneficial interests in a Global Note that bears Restricted Securities Legends for any Global Note that does not bear Restricted Securities Legends in accordance with Section 2.2, if a Global Note that does not bear a Restricted Securities Legend is not then outstanding (or an insufficient principal amount of such Global Notes are outstanding to permit such transfer) and the Global Notes have not been previously transferred for Definitive Notes in compliance with Section 2.05 of the Indenture, the Company shall issue and the Trustee shall authenticate, upon written order of the Company in the form of an Officer’s Certificate, one or more new Global Notes without the Restricted Securities Legend in the appropriate principal amounts.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Resale Restrictions</w:t>
      </w:r>
      <w:r>
        <w:rPr>
          <w:rFonts w:ascii="Times New Roman" w:cs="Times New Roman" w:eastAsia="Times New Roman" w:hAnsi="Times New Roman"/>
          <w:sz w:val="18"/>
          <w:szCs w:val="18"/>
          <w:color w:val="auto"/>
        </w:rPr>
        <w:t>. Initial Notes and Additional Notes may not be transferred in Canada prior to the applicable Canadian Resale Restriction Termination Date except pursuant to an exemption from the prospectus requirements of Canadian securities laws or otherwise in compliance with such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 FOLLOWING LEGEND IF A DEFINITIVE NOTE]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NOTE REGISTRAR AND TRANSFER AGENT SUCH CERTIFICATES AND OTHER INFORMATION AS SUCH TRANSFER AGENT MAY REASONABLY REQUIRE TO CONFIRM THAT THE TRANSFER COMPLIES WITH THE FOREGOING RESTRICTIONS]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 FOLLOWING LEGEND IF A RESTRICTED SECURITY]</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SECURITY HAS NOT BEEN REGISTERED UNDER THE U.S.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ACT”), </w:t>
      </w:r>
      <w:r>
        <w:rPr>
          <w:rFonts w:ascii="Times New Roman" w:cs="Times New Roman" w:eastAsia="Times New Roman" w:hAnsi="Times New Roman"/>
          <w:sz w:val="18"/>
          <w:szCs w:val="18"/>
          <w:color w:val="auto"/>
        </w:rPr>
        <w:t>AND ACCORDINGLY, MAY NOT BE OFFERED OR SOLD EXCEPT AS SET FORTH IN THE FOLLOWING SENTENCE.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ACQUISITION HEREOF, THE HOLDER AGREES (1) THAT IT WILL NOT RESELL OR OTHERWISE TRANSFER THE SECURITY EVIDENCED HEREBY, EXCEPT (A) TO KEEL INFRASTRUCTURE CORP.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OR A SUBSIDIARY OF THE ISSUER; (B) UNDER A REGISTRATION STATEMENT THAT HAS BEEN DECLARED EFFECTIVE UNDER THE SECURITIES ACT; (C) TO A PERSON THE SELLER REASONABLY BELIEVES IS A QUALIFIED INSTITUTIONAL BUYER (AS DEFINED IN RULE 144A ADOPTED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PURSUANT TO (D), FURNISH TO THE ISSUER AND THE TRUSTEE OR TRANSFER AGENT FOR THIS SECURITY, AS APPLICABLE, SUCH CERTIFICATIONS, LEGAL OPINIONS OR OTHER INFORMATION AS MAY BE REQUIRED TO CONFIRM THAT SUCH TRANSFER IS BEING MADE PURSUANT TO AN EXEMPTION FROM, OR IN A TRANSACTION NOT SUBJECT TO, THE REGISTRATION REQUIREMENTS OF THE SECURITIES ACT.</w:t>
      </w:r>
    </w:p>
    <w:p>
      <w:pPr>
        <w:spacing w:after="0" w:line="191"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IN CANADA, UNLESS PERMITTED UNDER SECURITIES LEGISLATION, THE HOLDER OF THIS SECURITY MUST NOT TRADE THE SECURITY BEFORE OCTOBER 10, 2026.</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783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51" w:lineRule="exact"/>
        <w:rPr>
          <w:sz w:val="20"/>
          <w:szCs w:val="20"/>
          <w:color w:val="auto"/>
        </w:rPr>
      </w:pPr>
    </w:p>
    <w:p>
      <w:pPr>
        <w:ind w:left="5480" w:right="2040" w:hanging="5472"/>
        <w:spacing w:after="0" w:line="623" w:lineRule="auto"/>
        <w:tabs>
          <w:tab w:leader="none" w:pos="328" w:val="left"/>
        </w:tabs>
        <w:numPr>
          <w:ilvl w:val="0"/>
          <w:numId w:val="9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Canadian Resale Restriction Termination Date for the Initial Notes or Additional Notes, as applicable, will be inserted.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748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rPr>
              <w:t>Keel Infrastructure Corp.</w:t>
            </w:r>
          </w:p>
        </w:tc>
        <w:tc>
          <w:tcPr>
            <w:tcW w:w="1220" w:type="dxa"/>
            <w:vAlign w:val="bottom"/>
          </w:tcPr>
          <w:p>
            <w:pPr>
              <w:spacing w:after="0"/>
              <w:rPr>
                <w:sz w:val="20"/>
                <w:szCs w:val="20"/>
                <w:color w:val="auto"/>
              </w:rPr>
            </w:pPr>
          </w:p>
        </w:tc>
      </w:tr>
      <w:tr>
        <w:trPr>
          <w:trHeight w:val="432"/>
        </w:trPr>
        <w:tc>
          <w:tcPr>
            <w:tcW w:w="2540" w:type="dxa"/>
            <w:vAlign w:val="bottom"/>
          </w:tcPr>
          <w:p>
            <w:pPr>
              <w:spacing w:after="0"/>
              <w:rPr>
                <w:sz w:val="24"/>
                <w:szCs w:val="24"/>
                <w:color w:val="auto"/>
              </w:rPr>
            </w:pPr>
          </w:p>
        </w:tc>
        <w:tc>
          <w:tcPr>
            <w:tcW w:w="7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rPr>
              <w:t>1.250% Convertible Senior Note due 2032</w:t>
            </w:r>
          </w:p>
        </w:tc>
        <w:tc>
          <w:tcPr>
            <w:tcW w:w="1220" w:type="dxa"/>
            <w:vAlign w:val="bottom"/>
          </w:tcPr>
          <w:p>
            <w:pPr>
              <w:spacing w:after="0"/>
              <w:rPr>
                <w:sz w:val="24"/>
                <w:szCs w:val="24"/>
                <w:color w:val="auto"/>
              </w:rPr>
            </w:pPr>
          </w:p>
        </w:tc>
      </w:tr>
      <w:tr>
        <w:trPr>
          <w:trHeight w:val="432"/>
        </w:trPr>
        <w:tc>
          <w:tcPr>
            <w:tcW w:w="25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No. [   ]</w:t>
            </w:r>
          </w:p>
        </w:tc>
      </w:tr>
      <w:tr>
        <w:trPr>
          <w:trHeight w:val="595"/>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 [______]</w:t>
            </w:r>
          </w:p>
        </w:tc>
        <w:tc>
          <w:tcPr>
            <w:tcW w:w="7480" w:type="dxa"/>
            <w:vAlign w:val="bottom"/>
          </w:tcPr>
          <w:p>
            <w:pPr>
              <w:ind w:left="6700"/>
              <w:spacing w:after="0"/>
              <w:rPr>
                <w:sz w:val="20"/>
                <w:szCs w:val="20"/>
                <w:color w:val="auto"/>
              </w:rPr>
            </w:pPr>
            <w:r>
              <w:rPr>
                <w:rFonts w:ascii="Times New Roman" w:cs="Times New Roman" w:eastAsia="Times New Roman" w:hAnsi="Times New Roman"/>
                <w:sz w:val="18"/>
                <w:szCs w:val="18"/>
                <w:color w:val="auto"/>
                <w:w w:val="96"/>
              </w:rPr>
              <w:t>[Initially]</w:t>
            </w:r>
            <w:r>
              <w:rPr>
                <w:rFonts w:ascii="Times New Roman" w:cs="Times New Roman" w:eastAsia="Times New Roman" w:hAnsi="Times New Roman"/>
                <w:sz w:val="29"/>
                <w:szCs w:val="29"/>
                <w:color w:val="auto"/>
                <w:w w:val="96"/>
                <w:vertAlign w:val="superscript"/>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$[___________]</w:t>
            </w:r>
          </w:p>
        </w:tc>
      </w:tr>
    </w:tbl>
    <w:p>
      <w:pPr>
        <w:spacing w:after="0" w:line="7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Keel Infrastructure Corp.,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[___________]</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or registered assigns, the</w:t>
      </w:r>
    </w:p>
    <w:p>
      <w:pPr>
        <w:spacing w:after="0" w:line="185" w:lineRule="auto"/>
        <w:rPr>
          <w:sz w:val="20"/>
          <w:szCs w:val="20"/>
          <w:color w:val="auto"/>
        </w:rPr>
      </w:pPr>
      <w:r>
        <w:rPr>
          <w:rFonts w:ascii="Times New Roman" w:cs="Times New Roman" w:eastAsia="Times New Roman" w:hAnsi="Times New Roman"/>
          <w:sz w:val="18"/>
          <w:szCs w:val="18"/>
          <w:color w:val="auto"/>
        </w:rPr>
        <w:t>principal sum [as set forth in the “Schedule of Exchanges of Notes” attached hereto]</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[of $[_______]]</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which amount, taken together with the principal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of all other outstanding Notes, shall not, unless permitted by the Indenture, exceed $[_______] in aggregate at any time, in accordance with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applicable procedures of the Depositary, on January 15, 2032, and interest thereon as set forth below.</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Note shall bear cash interest at the rate of 1.250% per year from June 9, 2026, or from the most recent date to which interest had been paid or provided for, but excluding, the next scheduled Interest Payment Date until January 15, 2032. Interest is payable semi-annually in arrears on each January 15 and July 15, commencing on January 15, 2027, to Holders of record at the close of business on the preceding January 1 and July 1 (whether or not such day is a Business Day), respectively. Additional Interest will be payable as set forth in Section 4.06(d), Section 4.06(e) and Section 6.03 of the within-mentioned Indenture, and any reference to interest on, or in respect of, any Note therein shall be deemed to include Additional Interest if, in such context, Additional Interest is payable pursuant to any of such Section 4.06(d), Section 4.06(e) or Section 6.03, and any express mention of the payment of Additional Interest in any provision therein shall not be construed as excluding Additional Interest in those provisions thereof where such express mention is not made.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Defaulted Amounts shall accrue interest per annum at the rate borne by the Notes plus one percent,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ind w:left="340" w:hanging="332"/>
        <w:spacing w:after="0" w:line="180" w:lineRule="auto"/>
        <w:tabs>
          <w:tab w:leader="none" w:pos="340" w:val="left"/>
        </w:tabs>
        <w:numPr>
          <w:ilvl w:val="0"/>
          <w:numId w:val="9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global note.</w:t>
      </w:r>
    </w:p>
    <w:p>
      <w:pPr>
        <w:ind w:left="340" w:hanging="332"/>
        <w:spacing w:after="0" w:line="180" w:lineRule="auto"/>
        <w:tabs>
          <w:tab w:leader="none" w:pos="340" w:val="left"/>
        </w:tabs>
        <w:numPr>
          <w:ilvl w:val="0"/>
          <w:numId w:val="10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definitive note.</w:t>
      </w:r>
    </w:p>
    <w:p>
      <w:pPr>
        <w:ind w:left="340" w:hanging="332"/>
        <w:spacing w:after="0" w:line="180" w:lineRule="auto"/>
        <w:tabs>
          <w:tab w:leader="none" w:pos="340" w:val="left"/>
        </w:tabs>
        <w:numPr>
          <w:ilvl w:val="0"/>
          <w:numId w:val="10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global note.</w:t>
      </w:r>
    </w:p>
    <w:p>
      <w:pPr>
        <w:ind w:left="340" w:hanging="332"/>
        <w:spacing w:after="0" w:line="181" w:lineRule="auto"/>
        <w:tabs>
          <w:tab w:leader="none" w:pos="340" w:val="left"/>
        </w:tabs>
        <w:numPr>
          <w:ilvl w:val="0"/>
          <w:numId w:val="10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definitive note.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agency in the Borough of Manhattan, The City of New York, as a place where Notes may be presented for payment or for registration of transfer and exchange.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cash, Common Stock or a combination of cash and Common Stock, as applicable, on the terms and subject to the limitations set forth in the Indenture. Such further provisions shall for all purposes have the same effect as though fully set forth at this place.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or by facsimile by the Trustee or a duly authorized authenticating agent under the Indenture.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KEEL INFRASTRUCTURE CORP.</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26035</wp:posOffset>
            </wp:positionV>
            <wp:extent cx="255460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2"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t>[FORM OF 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1.250% Convertible Senior Note due 2032</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1.250% Convertible Senior Notes due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to the aggregate principal amount of $[_______] all issued or to be issued under and pursuant to an Indenture dated as of June 9, 2026 (the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the Company, Bitfarms Ltd., as guarantor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Computershare Trust Company, N.A.,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The Notes shall be denominated in U.S. dollars, and all cash payments due thereon shall be made in U.S. dollars. Capitalized terms used in this Note and not defined in this Note shall have the respective meanings set forth in the Indenture.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 Redemption Date and the principal amount on the Maturity Date, as the case may be, to the Holder who surrenders a Note to a Paying Agent to collect such payments in respect of the Note.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the consideration due upon conversion of, this Note at the place, at the respective times, at the rate and in the lawful money, Common Stock or a combination thereof, as the case may be, herein prescribed.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the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Notes shall be redeemable at the Company’s option on or after July 20, 2029 in accordance with the terms and subject to the conditions specified in the Indenture. No sinking fund is provided for the Notes.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occurrence of a Fundamental Change, the Company shall be required to offer to repurchase for cash all of a Holder’s Notes on the Fundamental Change Repurchase Date at a price equal to the Fundamental Change Repurchase Price.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Common Stock or a combination of cash and Common Stock, as applicable, at the Conversion Rate specified in the Indenture, as adjusted from time to time as provided in the Indenture.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payment obligations under the Indenture and the Notes are fully and unconditionally guaranteed by the Guarantor as provided in Article 13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color w:val="auto"/>
        </w:rPr>
        <w:t>ABBREVIATIONS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jc w:val="right"/>
        <w:ind w:right="5460"/>
        <w:spacing w:after="0" w:line="532" w:lineRule="auto"/>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 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29"/>
          <w:szCs w:val="29"/>
          <w:b w:val="1"/>
          <w:bCs w:val="1"/>
          <w:color w:val="auto"/>
          <w:vertAlign w:val="superscript"/>
        </w:rPr>
        <w:t>9</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Keel Infrastructure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1.250% Convertible Senior Notes due 2032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______________ U.S. DOLLARS ($[________]). The following increases or decreases in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Note have been made: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Principal</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Amount of</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Amount of</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 of this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increase in</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decrease in</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Global Note</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authorized</w:t>
            </w: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amount</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following such</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signatory of</w:t>
            </w:r>
          </w:p>
        </w:tc>
      </w:tr>
      <w:tr>
        <w:trPr>
          <w:trHeight w:val="229"/>
        </w:trPr>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Date of</w:t>
            </w:r>
          </w:p>
        </w:tc>
        <w:tc>
          <w:tcPr>
            <w:tcW w:w="2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 this Global</w:t>
            </w: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decrease or</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Trustee or</w:t>
            </w:r>
          </w:p>
        </w:tc>
      </w:tr>
      <w:tr>
        <w:trPr>
          <w:trHeight w:val="241"/>
        </w:trPr>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exchange</w:t>
            </w:r>
          </w:p>
        </w:tc>
        <w:tc>
          <w:tcPr>
            <w:tcW w:w="860" w:type="dxa"/>
            <w:vAlign w:val="bottom"/>
          </w:tcPr>
          <w:p>
            <w:pPr>
              <w:spacing w:after="0"/>
              <w:rPr>
                <w:sz w:val="20"/>
                <w:szCs w:val="20"/>
                <w:color w:val="auto"/>
              </w:rPr>
            </w:pPr>
          </w:p>
        </w:tc>
        <w:tc>
          <w:tcPr>
            <w:tcW w:w="152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7"/>
              </w:rPr>
              <w:t>Note</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Note</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increase</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Custodian</w:t>
            </w:r>
          </w:p>
        </w:tc>
      </w:tr>
      <w:tr>
        <w:trPr>
          <w:trHeight w:val="216"/>
        </w:trPr>
        <w:tc>
          <w:tcPr>
            <w:tcW w:w="1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ind w:left="340" w:hanging="332"/>
        <w:spacing w:after="0" w:line="184" w:lineRule="auto"/>
        <w:tabs>
          <w:tab w:leader="none" w:pos="340" w:val="left"/>
        </w:tabs>
        <w:numPr>
          <w:ilvl w:val="0"/>
          <w:numId w:val="10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 if a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To:</w:t>
        <w:tab/>
        <w:t>Computershare Trust Company, N.A.,</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1505 Energy Park Drive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 Paul, MN 55108</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Keel Infrastructure Corp. Administrator</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thereof) below designated, into cash, Common Stock or a combination of cash and Common Stock, as applicable, in accordance with the terms of the Indenture referred to in this Note, and directs that any cash payable and any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Common Stock or any portion of this Note not converted are to be issued in the name of a Person other than the undersigned, the undersigned will pay all documentary, stamp or similar issue or transfer taxes or duties,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Definitive Notes, the certificate numbers of the Notes to be converted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188595</wp:posOffset>
            </wp:positionV>
            <wp:extent cx="342011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011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8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2900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 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 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 Commission Rule 17Ad-15 if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are to be issued, or 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Fill in for registration of shares if to be issued, and Notes if to be delivered,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49758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758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75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amount to be converted (if less than all): $__________,000</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NOTICE: The above signature(s) of the Holder(s) hereof must correspond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with the name as written upon the face of the Note in every particular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288925</wp:posOffset>
            </wp:positionV>
            <wp:extent cx="34886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ATTACHMENT 2</w:t>
      </w:r>
    </w:p>
    <w:p>
      <w:pPr>
        <w:spacing w:after="0" w:line="22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[FORM OF FUNDAMENTAL CHANGE REPURCHASE OFFER ACCEPTANCE NOTICE]</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To:</w:t>
        <w:tab/>
        <w:t>Computershare Trust Company, N.A.,</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1505 Energy Park Drive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 Paul, MN 55108</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Keel Infrastructure Corp. Administrator</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Keel Infrastructure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accepts the Company’s offer to repurchase therein in respect of,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Definitive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188595</wp:posOffset>
            </wp:positionV>
            <wp:extent cx="342011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011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26035</wp:posOffset>
            </wp:positionV>
            <wp:extent cx="306895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28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2900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 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 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 Commission Rule 17Ad-15 if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are to be issued, or 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Fill in for registration of Notes if to be delivered, other than to and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4975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758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75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amount to be purchased (if less than all): $__________,000</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NOTICE: The above signature(s) of the Holder(s) hereof must correspond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with the name as written upon the face of the Note in every particular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288925</wp:posOffset>
            </wp:positionV>
            <wp:extent cx="34886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ATTACHMENT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received_________________________hereby sell(s), assign(s) and transfer(s) unto_____________________Please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appoints__________________ attorney to transfer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Note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any transfer of the within Restricted Security, the undersigned confirms that such Note is being transferred:</w:t>
      </w:r>
    </w:p>
    <w:p>
      <w:pPr>
        <w:spacing w:after="0" w:line="184" w:lineRule="exact"/>
        <w:rPr>
          <w:sz w:val="20"/>
          <w:szCs w:val="20"/>
          <w:color w:val="auto"/>
        </w:rPr>
      </w:pPr>
    </w:p>
    <w:p>
      <w:pPr>
        <w:ind w:left="660" w:hanging="652"/>
        <w:spacing w:after="0" w:line="207" w:lineRule="exact"/>
        <w:tabs>
          <w:tab w:leader="none" w:pos="660" w:val="left"/>
        </w:tabs>
        <w:numPr>
          <w:ilvl w:val="0"/>
          <w:numId w:val="10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Keel Infrastructure Corp. or a subsidiary thereof;</w:t>
      </w:r>
    </w:p>
    <w:p>
      <w:pPr>
        <w:spacing w:after="0" w:line="225"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0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 registration statement that has become or been declared effective under the Securities Act of 1933, as amended;</w:t>
      </w:r>
    </w:p>
    <w:p>
      <w:pPr>
        <w:spacing w:after="0" w:line="225"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0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and in compliance with Rule 144A under the Securities Act of 1933, as amended; or</w:t>
      </w:r>
    </w:p>
    <w:p>
      <w:pPr>
        <w:spacing w:after="0" w:line="225" w:lineRule="exact"/>
        <w:rPr>
          <w:rFonts w:ascii="Times New Roman" w:cs="Times New Roman" w:eastAsia="Times New Roman" w:hAnsi="Times New Roman"/>
          <w:sz w:val="18"/>
          <w:szCs w:val="18"/>
          <w:color w:val="auto"/>
        </w:rPr>
      </w:pPr>
    </w:p>
    <w:p>
      <w:pPr>
        <w:ind w:left="660" w:hanging="652"/>
        <w:spacing w:after="0" w:line="245" w:lineRule="exact"/>
        <w:tabs>
          <w:tab w:leader="none" w:pos="660" w:val="left"/>
        </w:tabs>
        <w:numPr>
          <w:ilvl w:val="0"/>
          <w:numId w:val="10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and in compliance with Rule 144 under the Securities Act of 1933, as amended, or any other available exemption from the registration requirements of the Securities Act of 1933, as amended.</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further confirms that such Note is being transferred outside Canada, or pursuant to an exemption from the prospectus requirements of Canadian securities laws if the Notes remain subject to any restriction on transfer under Canadian securities laws.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Unless one of the boxes is checked, the Trustee shall refuse to register any of the Notes evidenced by this certificate in the name of any Person other than the registered Holder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items (4) or (5) are checked, the Company or the Trustee may require, prior to registering any such transfer of the Notes, such legal opinions, certifications and other information as the Company has reasonably requested to confirm that such transfer is being made in compliance with all transfer restrictions applicable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342900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342900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0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26035</wp:posOffset>
            </wp:positionV>
            <wp:extent cx="30689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2900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 Institution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 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 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 Commission Rule 17Ad-15 if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to be delivered, other than to and in the name of the registered holder.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[Bid 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 Name and Address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[__],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Keel Infrastructure Corp.</w:t>
      </w:r>
    </w:p>
    <w:p>
      <w:pPr>
        <w:spacing w:after="0" w:line="27" w:lineRule="exact"/>
        <w:rPr>
          <w:sz w:val="20"/>
          <w:szCs w:val="20"/>
          <w:color w:val="auto"/>
        </w:rPr>
      </w:pPr>
    </w:p>
    <w:p>
      <w:pPr>
        <w:ind w:left="320" w:hanging="312"/>
        <w:spacing w:after="0"/>
        <w:tabs>
          <w:tab w:leader="none" w:pos="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Broadway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Suite 1075</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[Base][Additional] Call Option Transaction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call option transaction entered into between [</w:t>
      </w:r>
      <w:r>
        <w:rPr>
          <w:rFonts w:ascii="Times New Roman" w:cs="Times New Roman" w:eastAsia="Times New Roman" w:hAnsi="Times New Roman"/>
          <w:sz w:val="18"/>
          <w:szCs w:val="18"/>
          <w:i w:val="1"/>
          <w:iCs w:val="1"/>
          <w:color w:val="auto"/>
        </w:rPr>
        <w:t>Dealer Name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Keel Infrastructure Corp.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as of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Equity Definitions and this Confirmation, this Confirmation shall govern. Certain defined terms used herein are based on terms that are defined in the Preliminary Offering Memorandum dated June 4, 2026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relating to the 1.250% Convertible Senior Notes due 2032 (as originally issued by Counterparty,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and each USD 1,000 principal amount of Convertible Notes, a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issued by</w:t>
      </w:r>
    </w:p>
    <w:p>
      <w:pPr>
        <w:spacing w:after="0" w:line="3"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Counterparty in an aggregate initial principal amount of USD 400,000,000 (as increased by [up to]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 aggregate principal amount of USD 58,000,000 [if and to the extent that]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[pursuant to the exercise by]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Initial Purchasers (as defined herein) [exercise]</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[of]</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their option to purchase additional</w:t>
      </w:r>
    </w:p>
    <w:p>
      <w:pPr>
        <w:jc w:val="both"/>
        <w:spacing w:after="0" w:line="237" w:lineRule="auto"/>
        <w:rPr>
          <w:sz w:val="20"/>
          <w:szCs w:val="20"/>
          <w:color w:val="auto"/>
        </w:rPr>
      </w:pPr>
      <w:r>
        <w:rPr>
          <w:rFonts w:ascii="Times New Roman" w:cs="Times New Roman" w:eastAsia="Times New Roman" w:hAnsi="Times New Roman"/>
          <w:sz w:val="18"/>
          <w:szCs w:val="18"/>
          <w:color w:val="auto"/>
        </w:rPr>
        <w:t>Convertible Notes pursuant to the Purchase Agreement (as defined herein)) pursuant to an Indenture [to be]</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dated June [__], 2026 among Counterparty, Bitfarms Ltd., as Guarantor, and Computershare Trust Company, N.A.,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w:t>
      </w:r>
    </w:p>
    <w:p>
      <w:pPr>
        <w:spacing w:after="0" w:line="7"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the Indenture as executed, the parties will amend this Confirmation in good faith to preserve the intent of the parties]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[Indenture as executed]</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Subject to the foregoing, references to the Indenture herein are references to the Indenture as in effect on the date of its execution, and if the Indenture is amended or supplemented following such date (other than any amendment or supplement (x) pursuant to Section [10.01(i)]</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of the Indenture that, as determined by the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Calculation Agent, conforms the Indenture to the description of Convertible Notes in the Offering Memorandum or (y) pursuant to Section [14.07]</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of the Indenture, subject, in the case of this clause (y), to the second paragraph under “Method of Adjustment” in Section ‎3), any such amendment or supplement will be disregarded for purposes of this Confirmation unless the parties agree otherwise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0"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in the Base Call Option Confirmation.</w:t>
      </w:r>
    </w:p>
    <w:p>
      <w:pPr>
        <w:ind w:left="340" w:hanging="332"/>
        <w:spacing w:after="0" w:line="180" w:lineRule="auto"/>
        <w:tabs>
          <w:tab w:leader="none" w:pos="340" w:val="left"/>
        </w:tabs>
        <w:numPr>
          <w:ilvl w:val="0"/>
          <w:numId w:val="1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in the Base Call Option Confirmation.</w:t>
      </w:r>
    </w:p>
    <w:p>
      <w:pPr>
        <w:ind w:left="340" w:hanging="332"/>
        <w:spacing w:after="0" w:line="180" w:lineRule="auto"/>
        <w:tabs>
          <w:tab w:leader="none" w:pos="340" w:val="left"/>
        </w:tabs>
        <w:numPr>
          <w:ilvl w:val="0"/>
          <w:numId w:val="10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in the Additional Call Option Confirmation.</w:t>
      </w:r>
    </w:p>
    <w:p>
      <w:pPr>
        <w:ind w:left="340" w:hanging="332"/>
        <w:spacing w:after="0" w:line="180" w:lineRule="auto"/>
        <w:tabs>
          <w:tab w:leader="none" w:pos="340" w:val="left"/>
        </w:tabs>
        <w:numPr>
          <w:ilvl w:val="0"/>
          <w:numId w:val="10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in the Base Call Option Confirmation.</w:t>
      </w:r>
    </w:p>
    <w:p>
      <w:pPr>
        <w:ind w:left="340" w:hanging="332"/>
        <w:spacing w:after="0" w:line="181" w:lineRule="auto"/>
        <w:tabs>
          <w:tab w:leader="none" w:pos="340" w:val="left"/>
        </w:tabs>
        <w:numPr>
          <w:ilvl w:val="0"/>
          <w:numId w:val="1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in the Additional Call Option Confirmation.</w:t>
      </w:r>
    </w:p>
    <w:p>
      <w:pPr>
        <w:ind w:left="340" w:hanging="332"/>
        <w:spacing w:after="0" w:line="180" w:lineRule="auto"/>
        <w:tabs>
          <w:tab w:leader="none" w:pos="340" w:val="left"/>
        </w:tabs>
        <w:numPr>
          <w:ilvl w:val="0"/>
          <w:numId w:val="1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the Indenture is not completed at the time of the Confirmation.</w:t>
      </w:r>
    </w:p>
    <w:p>
      <w:pPr>
        <w:ind w:left="340" w:hanging="332"/>
        <w:spacing w:after="0" w:line="180" w:lineRule="auto"/>
        <w:tabs>
          <w:tab w:leader="none" w:pos="340" w:val="left"/>
        </w:tabs>
        <w:numPr>
          <w:ilvl w:val="0"/>
          <w:numId w:val="1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in the Base Call Option Confirmation. Include in the Additional Call Option Confirmation if it is executed before closing of the base deal.</w:t>
      </w:r>
    </w:p>
    <w:p>
      <w:pPr>
        <w:ind w:left="340" w:hanging="332"/>
        <w:spacing w:after="0" w:line="181" w:lineRule="auto"/>
        <w:tabs>
          <w:tab w:leader="none" w:pos="340" w:val="left"/>
        </w:tabs>
        <w:numPr>
          <w:ilvl w:val="0"/>
          <w:numId w:val="1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in the Additional Call Option Confirmation, but only if the Additional Call Option Confirmation is executed after the closing of the base deal.</w:t>
      </w:r>
    </w:p>
    <w:p>
      <w:pPr>
        <w:ind w:left="340" w:hanging="332"/>
        <w:spacing w:after="0" w:line="180" w:lineRule="auto"/>
        <w:tabs>
          <w:tab w:leader="none" w:pos="340" w:val="left"/>
        </w:tabs>
        <w:numPr>
          <w:ilvl w:val="0"/>
          <w:numId w:val="1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section(s) permitting amendments without holder consent to conform the Indenture to the Description of Notes</w:t>
      </w:r>
    </w:p>
    <w:p>
      <w:pPr>
        <w:ind w:left="340" w:hanging="332"/>
        <w:spacing w:after="0" w:line="180" w:lineRule="auto"/>
        <w:tabs>
          <w:tab w:leader="none" w:pos="340" w:val="left"/>
        </w:tabs>
        <w:numPr>
          <w:ilvl w:val="0"/>
          <w:numId w:val="1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section(s) relating to Merger Events and Reference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2" w:name="page133"/>
    <w:bookmarkEnd w:id="1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jc w:val="both"/>
        <w:ind w:firstLine="656"/>
        <w:spacing w:after="0" w:line="252" w:lineRule="auto"/>
        <w:tabs>
          <w:tab w:leader="none" w:pos="83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ISDA 2002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Counterparty had executed an agreement in such form on the Trade Date (but without any Schedule except for (i) the election of the laws of the State of New York as the governing law (without reference to choice of law doctrine), (ii) in respect of Section 5(a)(vi) of the Agreement, the election that the “Cross Default” provisions shall apply to Dealer with (a) a “Threshold Amount” of three percent of the shareholders’ equity of [Dealer][Dealer’s ultimate parent] as of the Trade Date, (b) the deletion of the phrase “, or becoming capable at such time of being declared,” from clause (1) and (c) the following language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 (iii) the modification that the term “Specified Indebtedness” shall have the meaning specified in Section 14 of the Agreement, except that such term shall not include obligations in respect of deposits received in the ordinary course of a party’s banking business).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19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particular Transaction to which this Confirmation relates are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Terms</w:t>
            </w:r>
            <w:r>
              <w:rPr>
                <w:rFonts w:ascii="Times New Roman" w:cs="Times New Roman" w:eastAsia="Times New Roman" w:hAnsi="Times New Roman"/>
                <w:sz w:val="18"/>
                <w:szCs w:val="18"/>
                <w:color w:val="auto"/>
              </w:rPr>
              <w:t>.</w:t>
            </w:r>
          </w:p>
        </w:tc>
        <w:tc>
          <w:tcPr>
            <w:tcW w:w="8460" w:type="dxa"/>
            <w:vAlign w:val="bottom"/>
          </w:tcPr>
          <w:p>
            <w:pPr>
              <w:spacing w:after="0"/>
              <w:rPr>
                <w:sz w:val="17"/>
                <w:szCs w:val="17"/>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453"/>
        </w:trPr>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Trade Date:</w:t>
            </w:r>
          </w:p>
        </w:tc>
        <w:tc>
          <w:tcPr>
            <w:tcW w:w="8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[__], 2026</w:t>
            </w:r>
          </w:p>
        </w:tc>
      </w:tr>
      <w:tr>
        <w:trPr>
          <w:trHeight w:val="414"/>
        </w:trPr>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Effective Date:</w:t>
            </w:r>
          </w:p>
        </w:tc>
        <w:tc>
          <w:tcPr>
            <w:tcW w:w="8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second Exchange Business Day immediately prior to the Premium Payment Date, subject to Section</w:t>
            </w:r>
          </w:p>
        </w:tc>
      </w:tr>
      <w:tr>
        <w:trPr>
          <w:trHeight w:val="234"/>
        </w:trPr>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9(u).</w:t>
            </w:r>
          </w:p>
        </w:tc>
      </w:tr>
      <w:tr>
        <w:trPr>
          <w:trHeight w:val="432"/>
        </w:trPr>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Option Style:</w:t>
            </w:r>
          </w:p>
        </w:tc>
        <w:tc>
          <w:tcPr>
            <w:tcW w:w="8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“Modified American”, as described under “Procedures for Exercise” below</w:t>
            </w:r>
          </w:p>
        </w:tc>
      </w:tr>
      <w:tr>
        <w:trPr>
          <w:trHeight w:val="432"/>
        </w:trPr>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Option Type:</w:t>
            </w:r>
          </w:p>
        </w:tc>
        <w:tc>
          <w:tcPr>
            <w:tcW w:w="8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Call</w:t>
            </w:r>
          </w:p>
        </w:tc>
      </w:tr>
      <w:tr>
        <w:trPr>
          <w:trHeight w:val="432"/>
        </w:trPr>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Buyer:</w:t>
            </w:r>
          </w:p>
        </w:tc>
        <w:tc>
          <w:tcPr>
            <w:tcW w:w="8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Counterparty</w:t>
            </w:r>
          </w:p>
        </w:tc>
      </w:tr>
      <w:tr>
        <w:trPr>
          <w:trHeight w:val="432"/>
        </w:trPr>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Seller:</w:t>
            </w:r>
          </w:p>
        </w:tc>
        <w:tc>
          <w:tcPr>
            <w:tcW w:w="8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Dealer</w:t>
            </w:r>
          </w:p>
        </w:tc>
      </w:tr>
      <w:tr>
        <w:trPr>
          <w:trHeight w:val="432"/>
        </w:trPr>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8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common stock of Counterparty, par value $0.001 per share (Exchange symbol “KEEL”).</w:t>
            </w:r>
          </w:p>
        </w:tc>
      </w:tr>
      <w:tr>
        <w:trPr>
          <w:trHeight w:val="454"/>
        </w:trPr>
        <w:tc>
          <w:tcPr>
            <w:tcW w:w="2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Number of Options:</w:t>
            </w:r>
          </w:p>
        </w:tc>
        <w:tc>
          <w:tcPr>
            <w:tcW w:w="8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[_______]</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For the avoidance of doubt, the Number of Options shall be reduced by any Options</w:t>
            </w:r>
          </w:p>
        </w:tc>
      </w:tr>
      <w:tr>
        <w:trPr>
          <w:trHeight w:val="234"/>
        </w:trPr>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exercised by Counterparty. In no event will the Number of Options be less than zero.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10" w:lineRule="auto"/>
        <w:tabs>
          <w:tab w:leader="none" w:pos="340" w:val="left"/>
        </w:tabs>
        <w:numPr>
          <w:ilvl w:val="0"/>
          <w:numId w:val="1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Base Call Option Confirmation, this is equal to the number of Convertible Notes in principal amount of $1,000 initially issued on the closing date for the Convertible Notes. For the Additional Call Option Confirmation, this is equal to the number of additional Convertible Notes in principal amount of $1,000.</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tbl>
      <w:tblPr>
        <w:tblLayout w:type="fixed"/>
        <w:tblInd w:w="340" w:type="dxa"/>
        <w:tblCellMar>
          <w:top w:w="0" w:type="dxa"/>
          <w:left w:w="0" w:type="dxa"/>
          <w:bottom w:w="0" w:type="dxa"/>
          <w:right w:w="0" w:type="dxa"/>
        </w:tblCellMar>
      </w:tblPr>
      <w:tr>
        <w:trPr>
          <w:trHeight w:val="234"/>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Applicable Percentage:</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[__]%</w:t>
            </w:r>
          </w:p>
        </w:tc>
      </w:tr>
      <w:tr>
        <w:trPr>
          <w:trHeight w:val="432"/>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Option Entitlement:</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number equal to the product of the Applicable Percentage and 134.9073.</w:t>
            </w:r>
          </w:p>
        </w:tc>
      </w:tr>
      <w:tr>
        <w:trPr>
          <w:trHeight w:val="432"/>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Strike Price:</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USD 7.4125</w:t>
            </w:r>
          </w:p>
        </w:tc>
      </w:tr>
      <w:tr>
        <w:trPr>
          <w:trHeight w:val="432"/>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Cap Price:</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USD 11.8600</w:t>
            </w:r>
          </w:p>
        </w:tc>
      </w:tr>
      <w:tr>
        <w:trPr>
          <w:trHeight w:val="432"/>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Premium:</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USD [______]</w:t>
            </w:r>
          </w:p>
        </w:tc>
      </w:tr>
      <w:tr>
        <w:trPr>
          <w:trHeight w:val="432"/>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Premium Payment Date:</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June 9, 2026</w:t>
            </w:r>
          </w:p>
        </w:tc>
      </w:tr>
      <w:tr>
        <w:trPr>
          <w:trHeight w:val="432"/>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Exchange:</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Nasdaq Global Market</w:t>
            </w:r>
          </w:p>
        </w:tc>
      </w:tr>
      <w:tr>
        <w:trPr>
          <w:trHeight w:val="432"/>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Related Exchange(s):</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All Exchanges</w:t>
            </w:r>
          </w:p>
        </w:tc>
      </w:tr>
      <w:tr>
        <w:trPr>
          <w:trHeight w:val="595"/>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Excluded Provisions:</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[14.04(h)]</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and Section [14.03]</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of the Indenture.</w:t>
            </w:r>
          </w:p>
        </w:tc>
      </w:tr>
      <w:tr>
        <w:trPr>
          <w:trHeight w:val="291"/>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Conversion Date:</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 respect to any conversion of a Convertible Note, the date on which the “Holder” (as such term is</w:t>
            </w:r>
          </w:p>
        </w:tc>
      </w:tr>
      <w:tr>
        <w:trPr>
          <w:trHeight w:val="220"/>
        </w:trPr>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defined in the Indenture) of such Convertible Note satisfies all of the requirements for conversion thereof as</w:t>
            </w:r>
          </w:p>
        </w:tc>
      </w:tr>
      <w:tr>
        <w:trPr>
          <w:trHeight w:val="253"/>
        </w:trPr>
        <w:tc>
          <w:tcPr>
            <w:tcW w:w="1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80" w:type="dxa"/>
            <w:vAlign w:val="bottom"/>
          </w:tcPr>
          <w:p>
            <w:pPr>
              <w:ind w:left="500"/>
              <w:spacing w:after="0" w:line="252" w:lineRule="exact"/>
              <w:rPr>
                <w:sz w:val="20"/>
                <w:szCs w:val="20"/>
                <w:color w:val="auto"/>
              </w:rPr>
            </w:pPr>
            <w:r>
              <w:rPr>
                <w:rFonts w:ascii="Times New Roman" w:cs="Times New Roman" w:eastAsia="Times New Roman" w:hAnsi="Times New Roman"/>
                <w:sz w:val="18"/>
                <w:szCs w:val="18"/>
                <w:color w:val="auto"/>
              </w:rPr>
              <w:t>set forth in Section [14.02(b)]</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Section 9(i)(i) of this</w:t>
            </w:r>
          </w:p>
        </w:tc>
      </w:tr>
      <w:tr>
        <w:trPr>
          <w:trHeight w:val="212"/>
        </w:trPr>
        <w:tc>
          <w:tcPr>
            <w:tcW w:w="1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Confirmation shall apply to any conversion of Convertible Notes with a Conversion Date occurring prior to</w:t>
            </w:r>
          </w:p>
        </w:tc>
      </w:tr>
      <w:tr>
        <w:trPr>
          <w:trHeight w:val="238"/>
        </w:trPr>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Free Convertibility Date (any such conversion, an “</w:t>
            </w:r>
            <w:r>
              <w:rPr>
                <w:rFonts w:ascii="Times New Roman" w:cs="Times New Roman" w:eastAsia="Times New Roman" w:hAnsi="Times New Roman"/>
                <w:sz w:val="18"/>
                <w:szCs w:val="18"/>
                <w:b w:val="1"/>
                <w:bCs w:val="1"/>
                <w:color w:val="auto"/>
              </w:rPr>
              <w:t>Early Conversion</w:t>
            </w:r>
            <w:r>
              <w:rPr>
                <w:rFonts w:ascii="Times New Roman" w:cs="Times New Roman" w:eastAsia="Times New Roman" w:hAnsi="Times New Roman"/>
                <w:sz w:val="18"/>
                <w:szCs w:val="18"/>
                <w:color w:val="auto"/>
              </w:rPr>
              <w:t>”)).</w:t>
            </w:r>
          </w:p>
        </w:tc>
      </w:tr>
      <w:tr>
        <w:trPr>
          <w:trHeight w:val="432"/>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Free Convertibility Date:</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October 15, 2031</w:t>
            </w:r>
          </w:p>
        </w:tc>
      </w:tr>
      <w:tr>
        <w:trPr>
          <w:trHeight w:val="41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Procedures for Exercise</w:t>
            </w:r>
            <w:r>
              <w:rPr>
                <w:rFonts w:ascii="Times New Roman" w:cs="Times New Roman" w:eastAsia="Times New Roman" w:hAnsi="Times New Roman"/>
                <w:sz w:val="18"/>
                <w:szCs w:val="18"/>
                <w:color w:val="auto"/>
              </w:rPr>
              <w:t>.</w:t>
            </w:r>
          </w:p>
        </w:tc>
        <w:tc>
          <w:tcPr>
            <w:tcW w:w="8280" w:type="dxa"/>
            <w:vAlign w:val="bottom"/>
          </w:tcPr>
          <w:p>
            <w:pPr>
              <w:spacing w:after="0"/>
              <w:rPr>
                <w:sz w:val="24"/>
                <w:szCs w:val="24"/>
                <w:color w:val="auto"/>
              </w:rPr>
            </w:pPr>
          </w:p>
        </w:tc>
      </w:tr>
      <w:tr>
        <w:trPr>
          <w:trHeight w:val="696"/>
        </w:trPr>
        <w:tc>
          <w:tcPr>
            <w:tcW w:w="17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Expiration Time:</w:t>
            </w:r>
          </w:p>
        </w:tc>
        <w:tc>
          <w:tcPr>
            <w:tcW w:w="900" w:type="dxa"/>
            <w:vAlign w:val="bottom"/>
          </w:tcPr>
          <w:p>
            <w:pPr>
              <w:spacing w:after="0"/>
              <w:rPr>
                <w:sz w:val="24"/>
                <w:szCs w:val="24"/>
                <w:color w:val="auto"/>
              </w:rPr>
            </w:pP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Valuation Time</w:t>
            </w:r>
          </w:p>
        </w:tc>
      </w:tr>
      <w:tr>
        <w:trPr>
          <w:trHeight w:val="432"/>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Expiration Date:</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January 15, 2032, subject to earlier exercise.</w:t>
            </w:r>
          </w:p>
        </w:tc>
      </w:tr>
      <w:tr>
        <w:trPr>
          <w:trHeight w:val="432"/>
        </w:trPr>
        <w:tc>
          <w:tcPr>
            <w:tcW w:w="2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Multiple Exercise:</w:t>
            </w:r>
          </w:p>
        </w:tc>
        <w:tc>
          <w:tcPr>
            <w:tcW w:w="8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Applicable, as described under “Automatic Exercise”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containing discretionary adjustments to the Conversion Rate by Counterparty.</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section(s) dealing with make-whole adjustments to the Conversion Rate.</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1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section(s) setting forth the requirements for conversion of the Convertible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tbl>
      <w:tblPr>
        <w:tblLayout w:type="fixed"/>
        <w:tblInd w:w="340" w:type="dxa"/>
        <w:tblCellMar>
          <w:top w:w="0" w:type="dxa"/>
          <w:left w:w="0" w:type="dxa"/>
          <w:bottom w:w="0" w:type="dxa"/>
          <w:right w:w="0" w:type="dxa"/>
        </w:tblCellMar>
      </w:tblPr>
      <w:tr>
        <w:trPr>
          <w:trHeight w:val="216"/>
        </w:trPr>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Automatic Exercise:</w:t>
            </w: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Notwithstanding Section 3.4 of the Equity Definitions or anything to the contrary in this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Confirmation, unless Counterparty notifies Dealer in writing prior to 5:00 p.m. (New York City</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time) on the Expiration Date that it does not wish Automatic Exercise to occur, all Options then</w:t>
            </w:r>
          </w:p>
        </w:tc>
        <w:tc>
          <w:tcPr>
            <w:tcW w:w="0" w:type="dxa"/>
            <w:vAlign w:val="bottom"/>
          </w:tcPr>
          <w:p>
            <w:pPr>
              <w:spacing w:after="0"/>
              <w:rPr>
                <w:sz w:val="1"/>
                <w:szCs w:val="1"/>
                <w:color w:val="auto"/>
              </w:rPr>
            </w:pPr>
          </w:p>
        </w:tc>
      </w:tr>
      <w:tr>
        <w:trPr>
          <w:trHeight w:val="214"/>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outstanding as of 5:00 p.m. (New York City time) on the Expiration Date will be deemed to be</w:t>
            </w:r>
          </w:p>
        </w:tc>
        <w:tc>
          <w:tcPr>
            <w:tcW w:w="0" w:type="dxa"/>
            <w:vAlign w:val="bottom"/>
          </w:tcPr>
          <w:p>
            <w:pPr>
              <w:spacing w:after="0"/>
              <w:rPr>
                <w:sz w:val="1"/>
                <w:szCs w:val="1"/>
                <w:color w:val="auto"/>
              </w:rPr>
            </w:pPr>
          </w:p>
        </w:tc>
      </w:tr>
      <w:tr>
        <w:trPr>
          <w:trHeight w:val="218"/>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xml:space="preserve">automatically exercised;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Settlement Method for such Options is (x)</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Net Share Settlement and the Specified Cash Amount (as defined below) is not USD 1,000, (y)</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Cash Settlement or (z) Combination Settlement, Dealer shall have received a separate notice (the</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Final Settlement Method</w:t>
            </w:r>
            <w:r>
              <w:rPr>
                <w:rFonts w:ascii="Times New Roman" w:cs="Times New Roman" w:eastAsia="Times New Roman" w:hAnsi="Times New Roman"/>
                <w:sz w:val="18"/>
                <w:szCs w:val="18"/>
                <w:color w:val="auto"/>
              </w:rPr>
              <w:t>”) in respect of all such Convertible Notes before 5:00 p.m.</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(New York City time) on the Free Convertibility Date specifying (1) the Relevant Settlement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Method for such Options, and (2) if the settlement method for the related Convertible Notes is not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Settlement in Shares or Settlement in Cash (each as defined below), the fixed amount of cash per</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Convertible Note that Counterparty has elected to deliver to Holders (as such term is defined in the</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Indenture) of the related Convertible Notes (the “</w:t>
            </w:r>
            <w:r>
              <w:rPr>
                <w:rFonts w:ascii="Times New Roman" w:cs="Times New Roman" w:eastAsia="Times New Roman" w:hAnsi="Times New Roman"/>
                <w:sz w:val="18"/>
                <w:szCs w:val="18"/>
                <w:b w:val="1"/>
                <w:bCs w:val="1"/>
                <w:color w:val="auto"/>
              </w:rPr>
              <w:t>Specified Cash Amount</w:t>
            </w:r>
            <w:r>
              <w:rPr>
                <w:rFonts w:ascii="Times New Roman" w:cs="Times New Roman" w:eastAsia="Times New Roman" w:hAnsi="Times New Roman"/>
                <w:sz w:val="18"/>
                <w:szCs w:val="18"/>
                <w:color w:val="auto"/>
              </w:rPr>
              <w:t>”). Counterparty</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acknowledges its responsibilities under applicable securities laws, and in particular Section 9 and</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Section 10(b) of the Exchange Act (as defined below) and the rules and regulations thereunder, in</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respect of any election of a settlement method with respect to the Convertible Notes.</w:t>
            </w:r>
          </w:p>
        </w:tc>
        <w:tc>
          <w:tcPr>
            <w:tcW w:w="0" w:type="dxa"/>
            <w:vAlign w:val="bottom"/>
          </w:tcPr>
          <w:p>
            <w:pPr>
              <w:spacing w:after="0"/>
              <w:rPr>
                <w:sz w:val="1"/>
                <w:szCs w:val="1"/>
                <w:color w:val="auto"/>
              </w:rPr>
            </w:pPr>
          </w:p>
        </w:tc>
      </w:tr>
      <w:tr>
        <w:trPr>
          <w:trHeight w:val="414"/>
        </w:trPr>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Valuation Time:</w:t>
            </w: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xml:space="preserve">At 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trading session is extended, the Calculation Agent shall determine the Valuation Time in good faith</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 in its commercially reasonable discretion.</w:t>
            </w:r>
          </w:p>
        </w:tc>
        <w:tc>
          <w:tcPr>
            <w:tcW w:w="0" w:type="dxa"/>
            <w:vAlign w:val="bottom"/>
          </w:tcPr>
          <w:p>
            <w:pPr>
              <w:spacing w:after="0"/>
              <w:rPr>
                <w:sz w:val="1"/>
                <w:szCs w:val="1"/>
                <w:color w:val="auto"/>
              </w:rPr>
            </w:pPr>
          </w:p>
        </w:tc>
      </w:tr>
      <w:tr>
        <w:trPr>
          <w:trHeight w:val="432"/>
        </w:trPr>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Market Disruption Event:</w:t>
            </w: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Section 6.3(a) of the Equity Definitions is hereby replaced in its entirety by the following:</w:t>
            </w:r>
          </w:p>
        </w:tc>
        <w:tc>
          <w:tcPr>
            <w:tcW w:w="0" w:type="dxa"/>
            <w:vAlign w:val="bottom"/>
          </w:tcPr>
          <w:p>
            <w:pPr>
              <w:spacing w:after="0"/>
              <w:rPr>
                <w:sz w:val="1"/>
                <w:szCs w:val="1"/>
                <w:color w:val="auto"/>
              </w:rPr>
            </w:pPr>
          </w:p>
        </w:tc>
      </w:tr>
      <w:tr>
        <w:trPr>
          <w:trHeight w:val="414"/>
        </w:trPr>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“‘Market Disruption Event’ means, in respect of a Share, (i) a failure by the principal United States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national or regional securities exchange or market on which the Shares are then listed or admitted</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 trading to open for trading during its regular trading session or (ii) the occurrence or existence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prior to 1:00 p.m. (New York City time) on any Scheduled Valid Day for the Shares for more than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one half-hour period in the aggregate during regular trading hours of any suspension or limitation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imposed on trading (by reason of movements in price exceeding limits permitted by the relevant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stock exchange or otherwise) in the Shares or in any options contracts or futures contracts relating</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 the Shares.”</w:t>
            </w:r>
          </w:p>
        </w:tc>
        <w:tc>
          <w:tcPr>
            <w:tcW w:w="0" w:type="dxa"/>
            <w:vAlign w:val="bottom"/>
          </w:tcPr>
          <w:p>
            <w:pPr>
              <w:spacing w:after="0"/>
              <w:rPr>
                <w:sz w:val="1"/>
                <w:szCs w:val="1"/>
                <w:color w:val="auto"/>
              </w:rPr>
            </w:pPr>
          </w:p>
        </w:tc>
      </w:tr>
      <w:tr>
        <w:trPr>
          <w:trHeight w:val="41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Settlement Terms.</w:t>
            </w:r>
          </w:p>
        </w:tc>
        <w:tc>
          <w:tcPr>
            <w:tcW w:w="7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4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 xml:space="preserve">For any Option, Net Share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Settlement Method set forth</w:t>
            </w:r>
          </w:p>
        </w:tc>
        <w:tc>
          <w:tcPr>
            <w:tcW w:w="0" w:type="dxa"/>
            <w:vAlign w:val="bottom"/>
          </w:tcPr>
          <w:p>
            <w:pPr>
              <w:spacing w:after="0" w:line="20" w:lineRule="exact"/>
              <w:rPr>
                <w:sz w:val="1"/>
                <w:szCs w:val="1"/>
                <w:color w:val="auto"/>
              </w:rPr>
            </w:pPr>
          </w:p>
        </w:tc>
      </w:tr>
      <w:tr>
        <w:trPr>
          <w:trHeight w:val="677"/>
        </w:trPr>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Method:</w:t>
            </w:r>
          </w:p>
        </w:tc>
        <w:tc>
          <w:tcPr>
            <w:tcW w:w="7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below for such Option is not Net Share Settlement, then the Settlement Method for such Option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shall be such Relevant Settlement Method, but only if Counterparty shall have notified Dealer of</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Relevant Settlement Method in the Notice of Final Settlement Method for such Option.</w:t>
            </w:r>
          </w:p>
        </w:tc>
        <w:tc>
          <w:tcPr>
            <w:tcW w:w="0" w:type="dxa"/>
            <w:vAlign w:val="bottom"/>
          </w:tcPr>
          <w:p>
            <w:pPr>
              <w:spacing w:after="0"/>
              <w:rPr>
                <w:sz w:val="1"/>
                <w:szCs w:val="1"/>
                <w:color w:val="auto"/>
              </w:rPr>
            </w:pPr>
          </w:p>
        </w:tc>
      </w:tr>
      <w:tr>
        <w:trPr>
          <w:trHeight w:val="432"/>
        </w:trPr>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Relevant Settlement Method:</w:t>
            </w: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 respect of any Option:</w:t>
            </w:r>
          </w:p>
        </w:tc>
        <w:tc>
          <w:tcPr>
            <w:tcW w:w="0" w:type="dxa"/>
            <w:vAlign w:val="bottom"/>
          </w:tcPr>
          <w:p>
            <w:pPr>
              <w:spacing w:after="0"/>
              <w:rPr>
                <w:sz w:val="1"/>
                <w:szCs w:val="1"/>
                <w:color w:val="auto"/>
              </w:rPr>
            </w:pPr>
          </w:p>
        </w:tc>
      </w:tr>
      <w:tr>
        <w:trPr>
          <w:trHeight w:val="417"/>
        </w:trPr>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 if Counterparty has elected to settle its conversion obligations in respect of the related</w:t>
            </w:r>
          </w:p>
        </w:tc>
        <w:tc>
          <w:tcPr>
            <w:tcW w:w="0" w:type="dxa"/>
            <w:vAlign w:val="bottom"/>
          </w:tcPr>
          <w:p>
            <w:pPr>
              <w:spacing w:after="0"/>
              <w:rPr>
                <w:sz w:val="1"/>
                <w:szCs w:val="1"/>
                <w:color w:val="auto"/>
              </w:rPr>
            </w:pPr>
          </w:p>
        </w:tc>
      </w:tr>
      <w:tr>
        <w:trPr>
          <w:trHeight w:val="249"/>
        </w:trPr>
        <w:tc>
          <w:tcPr>
            <w:tcW w:w="1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840" w:type="dxa"/>
            <w:vAlign w:val="bottom"/>
          </w:tcPr>
          <w:p>
            <w:pPr>
              <w:ind w:left="620"/>
              <w:spacing w:after="0" w:line="249" w:lineRule="exact"/>
              <w:rPr>
                <w:sz w:val="20"/>
                <w:szCs w:val="20"/>
                <w:color w:val="auto"/>
              </w:rPr>
            </w:pPr>
            <w:r>
              <w:rPr>
                <w:rFonts w:ascii="Times New Roman" w:cs="Times New Roman" w:eastAsia="Times New Roman" w:hAnsi="Times New Roman"/>
                <w:sz w:val="17"/>
                <w:szCs w:val="17"/>
                <w:color w:val="auto"/>
              </w:rPr>
              <w:t>Convertible Note (A) entirely in Shares pursuant to Section [14.02(a)(v)(A)]</w:t>
            </w:r>
            <w:r>
              <w:rPr>
                <w:rFonts w:ascii="Times New Roman" w:cs="Times New Roman" w:eastAsia="Times New Roman" w:hAnsi="Times New Roman"/>
                <w:sz w:val="28"/>
                <w:szCs w:val="28"/>
                <w:color w:val="auto"/>
                <w:vertAlign w:val="superscript"/>
              </w:rPr>
              <w:t>15</w:t>
            </w:r>
            <w:r>
              <w:rPr>
                <w:rFonts w:ascii="Times New Roman" w:cs="Times New Roman" w:eastAsia="Times New Roman" w:hAnsi="Times New Roman"/>
                <w:sz w:val="17"/>
                <w:szCs w:val="17"/>
                <w:color w:val="auto"/>
              </w:rPr>
              <w:t xml:space="preserve"> of the Indenture</w:t>
            </w: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(together with cash in lieu of fractional Shares) (such settlement method, “</w:t>
            </w:r>
            <w:r>
              <w:rPr>
                <w:rFonts w:ascii="Times New Roman" w:cs="Times New Roman" w:eastAsia="Times New Roman" w:hAnsi="Times New Roman"/>
                <w:sz w:val="18"/>
                <w:szCs w:val="18"/>
                <w:b w:val="1"/>
                <w:bCs w:val="1"/>
                <w:color w:val="auto"/>
              </w:rPr>
              <w:t>Settlement in Shares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1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840" w:type="dxa"/>
            <w:vAlign w:val="bottom"/>
          </w:tcPr>
          <w:p>
            <w:pPr>
              <w:ind w:left="620"/>
              <w:spacing w:after="0" w:line="249" w:lineRule="exact"/>
              <w:rPr>
                <w:sz w:val="20"/>
                <w:szCs w:val="20"/>
                <w:color w:val="auto"/>
              </w:rPr>
            </w:pPr>
            <w:r>
              <w:rPr>
                <w:rFonts w:ascii="Times New Roman" w:cs="Times New Roman" w:eastAsia="Times New Roman" w:hAnsi="Times New Roman"/>
                <w:sz w:val="17"/>
                <w:szCs w:val="17"/>
                <w:color w:val="auto"/>
              </w:rPr>
              <w:t>(B) in a combination of cash and Shares pursuant to Section [14.02(a)(v)(C)]</w:t>
            </w:r>
            <w:r>
              <w:rPr>
                <w:rFonts w:ascii="Times New Roman" w:cs="Times New Roman" w:eastAsia="Times New Roman" w:hAnsi="Times New Roman"/>
                <w:sz w:val="28"/>
                <w:szCs w:val="28"/>
                <w:color w:val="auto"/>
                <w:vertAlign w:val="superscript"/>
              </w:rPr>
              <w:t>16</w:t>
            </w:r>
            <w:r>
              <w:rPr>
                <w:rFonts w:ascii="Times New Roman" w:cs="Times New Roman" w:eastAsia="Times New Roman" w:hAnsi="Times New Roman"/>
                <w:sz w:val="17"/>
                <w:szCs w:val="17"/>
                <w:color w:val="auto"/>
              </w:rPr>
              <w:t xml:space="preserve"> of the Indenture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with a Specified Cash Amount less than USD 1,000 (such settlement method, “</w:t>
            </w:r>
            <w:r>
              <w:rPr>
                <w:rFonts w:ascii="Times New Roman" w:cs="Times New Roman" w:eastAsia="Times New Roman" w:hAnsi="Times New Roman"/>
                <w:sz w:val="18"/>
                <w:szCs w:val="18"/>
                <w:b w:val="1"/>
                <w:bCs w:val="1"/>
                <w:color w:val="auto"/>
              </w:rPr>
              <w:t>Low Cash</w:t>
            </w: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or (C) in a combination of cash and Shares pursuant to Section</w:t>
            </w:r>
          </w:p>
        </w:tc>
        <w:tc>
          <w:tcPr>
            <w:tcW w:w="0" w:type="dxa"/>
            <w:vAlign w:val="bottom"/>
          </w:tcPr>
          <w:p>
            <w:pPr>
              <w:spacing w:after="0"/>
              <w:rPr>
                <w:sz w:val="1"/>
                <w:szCs w:val="1"/>
                <w:color w:val="auto"/>
              </w:rPr>
            </w:pPr>
          </w:p>
        </w:tc>
      </w:tr>
      <w:tr>
        <w:trPr>
          <w:trHeight w:val="253"/>
        </w:trPr>
        <w:tc>
          <w:tcPr>
            <w:tcW w:w="1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840" w:type="dxa"/>
            <w:vAlign w:val="bottom"/>
          </w:tcPr>
          <w:p>
            <w:pPr>
              <w:ind w:left="620"/>
              <w:spacing w:after="0" w:line="252" w:lineRule="exact"/>
              <w:rPr>
                <w:sz w:val="20"/>
                <w:szCs w:val="20"/>
                <w:color w:val="auto"/>
              </w:rPr>
            </w:pPr>
            <w:r>
              <w:rPr>
                <w:rFonts w:ascii="Times New Roman" w:cs="Times New Roman" w:eastAsia="Times New Roman" w:hAnsi="Times New Roman"/>
                <w:sz w:val="18"/>
                <w:szCs w:val="18"/>
                <w:color w:val="auto"/>
              </w:rPr>
              <w:t>[14.02(a)(v)(C)]</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of the Indenture with a Specified Cash Amount equal to USD 1,000, then, in</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each case, the Relevant Settlement Method for such Option shall be Net Share Settlement;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section of the Indenture containing provisions for full physical settlement of the Convertible Notes.</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section of the Indenture containing provisions for combination settlement of the Convertible Notes.</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1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section of the Indenture containing provisions for combination settlement of the Convertible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tbl>
      <w:tblPr>
        <w:tblLayout w:type="fixed"/>
        <w:tblInd w:w="660" w:type="dxa"/>
        <w:tblCellMar>
          <w:top w:w="0" w:type="dxa"/>
          <w:left w:w="0" w:type="dxa"/>
          <w:bottom w:w="0" w:type="dxa"/>
          <w:right w:w="0" w:type="dxa"/>
        </w:tblCellMar>
      </w:tblPr>
      <w:tr>
        <w:trPr>
          <w:trHeight w:val="220"/>
        </w:trPr>
        <w:tc>
          <w:tcPr>
            <w:tcW w:w="2520" w:type="dxa"/>
            <w:vAlign w:val="bottom"/>
          </w:tcPr>
          <w:p>
            <w:pPr>
              <w:spacing w:after="0"/>
              <w:rPr>
                <w:sz w:val="19"/>
                <w:szCs w:val="19"/>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(ii) if Counterparty has elected to settle its conversion obligations in respect of the related</w:t>
            </w:r>
          </w:p>
        </w:tc>
      </w:tr>
      <w:tr>
        <w:trPr>
          <w:trHeight w:val="253"/>
        </w:trPr>
        <w:tc>
          <w:tcPr>
            <w:tcW w:w="2520" w:type="dxa"/>
            <w:vAlign w:val="bottom"/>
          </w:tcPr>
          <w:p>
            <w:pPr>
              <w:spacing w:after="0"/>
              <w:rPr>
                <w:sz w:val="21"/>
                <w:szCs w:val="21"/>
                <w:color w:val="auto"/>
              </w:rPr>
            </w:pPr>
          </w:p>
        </w:tc>
        <w:tc>
          <w:tcPr>
            <w:tcW w:w="8060" w:type="dxa"/>
            <w:vAlign w:val="bottom"/>
            <w:gridSpan w:val="2"/>
          </w:tcPr>
          <w:p>
            <w:pPr>
              <w:ind w:left="840"/>
              <w:spacing w:after="0" w:line="252" w:lineRule="exact"/>
              <w:rPr>
                <w:sz w:val="20"/>
                <w:szCs w:val="20"/>
                <w:color w:val="auto"/>
              </w:rPr>
            </w:pPr>
            <w:r>
              <w:rPr>
                <w:rFonts w:ascii="Times New Roman" w:cs="Times New Roman" w:eastAsia="Times New Roman" w:hAnsi="Times New Roman"/>
                <w:sz w:val="18"/>
                <w:szCs w:val="18"/>
                <w:color w:val="auto"/>
              </w:rPr>
              <w:t>Convertible Note in a combination of cash and Shares pursuant to Section [14.02(a)(v)(C)]</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 of the</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Indenture with a Specified Cash Amount greater than USD 1,000, then the Relevant Settlement</w:t>
            </w:r>
          </w:p>
        </w:tc>
      </w:tr>
      <w:tr>
        <w:trPr>
          <w:trHeight w:val="234"/>
        </w:trPr>
        <w:tc>
          <w:tcPr>
            <w:tcW w:w="2520" w:type="dxa"/>
            <w:vAlign w:val="bottom"/>
          </w:tcPr>
          <w:p>
            <w:pPr>
              <w:spacing w:after="0"/>
              <w:rPr>
                <w:sz w:val="20"/>
                <w:szCs w:val="20"/>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Method for such Option shall be Combination Settlement; and</w:t>
            </w:r>
          </w:p>
        </w:tc>
      </w:tr>
      <w:tr>
        <w:trPr>
          <w:trHeight w:val="417"/>
        </w:trPr>
        <w:tc>
          <w:tcPr>
            <w:tcW w:w="2520" w:type="dxa"/>
            <w:vAlign w:val="bottom"/>
          </w:tcPr>
          <w:p>
            <w:pPr>
              <w:spacing w:after="0"/>
              <w:rPr>
                <w:sz w:val="24"/>
                <w:szCs w:val="24"/>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(iii) if Counterparty has elected to settle its conversion obligations in respect of the related</w:t>
            </w:r>
          </w:p>
        </w:tc>
      </w:tr>
      <w:tr>
        <w:trPr>
          <w:trHeight w:val="249"/>
        </w:trPr>
        <w:tc>
          <w:tcPr>
            <w:tcW w:w="2520" w:type="dxa"/>
            <w:vAlign w:val="bottom"/>
          </w:tcPr>
          <w:p>
            <w:pPr>
              <w:spacing w:after="0"/>
              <w:rPr>
                <w:sz w:val="21"/>
                <w:szCs w:val="21"/>
                <w:color w:val="auto"/>
              </w:rPr>
            </w:pPr>
          </w:p>
        </w:tc>
        <w:tc>
          <w:tcPr>
            <w:tcW w:w="8060" w:type="dxa"/>
            <w:vAlign w:val="bottom"/>
            <w:gridSpan w:val="2"/>
          </w:tcPr>
          <w:p>
            <w:pPr>
              <w:ind w:left="840"/>
              <w:spacing w:after="0" w:line="249" w:lineRule="exact"/>
              <w:rPr>
                <w:sz w:val="20"/>
                <w:szCs w:val="20"/>
                <w:color w:val="auto"/>
              </w:rPr>
            </w:pPr>
            <w:r>
              <w:rPr>
                <w:rFonts w:ascii="Times New Roman" w:cs="Times New Roman" w:eastAsia="Times New Roman" w:hAnsi="Times New Roman"/>
                <w:sz w:val="17"/>
                <w:szCs w:val="17"/>
                <w:color w:val="auto"/>
              </w:rPr>
              <w:t>Convertible Note entirely in cash pursuant to Section [14.02(a)(v)(B)]</w:t>
            </w:r>
            <w:r>
              <w:rPr>
                <w:rFonts w:ascii="Times New Roman" w:cs="Times New Roman" w:eastAsia="Times New Roman" w:hAnsi="Times New Roman"/>
                <w:sz w:val="28"/>
                <w:szCs w:val="28"/>
                <w:color w:val="auto"/>
                <w:vertAlign w:val="superscript"/>
              </w:rPr>
              <w:t>19</w:t>
            </w:r>
            <w:r>
              <w:rPr>
                <w:rFonts w:ascii="Times New Roman" w:cs="Times New Roman" w:eastAsia="Times New Roman" w:hAnsi="Times New Roman"/>
                <w:sz w:val="17"/>
                <w:szCs w:val="17"/>
                <w:color w:val="auto"/>
              </w:rPr>
              <w:t xml:space="preserve"> of the Indenture (such</w:t>
            </w:r>
          </w:p>
        </w:tc>
      </w:tr>
      <w:tr>
        <w:trPr>
          <w:trHeight w:val="220"/>
        </w:trPr>
        <w:tc>
          <w:tcPr>
            <w:tcW w:w="2520" w:type="dxa"/>
            <w:vAlign w:val="bottom"/>
          </w:tcPr>
          <w:p>
            <w:pPr>
              <w:spacing w:after="0"/>
              <w:rPr>
                <w:sz w:val="19"/>
                <w:szCs w:val="19"/>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settlement method, “</w:t>
            </w:r>
            <w:r>
              <w:rPr>
                <w:rFonts w:ascii="Times New Roman" w:cs="Times New Roman" w:eastAsia="Times New Roman" w:hAnsi="Times New Roman"/>
                <w:sz w:val="18"/>
                <w:szCs w:val="18"/>
                <w:b w:val="1"/>
                <w:bCs w:val="1"/>
                <w:color w:val="auto"/>
              </w:rPr>
              <w:t>Settlement in Cash</w:t>
            </w:r>
            <w:r>
              <w:rPr>
                <w:rFonts w:ascii="Times New Roman" w:cs="Times New Roman" w:eastAsia="Times New Roman" w:hAnsi="Times New Roman"/>
                <w:sz w:val="18"/>
                <w:szCs w:val="18"/>
                <w:color w:val="auto"/>
              </w:rPr>
              <w:t>”), then the Relevant Settlement Method for such Option</w:t>
            </w:r>
          </w:p>
        </w:tc>
      </w:tr>
      <w:tr>
        <w:trPr>
          <w:trHeight w:val="234"/>
        </w:trPr>
        <w:tc>
          <w:tcPr>
            <w:tcW w:w="2520" w:type="dxa"/>
            <w:vAlign w:val="bottom"/>
          </w:tcPr>
          <w:p>
            <w:pPr>
              <w:spacing w:after="0"/>
              <w:rPr>
                <w:sz w:val="20"/>
                <w:szCs w:val="20"/>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shall be Cash Settlement.</w:t>
            </w: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w:t>
            </w: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If Net Share Settlement is applicable to any Option exercised or deemed exercised hereunder,</w:t>
            </w:r>
          </w:p>
        </w:tc>
      </w:tr>
      <w:tr>
        <w:trPr>
          <w:trHeight w:val="212"/>
        </w:trPr>
        <w:tc>
          <w:tcPr>
            <w:tcW w:w="2520" w:type="dxa"/>
            <w:vAlign w:val="bottom"/>
          </w:tcPr>
          <w:p>
            <w:pPr>
              <w:spacing w:after="0"/>
              <w:rPr>
                <w:sz w:val="18"/>
                <w:szCs w:val="18"/>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9"/>
              </w:rPr>
              <w:t>Dealer will deliver to Counterparty, on the relevant Settlement Date for each such Option, a number</w:t>
            </w:r>
          </w:p>
        </w:tc>
      </w:tr>
      <w:tr>
        <w:trPr>
          <w:trHeight w:val="220"/>
        </w:trPr>
        <w:tc>
          <w:tcPr>
            <w:tcW w:w="2520" w:type="dxa"/>
            <w:vAlign w:val="bottom"/>
          </w:tcPr>
          <w:p>
            <w:pPr>
              <w:spacing w:after="0"/>
              <w:rPr>
                <w:sz w:val="19"/>
                <w:szCs w:val="19"/>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of Shares (the “</w:t>
            </w:r>
            <w:r>
              <w:rPr>
                <w:rFonts w:ascii="Times New Roman" w:cs="Times New Roman" w:eastAsia="Times New Roman" w:hAnsi="Times New Roman"/>
                <w:sz w:val="18"/>
                <w:szCs w:val="18"/>
                <w:b w:val="1"/>
                <w:bCs w:val="1"/>
                <w:color w:val="auto"/>
              </w:rPr>
              <w:t>Net Share Settlement Amount</w:t>
            </w:r>
            <w:r>
              <w:rPr>
                <w:rFonts w:ascii="Times New Roman" w:cs="Times New Roman" w:eastAsia="Times New Roman" w:hAnsi="Times New Roman"/>
                <w:sz w:val="18"/>
                <w:szCs w:val="18"/>
                <w:color w:val="auto"/>
              </w:rPr>
              <w:t>”) equal to the sum, for each Valid Day during the</w:t>
            </w:r>
          </w:p>
        </w:tc>
      </w:tr>
      <w:tr>
        <w:trPr>
          <w:trHeight w:val="214"/>
        </w:trPr>
        <w:tc>
          <w:tcPr>
            <w:tcW w:w="2520" w:type="dxa"/>
            <w:vAlign w:val="bottom"/>
          </w:tcPr>
          <w:p>
            <w:pPr>
              <w:spacing w:after="0"/>
              <w:rPr>
                <w:sz w:val="18"/>
                <w:szCs w:val="18"/>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Settlement Averaging Period for each such Option, of (i) (a) the Daily Option Value for such Valid</w:t>
            </w:r>
          </w:p>
        </w:tc>
      </w:tr>
      <w:tr>
        <w:trPr>
          <w:trHeight w:val="218"/>
        </w:trPr>
        <w:tc>
          <w:tcPr>
            <w:tcW w:w="2520" w:type="dxa"/>
            <w:vAlign w:val="bottom"/>
          </w:tcPr>
          <w:p>
            <w:pPr>
              <w:spacing w:after="0"/>
              <w:rPr>
                <w:sz w:val="18"/>
                <w:szCs w:val="18"/>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xml:space="preserve">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w:t>
            </w:r>
          </w:p>
        </w:tc>
      </w:tr>
      <w:tr>
        <w:trPr>
          <w:trHeight w:val="234"/>
        </w:trPr>
        <w:tc>
          <w:tcPr>
            <w:tcW w:w="2520" w:type="dxa"/>
            <w:vAlign w:val="bottom"/>
          </w:tcPr>
          <w:p>
            <w:pPr>
              <w:spacing w:after="0"/>
              <w:rPr>
                <w:sz w:val="20"/>
                <w:szCs w:val="20"/>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in the Settlement Averaging Period.</w:t>
            </w:r>
          </w:p>
        </w:tc>
      </w:tr>
      <w:tr>
        <w:trPr>
          <w:trHeight w:val="414"/>
        </w:trPr>
        <w:tc>
          <w:tcPr>
            <w:tcW w:w="2520" w:type="dxa"/>
            <w:vAlign w:val="bottom"/>
          </w:tcPr>
          <w:p>
            <w:pPr>
              <w:spacing w:after="0"/>
              <w:rPr>
                <w:sz w:val="24"/>
                <w:szCs w:val="24"/>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Net Share Settlement Amount valued at the Relevant Price for the last Valid Day of the Settlement</w:t>
            </w:r>
          </w:p>
        </w:tc>
      </w:tr>
      <w:tr>
        <w:trPr>
          <w:trHeight w:val="234"/>
        </w:trPr>
        <w:tc>
          <w:tcPr>
            <w:tcW w:w="2520" w:type="dxa"/>
            <w:vAlign w:val="bottom"/>
          </w:tcPr>
          <w:p>
            <w:pPr>
              <w:spacing w:after="0"/>
              <w:rPr>
                <w:sz w:val="20"/>
                <w:szCs w:val="20"/>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Averaging Period.</w:t>
            </w: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Combination Settlement:</w:t>
            </w: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If Combination Settlement is applicable to any Option exercised or deemed exercised hereunder,</w:t>
            </w:r>
          </w:p>
        </w:tc>
      </w:tr>
      <w:tr>
        <w:trPr>
          <w:trHeight w:val="216"/>
        </w:trPr>
        <w:tc>
          <w:tcPr>
            <w:tcW w:w="2520" w:type="dxa"/>
            <w:vAlign w:val="bottom"/>
          </w:tcPr>
          <w:p>
            <w:pPr>
              <w:spacing w:after="0"/>
              <w:rPr>
                <w:sz w:val="18"/>
                <w:szCs w:val="18"/>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Dealer will pay or deliver, as the case may be, to Counterparty, on the relevant Settlement Date for</w:t>
            </w:r>
          </w:p>
        </w:tc>
      </w:tr>
      <w:tr>
        <w:trPr>
          <w:trHeight w:val="234"/>
        </w:trPr>
        <w:tc>
          <w:tcPr>
            <w:tcW w:w="2520" w:type="dxa"/>
            <w:vAlign w:val="bottom"/>
          </w:tcPr>
          <w:p>
            <w:pPr>
              <w:spacing w:after="0"/>
              <w:rPr>
                <w:sz w:val="20"/>
                <w:szCs w:val="20"/>
                <w:color w:val="auto"/>
              </w:rPr>
            </w:pPr>
          </w:p>
        </w:tc>
        <w:tc>
          <w:tcPr>
            <w:tcW w:w="8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each such Option:</w:t>
            </w:r>
          </w:p>
        </w:tc>
      </w:tr>
      <w:tr>
        <w:trPr>
          <w:trHeight w:val="437"/>
        </w:trPr>
        <w:tc>
          <w:tcPr>
            <w:tcW w:w="2520" w:type="dxa"/>
            <w:vAlign w:val="bottom"/>
          </w:tcPr>
          <w:p>
            <w:pPr>
              <w:spacing w:after="0"/>
              <w:rPr>
                <w:sz w:val="24"/>
                <w:szCs w:val="24"/>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(the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sum, for each Valid Day</w:t>
            </w:r>
          </w:p>
        </w:tc>
      </w:tr>
      <w:tr>
        <w:trPr>
          <w:trHeight w:val="238"/>
        </w:trPr>
        <w:tc>
          <w:tcPr>
            <w:tcW w:w="2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during the Settlement Averaging Period for such Option, of (A) an amount (the “</w:t>
            </w:r>
            <w:r>
              <w:rPr>
                <w:rFonts w:ascii="Times New Roman" w:cs="Times New Roman" w:eastAsia="Times New Roman" w:hAnsi="Times New Roman"/>
                <w:sz w:val="18"/>
                <w:szCs w:val="18"/>
                <w:b w:val="1"/>
                <w:bCs w:val="1"/>
                <w:color w:val="auto"/>
              </w:rPr>
              <w:t>Daily</w:t>
            </w:r>
          </w:p>
        </w:tc>
      </w:tr>
    </w:tbl>
    <w:p>
      <w:pPr>
        <w:jc w:val="both"/>
        <w:ind w:left="4440"/>
        <w:spacing w:after="0" w:line="252" w:lineRule="auto"/>
        <w:rPr>
          <w:sz w:val="20"/>
          <w:szCs w:val="20"/>
          <w:color w:val="auto"/>
        </w:rPr>
      </w:pP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lesser of (1) the product of (x)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Percentage and (y) the Specified Cash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USD 1,000 and (2) the Daily Option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clause (A) above results in zero or a negative number for any Valid Day, the Daily Combination Settlement Cash Amount for such Valid Day shall be deemed to be zero;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7830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7"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section of the Indenture containing provisions for combination settlement of the Convertible Notes.</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section of the Indenture containing provisions for cash settlement of the Convertible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20"/>
        </w:trPr>
        <w:tc>
          <w:tcPr>
            <w:tcW w:w="2340" w:type="dxa"/>
            <w:vAlign w:val="bottom"/>
          </w:tcPr>
          <w:p>
            <w:pPr>
              <w:spacing w:after="0"/>
              <w:rPr>
                <w:sz w:val="19"/>
                <w:szCs w:val="19"/>
                <w:color w:val="auto"/>
              </w:rPr>
            </w:pPr>
          </w:p>
        </w:tc>
        <w:tc>
          <w:tcPr>
            <w:tcW w:w="1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(ii)</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(the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equal to the sum, for each Valid Day</w:t>
            </w:r>
          </w:p>
        </w:tc>
      </w:tr>
      <w:tr>
        <w:trPr>
          <w:trHeight w:val="212"/>
        </w:trPr>
        <w:tc>
          <w:tcPr>
            <w:tcW w:w="2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during the Settlement Averaging Period for such Option, of a number of Shares for such Valid</w:t>
            </w:r>
          </w:p>
        </w:tc>
      </w:tr>
      <w:tr>
        <w:trPr>
          <w:trHeight w:val="218"/>
        </w:trPr>
        <w:tc>
          <w:tcPr>
            <w:tcW w:w="2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Day (the “</w:t>
            </w:r>
            <w:r>
              <w:rPr>
                <w:rFonts w:ascii="Times New Roman" w:cs="Times New Roman" w:eastAsia="Times New Roman" w:hAnsi="Times New Roman"/>
                <w:sz w:val="18"/>
                <w:szCs w:val="18"/>
                <w:b w:val="1"/>
                <w:bCs w:val="1"/>
                <w:color w:val="auto"/>
              </w:rPr>
              <w:t>Daily Combination Settlement Share Amount</w:t>
            </w:r>
            <w:r>
              <w:rPr>
                <w:rFonts w:ascii="Times New Roman" w:cs="Times New Roman" w:eastAsia="Times New Roman" w:hAnsi="Times New Roman"/>
                <w:sz w:val="18"/>
                <w:szCs w:val="18"/>
                <w:color w:val="auto"/>
              </w:rPr>
              <w:t>”) equal to (A) (1) the Daily</w:t>
            </w:r>
          </w:p>
        </w:tc>
      </w:tr>
      <w:tr>
        <w:trPr>
          <w:trHeight w:val="216"/>
        </w:trPr>
        <w:tc>
          <w:tcPr>
            <w:tcW w:w="2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Option Value on such Valid Day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Daily Combination Settlement Cash Amount for</w:t>
            </w:r>
          </w:p>
        </w:tc>
      </w:tr>
      <w:tr>
        <w:trPr>
          <w:trHeight w:val="216"/>
        </w:trPr>
        <w:tc>
          <w:tcPr>
            <w:tcW w:w="2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w:t>
            </w:r>
          </w:p>
        </w:tc>
      </w:tr>
      <w:tr>
        <w:trPr>
          <w:trHeight w:val="218"/>
        </w:trPr>
        <w:tc>
          <w:tcPr>
            <w:tcW w:w="2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w:t>
            </w:r>
          </w:p>
        </w:tc>
      </w:tr>
      <w:tr>
        <w:trPr>
          <w:trHeight w:val="216"/>
        </w:trPr>
        <w:tc>
          <w:tcPr>
            <w:tcW w:w="2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sub-clause (A)(1) above results in zero or a negative number for any Valid Day, the Daily</w:t>
            </w:r>
          </w:p>
        </w:tc>
      </w:tr>
      <w:tr>
        <w:trPr>
          <w:trHeight w:val="234"/>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Combination Settlement Share Amount for such Valid Day shall be deemed to be zero.</w:t>
            </w:r>
          </w:p>
        </w:tc>
      </w:tr>
      <w:tr>
        <w:trPr>
          <w:trHeight w:val="414"/>
        </w:trPr>
        <w:tc>
          <w:tcPr>
            <w:tcW w:w="2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w:t>
            </w:r>
          </w:p>
        </w:tc>
      </w:tr>
      <w:tr>
        <w:trPr>
          <w:trHeight w:val="216"/>
        </w:trPr>
        <w:tc>
          <w:tcPr>
            <w:tcW w:w="2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any Combination Settlement Share Amount valued at the Relevant Price for the last Valid</w:t>
            </w:r>
          </w:p>
        </w:tc>
      </w:tr>
      <w:tr>
        <w:trPr>
          <w:trHeight w:val="234"/>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Day of the Settlement Averaging Period.</w:t>
            </w:r>
          </w:p>
        </w:tc>
      </w:tr>
      <w:tr>
        <w:trPr>
          <w:trHeight w:val="44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w:t>
            </w: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If Cash Settlement is applicable to any Option exercised or deemed exercised hereunder, in lieu of</w:t>
            </w:r>
          </w:p>
        </w:tc>
      </w:tr>
      <w:tr>
        <w:trPr>
          <w:trHeight w:val="212"/>
        </w:trPr>
        <w:tc>
          <w:tcPr>
            <w:tcW w:w="2340" w:type="dxa"/>
            <w:vAlign w:val="bottom"/>
          </w:tcPr>
          <w:p>
            <w:pPr>
              <w:spacing w:after="0"/>
              <w:rPr>
                <w:sz w:val="18"/>
                <w:szCs w:val="18"/>
                <w:color w:val="auto"/>
              </w:rPr>
            </w:pP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8.1 of the Equity Definitions, Dealer will pay to Counterparty, on the relevant Settlement</w:t>
            </w:r>
          </w:p>
        </w:tc>
      </w:tr>
      <w:tr>
        <w:trPr>
          <w:trHeight w:val="220"/>
        </w:trPr>
        <w:tc>
          <w:tcPr>
            <w:tcW w:w="2340" w:type="dxa"/>
            <w:vAlign w:val="bottom"/>
          </w:tcPr>
          <w:p>
            <w:pPr>
              <w:spacing w:after="0"/>
              <w:rPr>
                <w:sz w:val="19"/>
                <w:szCs w:val="19"/>
                <w:color w:val="auto"/>
              </w:rPr>
            </w:pP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Date for each such Option,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equal to the sum,</w:t>
            </w:r>
          </w:p>
        </w:tc>
      </w:tr>
      <w:tr>
        <w:trPr>
          <w:trHeight w:val="214"/>
        </w:trPr>
        <w:tc>
          <w:tcPr>
            <w:tcW w:w="2340" w:type="dxa"/>
            <w:vAlign w:val="bottom"/>
          </w:tcPr>
          <w:p>
            <w:pPr>
              <w:spacing w:after="0"/>
              <w:rPr>
                <w:sz w:val="18"/>
                <w:szCs w:val="18"/>
                <w:color w:val="auto"/>
              </w:rPr>
            </w:pP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 each Valid Day during the Settlement Averaging Period for such Option, of (i) the Daily Option</w:t>
            </w:r>
          </w:p>
        </w:tc>
      </w:tr>
      <w:tr>
        <w:trPr>
          <w:trHeight w:val="218"/>
        </w:trPr>
        <w:tc>
          <w:tcPr>
            <w:tcW w:w="2340" w:type="dxa"/>
            <w:vAlign w:val="bottom"/>
          </w:tcPr>
          <w:p>
            <w:pPr>
              <w:spacing w:after="0"/>
              <w:rPr>
                <w:sz w:val="18"/>
                <w:szCs w:val="18"/>
                <w:color w:val="auto"/>
              </w:rPr>
            </w:pP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w:t>
            </w:r>
          </w:p>
        </w:tc>
      </w:tr>
      <w:tr>
        <w:trPr>
          <w:trHeight w:val="234"/>
        </w:trPr>
        <w:tc>
          <w:tcPr>
            <w:tcW w:w="2340" w:type="dxa"/>
            <w:vAlign w:val="bottom"/>
          </w:tcPr>
          <w:p>
            <w:pPr>
              <w:spacing w:after="0"/>
              <w:rPr>
                <w:sz w:val="20"/>
                <w:szCs w:val="20"/>
                <w:color w:val="auto"/>
              </w:rPr>
            </w:pPr>
          </w:p>
        </w:tc>
        <w:tc>
          <w:tcPr>
            <w:tcW w:w="82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Period.</w:t>
            </w:r>
          </w:p>
        </w:tc>
      </w:tr>
      <w:tr>
        <w:trPr>
          <w:trHeight w:val="41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Daily Option Value:</w:t>
            </w: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For any Valid Day, an amount equal to (i) the Option Entitlement on such Valid Day, </w:t>
            </w:r>
            <w:r>
              <w:rPr>
                <w:rFonts w:ascii="Times New Roman" w:cs="Times New Roman" w:eastAsia="Times New Roman" w:hAnsi="Times New Roman"/>
                <w:sz w:val="18"/>
                <w:szCs w:val="18"/>
                <w:i w:val="1"/>
                <w:iCs w:val="1"/>
                <w:color w:val="auto"/>
              </w:rPr>
              <w:t>multiplied by</w:t>
            </w:r>
          </w:p>
        </w:tc>
      </w:tr>
      <w:tr>
        <w:trPr>
          <w:trHeight w:val="216"/>
        </w:trPr>
        <w:tc>
          <w:tcPr>
            <w:tcW w:w="2340" w:type="dxa"/>
            <w:vAlign w:val="bottom"/>
          </w:tcPr>
          <w:p>
            <w:pPr>
              <w:spacing w:after="0"/>
              <w:rPr>
                <w:sz w:val="18"/>
                <w:szCs w:val="18"/>
                <w:color w:val="auto"/>
              </w:rPr>
            </w:pP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(ii) (A) the lesser of the Relevant Price on such Valid Day and the Cap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Strike</w:t>
            </w:r>
          </w:p>
        </w:tc>
      </w:tr>
      <w:tr>
        <w:trPr>
          <w:trHeight w:val="218"/>
        </w:trPr>
        <w:tc>
          <w:tcPr>
            <w:tcW w:w="2340" w:type="dxa"/>
            <w:vAlign w:val="bottom"/>
          </w:tcPr>
          <w:p>
            <w:pPr>
              <w:spacing w:after="0"/>
              <w:rPr>
                <w:sz w:val="18"/>
                <w:szCs w:val="18"/>
                <w:color w:val="auto"/>
              </w:rPr>
            </w:pP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Price on such Valid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contained in clause (ii) above results in a</w:t>
            </w:r>
          </w:p>
        </w:tc>
      </w:tr>
      <w:tr>
        <w:trPr>
          <w:trHeight w:val="216"/>
        </w:trPr>
        <w:tc>
          <w:tcPr>
            <w:tcW w:w="2340" w:type="dxa"/>
            <w:vAlign w:val="bottom"/>
          </w:tcPr>
          <w:p>
            <w:pPr>
              <w:spacing w:after="0"/>
              <w:rPr>
                <w:sz w:val="18"/>
                <w:szCs w:val="18"/>
                <w:color w:val="auto"/>
              </w:rPr>
            </w:pP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negative number, the Daily Option Value for such Valid Day shall be deemed to be zero.  In no</w:t>
            </w:r>
          </w:p>
        </w:tc>
      </w:tr>
      <w:tr>
        <w:trPr>
          <w:trHeight w:val="234"/>
        </w:trPr>
        <w:tc>
          <w:tcPr>
            <w:tcW w:w="2340" w:type="dxa"/>
            <w:vAlign w:val="bottom"/>
          </w:tcPr>
          <w:p>
            <w:pPr>
              <w:spacing w:after="0"/>
              <w:rPr>
                <w:sz w:val="20"/>
                <w:szCs w:val="20"/>
                <w:color w:val="auto"/>
              </w:rPr>
            </w:pPr>
          </w:p>
        </w:tc>
        <w:tc>
          <w:tcPr>
            <w:tcW w:w="82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event will the Daily Option Value be less than zero.</w:t>
            </w:r>
          </w:p>
        </w:tc>
      </w:tr>
      <w:tr>
        <w:trPr>
          <w:trHeight w:val="41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Valid Day:</w:t>
            </w: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 day on which (i) there is no Market Disruption Event and (ii) trading in the Shares generally</w:t>
            </w:r>
          </w:p>
        </w:tc>
      </w:tr>
      <w:tr>
        <w:trPr>
          <w:trHeight w:val="216"/>
        </w:trPr>
        <w:tc>
          <w:tcPr>
            <w:tcW w:w="2340" w:type="dxa"/>
            <w:vAlign w:val="bottom"/>
          </w:tcPr>
          <w:p>
            <w:pPr>
              <w:spacing w:after="0"/>
              <w:rPr>
                <w:sz w:val="18"/>
                <w:szCs w:val="18"/>
                <w:color w:val="auto"/>
              </w:rPr>
            </w:pP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occurs on the Exchange or, if the Shares are not then listed on the Exchange, on the principal other</w:t>
            </w:r>
          </w:p>
        </w:tc>
      </w:tr>
      <w:tr>
        <w:trPr>
          <w:trHeight w:val="234"/>
        </w:trPr>
        <w:tc>
          <w:tcPr>
            <w:tcW w:w="2340" w:type="dxa"/>
            <w:vAlign w:val="bottom"/>
          </w:tcPr>
          <w:p>
            <w:pPr>
              <w:spacing w:after="0"/>
              <w:rPr>
                <w:sz w:val="20"/>
                <w:szCs w:val="20"/>
                <w:color w:val="auto"/>
              </w:rPr>
            </w:pP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United States national or regional securities exchange on which the Shares are then listed or</w:t>
            </w:r>
          </w:p>
        </w:tc>
      </w:tr>
    </w:tbl>
    <w:p>
      <w:pPr>
        <w:ind w:left="3360" w:right="20"/>
        <w:spacing w:after="0" w:line="260" w:lineRule="auto"/>
        <w:rPr>
          <w:sz w:val="20"/>
          <w:szCs w:val="20"/>
          <w:color w:val="auto"/>
        </w:rPr>
      </w:pPr>
      <w:r>
        <w:rPr>
          <w:rFonts w:ascii="Times New Roman" w:cs="Times New Roman" w:eastAsia="Times New Roman" w:hAnsi="Times New Roman"/>
          <w:sz w:val="18"/>
          <w:szCs w:val="18"/>
          <w:color w:val="auto"/>
        </w:rPr>
        <w:t>admitted for trading. If the Shares are not so listed or admitted for trading, “Valid Day” means a Business Day.</w:t>
      </w:r>
    </w:p>
    <w:p>
      <w:pPr>
        <w:spacing w:after="0" w:line="3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Scheduled Valid Day:</w:t>
            </w: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 day that is scheduled to be a Valid Day on the principal United States national or regional</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securities exchange or market on which the Shares are listed or admitted for trading. If the Shares</w:t>
            </w:r>
          </w:p>
        </w:tc>
      </w:tr>
      <w:tr>
        <w:trPr>
          <w:trHeight w:val="234"/>
        </w:trPr>
        <w:tc>
          <w:tcPr>
            <w:tcW w:w="3480" w:type="dxa"/>
            <w:vAlign w:val="bottom"/>
          </w:tcPr>
          <w:p>
            <w:pPr>
              <w:spacing w:after="0"/>
              <w:rPr>
                <w:sz w:val="20"/>
                <w:szCs w:val="20"/>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are not so listed or admitted for trading, “Scheduled Valid Day” means a Business Day.</w:t>
            </w:r>
          </w:p>
        </w:tc>
      </w:tr>
      <w:tr>
        <w:trPr>
          <w:trHeight w:val="414"/>
        </w:trPr>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Business Day:</w:t>
            </w: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Any day other than a Saturday, a Sunday or a day on which the Federal Reserve Bank of New York</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or commercial banks in New York are authorized or required by law or executive order to close or</w:t>
            </w:r>
          </w:p>
        </w:tc>
      </w:tr>
      <w:tr>
        <w:trPr>
          <w:trHeight w:val="234"/>
        </w:trPr>
        <w:tc>
          <w:tcPr>
            <w:tcW w:w="3480" w:type="dxa"/>
            <w:vAlign w:val="bottom"/>
          </w:tcPr>
          <w:p>
            <w:pPr>
              <w:spacing w:after="0"/>
              <w:rPr>
                <w:sz w:val="20"/>
                <w:szCs w:val="20"/>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 closed.</w:t>
            </w:r>
          </w:p>
        </w:tc>
      </w:tr>
      <w:tr>
        <w:trPr>
          <w:trHeight w:val="414"/>
        </w:trPr>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Relevant Price:</w:t>
            </w: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On any Valid Day, the per Share volume-weighted average price as displayed under the heading</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“Bloomberg VWAP” on Bloomberg page KEEL &lt;equity&gt; AQR (or its equivalent successor if such</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page is not available) in respect of the period from the scheduled open of trading until the scheduled</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close of trading of the primary trading session on such Valid Day (or if such volume-weighted</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average price is unavailable, the market value of one Share on such Valid Day, as determined by the</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Calculation Agent in good faith and in a commercially reasonable manner using, if practicable, a</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volume-weighted average method). The Relevant Price will be determined without regard to after-</w:t>
            </w:r>
          </w:p>
        </w:tc>
      </w:tr>
      <w:tr>
        <w:trPr>
          <w:trHeight w:val="234"/>
        </w:trPr>
        <w:tc>
          <w:tcPr>
            <w:tcW w:w="3480" w:type="dxa"/>
            <w:vAlign w:val="bottom"/>
          </w:tcPr>
          <w:p>
            <w:pPr>
              <w:spacing w:after="0"/>
              <w:rPr>
                <w:sz w:val="20"/>
                <w:szCs w:val="20"/>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hours trading or any other trading outside of the regular trading session.</w:t>
            </w:r>
          </w:p>
        </w:tc>
      </w:tr>
      <w:tr>
        <w:trPr>
          <w:trHeight w:val="454"/>
        </w:trPr>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Averaging Period:</w:t>
            </w: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any Option the 30 consecutive Valid Days commencing on, and including, the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Scheduled</w:t>
            </w:r>
          </w:p>
        </w:tc>
      </w:tr>
      <w:tr>
        <w:trPr>
          <w:trHeight w:val="234"/>
        </w:trPr>
        <w:tc>
          <w:tcPr>
            <w:tcW w:w="3480" w:type="dxa"/>
            <w:vAlign w:val="bottom"/>
          </w:tcPr>
          <w:p>
            <w:pPr>
              <w:spacing w:after="0"/>
              <w:rPr>
                <w:sz w:val="20"/>
                <w:szCs w:val="20"/>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Valid Day immediately prior to the Expiration Date.</w:t>
            </w:r>
          </w:p>
        </w:tc>
      </w:tr>
      <w:tr>
        <w:trPr>
          <w:trHeight w:val="414"/>
        </w:trPr>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Date:</w:t>
            </w: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any Option, the second Business Day immediately following the final Valid Day of the</w:t>
            </w:r>
          </w:p>
        </w:tc>
      </w:tr>
      <w:tr>
        <w:trPr>
          <w:trHeight w:val="234"/>
        </w:trPr>
        <w:tc>
          <w:tcPr>
            <w:tcW w:w="3480" w:type="dxa"/>
            <w:vAlign w:val="bottom"/>
          </w:tcPr>
          <w:p>
            <w:pPr>
              <w:spacing w:after="0"/>
              <w:rPr>
                <w:sz w:val="20"/>
                <w:szCs w:val="20"/>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Settlement Averaging Period for such Option.</w:t>
            </w:r>
          </w:p>
        </w:tc>
      </w:tr>
      <w:tr>
        <w:trPr>
          <w:trHeight w:val="432"/>
        </w:trPr>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Currency:</w:t>
            </w: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USD</w:t>
            </w:r>
          </w:p>
        </w:tc>
      </w:tr>
      <w:tr>
        <w:trPr>
          <w:trHeight w:val="414"/>
        </w:trPr>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Applicable Provisions:</w:t>
            </w: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provisions of Sections 9.1(c), 9.8, 9.9 and 9.11 of the Equity Definitions will be applicable,</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except that all references in such provisions to “Physically-settled” shall be read as references to</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 Settled”.  “Share Settled” in relation to any Option means that Net Share Settlement or</w:t>
            </w:r>
          </w:p>
        </w:tc>
      </w:tr>
      <w:tr>
        <w:trPr>
          <w:trHeight w:val="234"/>
        </w:trPr>
        <w:tc>
          <w:tcPr>
            <w:tcW w:w="3480" w:type="dxa"/>
            <w:vAlign w:val="bottom"/>
          </w:tcPr>
          <w:p>
            <w:pPr>
              <w:spacing w:after="0"/>
              <w:rPr>
                <w:sz w:val="20"/>
                <w:szCs w:val="20"/>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Combination Settlement is applicable to that Option.</w:t>
            </w:r>
          </w:p>
        </w:tc>
      </w:tr>
      <w:tr>
        <w:trPr>
          <w:trHeight w:val="414"/>
        </w:trPr>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Representation and Agreement:</w:t>
            </w: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(including, but not limited to,</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9.11 thereof), the parties acknowledge that (i) any Shares delivered to Counterparty shall</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 upon delivery, subject to restrictions and limitations arising from Counterparty’s status as issuer</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the Shares under applicable securities laws, (ii) Dealer may deliver any Shares required to be</w:t>
            </w:r>
          </w:p>
        </w:tc>
      </w:tr>
      <w:tr>
        <w:trPr>
          <w:trHeight w:val="216"/>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delivered hereunder in certificated form in lieu of delivery through the Clearance System and (iii)</w:t>
            </w:r>
          </w:p>
        </w:tc>
      </w:tr>
      <w:tr>
        <w:trPr>
          <w:trHeight w:val="212"/>
        </w:trPr>
        <w:tc>
          <w:tcPr>
            <w:tcW w:w="3480" w:type="dxa"/>
            <w:vAlign w:val="bottom"/>
          </w:tcPr>
          <w:p>
            <w:pPr>
              <w:spacing w:after="0"/>
              <w:rPr>
                <w:sz w:val="18"/>
                <w:szCs w:val="18"/>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any Shares delivered to Counterparty may be “restricted securities” (as defined in Rule 144 under</w:t>
            </w:r>
          </w:p>
        </w:tc>
      </w:tr>
      <w:tr>
        <w:trPr>
          <w:trHeight w:val="238"/>
        </w:trPr>
        <w:tc>
          <w:tcPr>
            <w:tcW w:w="3480" w:type="dxa"/>
            <w:vAlign w:val="bottom"/>
          </w:tcPr>
          <w:p>
            <w:pPr>
              <w:spacing w:after="0"/>
              <w:rPr>
                <w:sz w:val="20"/>
                <w:szCs w:val="20"/>
                <w:color w:val="auto"/>
              </w:rPr>
            </w:pPr>
          </w:p>
        </w:tc>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tc>
      </w:tr>
      <w:tr>
        <w:trPr>
          <w:trHeight w:val="682"/>
        </w:trPr>
        <w:tc>
          <w:tcPr>
            <w:tcW w:w="34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22"/>
                <w:szCs w:val="22"/>
                <w:color w:val="auto"/>
              </w:rPr>
              <w:t>7</w:t>
            </w:r>
          </w:p>
        </w:tc>
      </w:tr>
    </w:tbl>
    <w:p>
      <w:pPr>
        <w:sectPr>
          <w:pgSz w:w="11900" w:h="16838" w:orient="portrait"/>
          <w:cols w:equalWidth="0" w:num="1">
            <w:col w:w="11240"/>
          </w:cols>
          <w:pgMar w:left="320" w:top="904" w:right="339" w:bottom="1440" w:gutter="0" w:footer="0" w:header="0"/>
        </w:sectPr>
      </w:pPr>
    </w:p>
    <w:bookmarkStart w:id="138" w:name="page139"/>
    <w:bookmarkEnd w:id="138"/>
    <w:p>
      <w:pPr>
        <w:ind w:left="180" w:hanging="172"/>
        <w:spacing w:after="0"/>
        <w:tabs>
          <w:tab w:leader="none" w:pos="18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Additional Terms applicable to the Transaction</w:t>
      </w:r>
      <w:r>
        <w:rPr>
          <w:rFonts w:ascii="Times New Roman" w:cs="Times New Roman" w:eastAsia="Times New Roman" w:hAnsi="Times New Roman"/>
          <w:sz w:val="17"/>
          <w:szCs w:val="17"/>
          <w:b w:val="1"/>
          <w:bCs w:val="1"/>
          <w:color w:val="auto"/>
        </w:rPr>
        <w:t>.</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Adjustments applicable to the Transaction:</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Potential Adjustment Events: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“unit of Reference Property” or to any “Last Reported Sale Price,” “Daily VWAP,” “Daily Conversion Value”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are entitled to participate, in each case, in lieu of an adjustment under the Indenture of the type referred to in the immediately preceding sentence (including, without limitation, pursuant to [the second sentence of</w:t>
      </w:r>
    </w:p>
    <w:p>
      <w:pPr>
        <w:spacing w:after="0" w:line="4" w:lineRule="exact"/>
        <w:rPr>
          <w:sz w:val="20"/>
          <w:szCs w:val="20"/>
          <w:color w:val="auto"/>
        </w:rPr>
      </w:pPr>
    </w:p>
    <w:p>
      <w:pPr>
        <w:sectPr>
          <w:pgSz w:w="11900" w:h="16838" w:orient="portrait"/>
          <w:cols w:equalWidth="0" w:num="2">
            <w:col w:w="3300" w:space="720"/>
            <w:col w:w="7220"/>
          </w:cols>
          <w:pgMar w:left="320" w:top="900" w:right="339" w:bottom="1440" w:gutter="0" w:footer="0" w:header="0"/>
          <w:type w:val="continuous"/>
        </w:sectPr>
      </w:pPr>
    </w:p>
    <w:p>
      <w:pPr>
        <w:ind w:left="4020"/>
        <w:spacing w:after="0" w:line="354" w:lineRule="auto"/>
        <w:rPr>
          <w:sz w:val="20"/>
          <w:szCs w:val="20"/>
          <w:color w:val="auto"/>
        </w:rPr>
      </w:pPr>
      <w:r>
        <w:rPr>
          <w:rFonts w:ascii="Times New Roman" w:cs="Times New Roman" w:eastAsia="Times New Roman" w:hAnsi="Times New Roman"/>
          <w:sz w:val="18"/>
          <w:szCs w:val="18"/>
          <w:color w:val="auto"/>
        </w:rPr>
        <w:t>the first paragraph of Section 14.04(c)]</w:t>
      </w:r>
      <w:r>
        <w:rPr>
          <w:rFonts w:ascii="Times New Roman" w:cs="Times New Roman" w:eastAsia="Times New Roman" w:hAnsi="Times New Roman"/>
          <w:sz w:val="14"/>
          <w:szCs w:val="14"/>
          <w:color w:val="auto"/>
        </w:rPr>
        <w:t>20</w:t>
      </w:r>
      <w:r>
        <w:rPr>
          <w:rFonts w:ascii="Times New Roman" w:cs="Times New Roman" w:eastAsia="Times New Roman" w:hAnsi="Times New Roman"/>
          <w:sz w:val="18"/>
          <w:szCs w:val="18"/>
          <w:color w:val="auto"/>
        </w:rPr>
        <w:t xml:space="preserve"> of the Indenture or [the fourth sentence of Section 14.04(d)]</w:t>
      </w:r>
      <w:r>
        <w:rPr>
          <w:rFonts w:ascii="Times New Roman" w:cs="Times New Roman" w:eastAsia="Times New Roman" w:hAnsi="Times New Roman"/>
          <w:sz w:val="14"/>
          <w:szCs w:val="14"/>
          <w:color w:val="auto"/>
        </w:rPr>
        <w:t>21</w:t>
      </w:r>
      <w:r>
        <w:rPr>
          <w:rFonts w:ascii="Times New Roman" w:cs="Times New Roman" w:eastAsia="Times New Roman" w:hAnsi="Times New Roman"/>
          <w:sz w:val="18"/>
          <w:szCs w:val="18"/>
          <w:color w:val="auto"/>
        </w:rPr>
        <w:t xml:space="preserve"> of the Indenture).</w:t>
      </w:r>
    </w:p>
    <w:p>
      <w:pPr>
        <w:sectPr>
          <w:pgSz w:w="11900" w:h="16838" w:orient="portrait"/>
          <w:cols w:equalWidth="0" w:num="1">
            <w:col w:w="11240"/>
          </w:cols>
          <w:pgMar w:left="320" w:top="900" w:right="339" w:bottom="1440" w:gutter="0" w:footer="0" w:header="0"/>
          <w:type w:val="continuous"/>
        </w:sectPr>
      </w:pP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Method of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847725</wp:posOffset>
            </wp:positionV>
            <wp:extent cx="178308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Calculation Agent Adjustment, which means that, notwithstanding Section 11.2(c) of the Equity Definitions, upon any Potential Adjustment Event, the Calculation Agent, acting in good faith and commercially reasonably, taking into account the relevant provisions of the Indenture, shall make a corresponding adjustment to any one or more of the Strike Price, Number of Options, Option Entitlement and any other variable relevant to the exercise, settlement or payment for the Transaction.</w:t>
      </w:r>
    </w:p>
    <w:p>
      <w:pPr>
        <w:spacing w:after="0" w:line="200" w:lineRule="exact"/>
        <w:rPr>
          <w:sz w:val="20"/>
          <w:szCs w:val="20"/>
          <w:color w:val="auto"/>
        </w:rPr>
      </w:pPr>
    </w:p>
    <w:p>
      <w:pPr>
        <w:sectPr>
          <w:pgSz w:w="11900" w:h="16838" w:orient="portrait"/>
          <w:cols w:equalWidth="0" w:num="2">
            <w:col w:w="3300" w:space="720"/>
            <w:col w:w="7220"/>
          </w:cols>
          <w:pgMar w:left="320" w:top="900" w:right="339" w:bottom="1440" w:gutter="0" w:footer="0" w:header="0"/>
          <w:type w:val="continuous"/>
        </w:sectPr>
      </w:pPr>
    </w:p>
    <w:p>
      <w:pPr>
        <w:spacing w:after="0" w:line="28" w:lineRule="exact"/>
        <w:rPr>
          <w:sz w:val="20"/>
          <w:szCs w:val="20"/>
          <w:color w:val="auto"/>
        </w:rPr>
      </w:pPr>
    </w:p>
    <w:p>
      <w:pPr>
        <w:ind w:left="340" w:hanging="332"/>
        <w:spacing w:after="0" w:line="195" w:lineRule="auto"/>
        <w:tabs>
          <w:tab w:leader="none" w:pos="340" w:val="left"/>
        </w:tabs>
        <w:numPr>
          <w:ilvl w:val="0"/>
          <w:numId w:val="1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provision in the Indenture for pass-through of distributed property, at the same time as it is received by holders of the Shares, in lieu of a Conversion Rate adjustment.</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provision in the Indenture for pass-through of cash, at the same time as it is received by holders of the Shares, in lieu of a Conversion Rate adjustment.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39" w:name="page140"/>
    <w:bookmarkEnd w:id="139"/>
    <w:p>
      <w:pPr>
        <w:ind w:left="4020"/>
        <w:spacing w:after="0"/>
        <w:rPr>
          <w:sz w:val="20"/>
          <w:szCs w:val="20"/>
          <w:color w:val="auto"/>
        </w:rPr>
      </w:pPr>
      <w:r>
        <w:rPr>
          <w:rFonts w:ascii="Times New Roman" w:cs="Times New Roman" w:eastAsia="Times New Roman" w:hAnsi="Times New Roman"/>
          <w:sz w:val="18"/>
          <w:szCs w:val="18"/>
          <w:color w:val="auto"/>
        </w:rPr>
        <w:t>Notwithstanding the foregoing and “Consequences of Merger Events / Tender Offers” below:</w:t>
      </w:r>
    </w:p>
    <w:p>
      <w:pPr>
        <w:spacing w:after="0" w:line="252" w:lineRule="exact"/>
        <w:rPr>
          <w:sz w:val="20"/>
          <w:szCs w:val="20"/>
          <w:color w:val="auto"/>
        </w:rPr>
      </w:pPr>
    </w:p>
    <w:p>
      <w:pPr>
        <w:jc w:val="both"/>
        <w:ind w:left="4440" w:hanging="544"/>
        <w:spacing w:after="0" w:line="245" w:lineRule="auto"/>
        <w:tabs>
          <w:tab w:leader="none" w:pos="44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in good faith disagrees with any adjustment to the Convertible Notes that involves an exercise of discretion by Counterparty or its board of directors (including, without limitation, pursuant to Section [14.05]</w:t>
      </w:r>
      <w:r>
        <w:rPr>
          <w:rFonts w:ascii="Times New Roman" w:cs="Times New Roman" w:eastAsia="Times New Roman" w:hAnsi="Times New Roman"/>
          <w:sz w:val="29"/>
          <w:szCs w:val="29"/>
          <w:color w:val="auto"/>
          <w:vertAlign w:val="superscript"/>
        </w:rPr>
        <w:t>22</w:t>
      </w:r>
      <w:r>
        <w:rPr>
          <w:rFonts w:ascii="Times New Roman" w:cs="Times New Roman" w:eastAsia="Times New Roman" w:hAnsi="Times New Roman"/>
          <w:sz w:val="18"/>
          <w:szCs w:val="18"/>
          <w:color w:val="auto"/>
        </w:rPr>
        <w:t xml:space="preserve"> of the Indenture, Section [14.07]</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xml:space="preserve"> of the Indenture or any supplemental indenture entered into thereunder or in connection with any proportional adjustment or the determination of the fair value of any securities, property, rights or other assets), then in each such case, the Calculation Agent will determine the adjustment to be made to any one or more of the Strike Price, Number of Options, Option Entitlement and any other variable relevant to the exercise, settlement or payment for the Transaction in a commercially reasonable manner, taking into account the relevant provisions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then the Calculation Agent shall make a commercially reasonable adjustment, as determined by it, to the terms hereof in order to account for such Potential Adjustment Event;</w:t>
      </w:r>
    </w:p>
    <w:p>
      <w:pPr>
        <w:spacing w:after="0" w:line="202" w:lineRule="exact"/>
        <w:rPr>
          <w:rFonts w:ascii="Times New Roman" w:cs="Times New Roman" w:eastAsia="Times New Roman" w:hAnsi="Times New Roman"/>
          <w:sz w:val="18"/>
          <w:szCs w:val="18"/>
          <w:color w:val="auto"/>
        </w:rPr>
      </w:pPr>
    </w:p>
    <w:p>
      <w:pPr>
        <w:jc w:val="both"/>
        <w:ind w:left="4440" w:hanging="544"/>
        <w:spacing w:after="0" w:line="230" w:lineRule="auto"/>
        <w:tabs>
          <w:tab w:leader="none" w:pos="44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Potential Adjustment Event as a result of an event or condition set forth in Section [14.04(b)]</w:t>
      </w: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 xml:space="preserve"> of the Indenture or Section [14.04(c)]</w:t>
      </w:r>
      <w:r>
        <w:rPr>
          <w:rFonts w:ascii="Times New Roman" w:cs="Times New Roman" w:eastAsia="Times New Roman" w:hAnsi="Times New Roman"/>
          <w:sz w:val="29"/>
          <w:szCs w:val="29"/>
          <w:color w:val="auto"/>
          <w:vertAlign w:val="superscript"/>
        </w:rPr>
        <w:t>25</w:t>
      </w:r>
      <w:r>
        <w:rPr>
          <w:rFonts w:ascii="Times New Roman" w:cs="Times New Roman" w:eastAsia="Times New Roman" w:hAnsi="Times New Roman"/>
          <w:sz w:val="18"/>
          <w:szCs w:val="18"/>
          <w:color w:val="auto"/>
        </w:rPr>
        <w:t xml:space="preserve"> of the Indenture where, in either case, the period for determining “Y” (as such term is used in Section [14.04(b)]</w:t>
      </w:r>
      <w:r>
        <w:rPr>
          <w:rFonts w:ascii="Times New Roman" w:cs="Times New Roman" w:eastAsia="Times New Roman" w:hAnsi="Times New Roman"/>
          <w:sz w:val="29"/>
          <w:szCs w:val="29"/>
          <w:color w:val="auto"/>
          <w:vertAlign w:val="superscript"/>
        </w:rPr>
        <w:t>26</w:t>
      </w:r>
      <w:r>
        <w:rPr>
          <w:rFonts w:ascii="Times New Roman" w:cs="Times New Roman" w:eastAsia="Times New Roman" w:hAnsi="Times New Roman"/>
          <w:sz w:val="18"/>
          <w:szCs w:val="18"/>
          <w:color w:val="auto"/>
        </w:rPr>
        <w:t xml:space="preserve"> of the Indenture) or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such term is used in Section [14.04(c)]</w:t>
      </w:r>
      <w:r>
        <w:rPr>
          <w:rFonts w:ascii="Times New Roman" w:cs="Times New Roman" w:eastAsia="Times New Roman" w:hAnsi="Times New Roman"/>
          <w:sz w:val="29"/>
          <w:szCs w:val="29"/>
          <w:color w:val="auto"/>
          <w:vertAlign w:val="superscript"/>
        </w:rPr>
        <w:t>27</w:t>
      </w:r>
      <w:r>
        <w:rPr>
          <w:rFonts w:ascii="Times New Roman" w:cs="Times New Roman" w:eastAsia="Times New Roman" w:hAnsi="Times New Roman"/>
          <w:sz w:val="18"/>
          <w:szCs w:val="18"/>
          <w:color w:val="auto"/>
        </w:rPr>
        <w:t xml:space="preserve"> of the Indenture), as the case may be, begins before Counterparty has publicly announced the event or condition giving rise to such Potential Adjustment Event, then the Calculation Agent shall have the right to adjust, in good faith and in a commercially reasonable manner, any variable relevant to the exercise, settlement or payment for the Transaction as appropriate to reflect the commercially reasonable costs (including, but not limited to, hedging mismatches and market losses) and expenses incurred by Dealer in connection with its commercially reasonable hedging activities as a result of such event or condition not having been publicly announced prior to the beginning of such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830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0" w:lineRule="exact"/>
        <w:rPr>
          <w:sz w:val="20"/>
          <w:szCs w:val="20"/>
          <w:color w:val="auto"/>
        </w:rPr>
      </w:pPr>
    </w:p>
    <w:p>
      <w:pPr>
        <w:ind w:left="340" w:hanging="332"/>
        <w:spacing w:after="0" w:line="195" w:lineRule="auto"/>
        <w:tabs>
          <w:tab w:leader="none" w:pos="340" w:val="left"/>
        </w:tabs>
        <w:numPr>
          <w:ilvl w:val="0"/>
          <w:numId w:val="1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adjustments where a Conversion Rate adjustment occurs during a period over which Last Reported Sale Prices, Daily VWAPs, Daily Conversion Value or Daily Settlement Amounts are calculated.</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1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section(s) relating to Reference Property.</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1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an adjustment to the Conversion Rate in connection with a below-market rights, options or warrants offering.</w:t>
      </w:r>
    </w:p>
    <w:p>
      <w:pPr>
        <w:ind w:left="340" w:hanging="332"/>
        <w:spacing w:after="0" w:line="187" w:lineRule="auto"/>
        <w:tabs>
          <w:tab w:leader="none" w:pos="340" w:val="left"/>
        </w:tabs>
        <w:numPr>
          <w:ilvl w:val="0"/>
          <w:numId w:val="1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an adjustment to the Conversion Rate in connection with distributions of distributed property.</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an adjustment to the Conversion Rate in connection with a below-market rights, options or warrants offering.</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provision in the Indenture for pass-through of distributed property, at the same time as it is received by holders of the Shares, in lieu of a Conversion Rate adjustment.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Dilution Adjustment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Extraordinary Events applicable to the Transaction:</w:t>
      </w:r>
    </w:p>
    <w:p>
      <w:pPr>
        <w:spacing w:after="0" w:line="20" w:lineRule="exact"/>
        <w:rPr>
          <w:sz w:val="20"/>
          <w:szCs w:val="20"/>
          <w:color w:val="auto"/>
        </w:rPr>
      </w:pPr>
      <w:r>
        <w:rPr>
          <w:sz w:val="20"/>
          <w:szCs w:val="20"/>
          <w:color w:val="auto"/>
        </w:rPr>
        <w:br w:type="column"/>
      </w:r>
    </w:p>
    <w:p>
      <w:pPr>
        <w:jc w:val="both"/>
        <w:ind w:left="544" w:hanging="544"/>
        <w:spacing w:after="0" w:line="261" w:lineRule="auto"/>
        <w:tabs>
          <w:tab w:leader="none" w:pos="5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Potential Adjustment Event is declared and (a) the event or condition giving rise to such Potential Adjustment Event is subsequently amended, modified, cancelled or abandoned,</w:t>
      </w:r>
    </w:p>
    <w:p>
      <w:pPr>
        <w:jc w:val="both"/>
        <w:ind w:left="544" w:firstLine="9"/>
        <w:spacing w:after="0" w:line="251" w:lineRule="auto"/>
        <w:tabs>
          <w:tab w:leader="none" w:pos="81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Times New Roman" w:cs="Times New Roman" w:eastAsia="Times New Roman" w:hAnsi="Times New Roman"/>
          <w:sz w:val="18"/>
          <w:szCs w:val="18"/>
          <w:b w:val="1"/>
          <w:bCs w:val="1"/>
          <w:color w:val="auto"/>
        </w:rPr>
        <w:t>Potential Adjustment Event Change</w:t>
      </w:r>
      <w:r>
        <w:rPr>
          <w:rFonts w:ascii="Times New Roman" w:cs="Times New Roman" w:eastAsia="Times New Roman" w:hAnsi="Times New Roman"/>
          <w:sz w:val="18"/>
          <w:szCs w:val="18"/>
          <w:color w:val="auto"/>
        </w:rPr>
        <w:t>”) then, in each case, the Calculation Agent shall have the right to adjust, in good faith and in a commercially reasonable manner, any variable relevant to the exercise, settlement or payment for the Transaction as appropriate to reflect the commercially reasonable costs (including, but not limited to, hedging mismatches and market losses) and commercially reasonable expenses incurred by Dealer in connection with its commercially reasonable hedging activities as a result of such Potential Adjustment Event Change.</w:t>
      </w:r>
    </w:p>
    <w:p>
      <w:pPr>
        <w:spacing w:after="0" w:line="223"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18"/>
          <w:szCs w:val="18"/>
          <w:color w:val="auto"/>
        </w:rPr>
        <w:t>Sections [14.04(a), (b), (c), (d) and (e)]</w:t>
      </w:r>
      <w:r>
        <w:rPr>
          <w:rFonts w:ascii="Times New Roman" w:cs="Times New Roman" w:eastAsia="Times New Roman" w:hAnsi="Times New Roman"/>
          <w:sz w:val="29"/>
          <w:szCs w:val="29"/>
          <w:color w:val="auto"/>
          <w:vertAlign w:val="superscript"/>
        </w:rPr>
        <w:t>28</w:t>
      </w:r>
      <w:r>
        <w:rPr>
          <w:rFonts w:ascii="Times New Roman" w:cs="Times New Roman" w:eastAsia="Times New Roman" w:hAnsi="Times New Roman"/>
          <w:sz w:val="18"/>
          <w:szCs w:val="18"/>
          <w:color w:val="auto"/>
        </w:rPr>
        <w:t xml:space="preserve"> and Section [14.05]</w:t>
      </w:r>
      <w:r>
        <w:rPr>
          <w:rFonts w:ascii="Times New Roman" w:cs="Times New Roman" w:eastAsia="Times New Roman" w:hAnsi="Times New Roman"/>
          <w:sz w:val="29"/>
          <w:szCs w:val="29"/>
          <w:color w:val="auto"/>
          <w:vertAlign w:val="superscript"/>
        </w:rPr>
        <w:t>29</w:t>
      </w:r>
      <w:r>
        <w:rPr>
          <w:rFonts w:ascii="Times New Roman" w:cs="Times New Roman" w:eastAsia="Times New Roman" w:hAnsi="Times New Roman"/>
          <w:sz w:val="18"/>
          <w:szCs w:val="18"/>
          <w:color w:val="auto"/>
        </w:rPr>
        <w:t xml:space="preserve"> of the Indenture.</w:t>
      </w:r>
    </w:p>
    <w:p>
      <w:pPr>
        <w:spacing w:after="0" w:line="542" w:lineRule="exact"/>
        <w:rPr>
          <w:sz w:val="20"/>
          <w:szCs w:val="20"/>
          <w:color w:val="auto"/>
        </w:rPr>
      </w:pPr>
    </w:p>
    <w:p>
      <w:pPr>
        <w:sectPr>
          <w:pgSz w:w="11900" w:h="16838" w:orient="portrait"/>
          <w:cols w:equalWidth="0" w:num="2">
            <w:col w:w="3720" w:space="176"/>
            <w:col w:w="7344"/>
          </w:cols>
          <w:pgMar w:left="320" w:top="904" w:right="339" w:bottom="1440" w:gutter="0" w:footer="0" w:header="0"/>
        </w:sectPr>
      </w:pPr>
    </w:p>
    <w:p>
      <w:pPr>
        <w:spacing w:after="0" w:line="23" w:lineRule="exact"/>
        <w:rPr>
          <w:sz w:val="20"/>
          <w:szCs w:val="20"/>
          <w:color w:val="auto"/>
        </w:rPr>
      </w:pPr>
    </w:p>
    <w:p>
      <w:pPr>
        <w:ind w:left="660"/>
        <w:spacing w:after="0"/>
        <w:tabs>
          <w:tab w:leader="none" w:pos="4000" w:val="left"/>
        </w:tabs>
        <w:rPr>
          <w:sz w:val="20"/>
          <w:szCs w:val="20"/>
          <w:color w:val="auto"/>
        </w:rPr>
      </w:pPr>
      <w:r>
        <w:rPr>
          <w:rFonts w:ascii="Times New Roman" w:cs="Times New Roman" w:eastAsia="Times New Roman" w:hAnsi="Times New Roman"/>
          <w:sz w:val="18"/>
          <w:szCs w:val="18"/>
          <w:color w:val="auto"/>
        </w:rPr>
        <w:t>Merger Events:</w:t>
      </w:r>
      <w:r>
        <w:rPr>
          <w:sz w:val="20"/>
          <w:szCs w:val="20"/>
          <w:color w:val="auto"/>
        </w:rPr>
        <w:tab/>
      </w: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12.1(b) of the Equity Definitions, a “Merger</w:t>
      </w:r>
    </w:p>
    <w:p>
      <w:pPr>
        <w:spacing w:after="0" w:line="29" w:lineRule="exact"/>
        <w:rPr>
          <w:sz w:val="20"/>
          <w:szCs w:val="20"/>
          <w:color w:val="auto"/>
        </w:rPr>
      </w:pPr>
    </w:p>
    <w:p>
      <w:pPr>
        <w:ind w:left="4020"/>
        <w:spacing w:after="0" w:line="279" w:lineRule="auto"/>
        <w:rPr>
          <w:sz w:val="20"/>
          <w:szCs w:val="20"/>
          <w:color w:val="auto"/>
        </w:rPr>
      </w:pPr>
      <w:r>
        <w:rPr>
          <w:rFonts w:ascii="Times New Roman" w:cs="Times New Roman" w:eastAsia="Times New Roman" w:hAnsi="Times New Roman"/>
          <w:sz w:val="18"/>
          <w:szCs w:val="18"/>
          <w:color w:val="auto"/>
        </w:rPr>
        <w:t>Event” means the occurrence of any event or condition set forth in the definition of “Merger Event” in Section [14.07(a)]</w:t>
      </w:r>
      <w:r>
        <w:rPr>
          <w:rFonts w:ascii="Times New Roman" w:cs="Times New Roman" w:eastAsia="Times New Roman" w:hAnsi="Times New Roman"/>
          <w:sz w:val="29"/>
          <w:szCs w:val="29"/>
          <w:color w:val="auto"/>
          <w:vertAlign w:val="superscript"/>
        </w:rPr>
        <w:t>30</w:t>
      </w:r>
      <w:r>
        <w:rPr>
          <w:rFonts w:ascii="Times New Roman" w:cs="Times New Roman" w:eastAsia="Times New Roman" w:hAnsi="Times New Roman"/>
          <w:sz w:val="18"/>
          <w:szCs w:val="18"/>
          <w:color w:val="auto"/>
        </w:rPr>
        <w:t xml:space="preserve"> of the Indenture.</w:t>
      </w:r>
    </w:p>
    <w:p>
      <w:pPr>
        <w:spacing w:after="0" w:line="40" w:lineRule="exact"/>
        <w:rPr>
          <w:sz w:val="20"/>
          <w:szCs w:val="20"/>
          <w:color w:val="auto"/>
        </w:rPr>
      </w:pPr>
    </w:p>
    <w:p>
      <w:pPr>
        <w:ind w:left="660"/>
        <w:spacing w:after="0"/>
        <w:tabs>
          <w:tab w:leader="none" w:pos="4000" w:val="left"/>
        </w:tabs>
        <w:rPr>
          <w:sz w:val="20"/>
          <w:szCs w:val="20"/>
          <w:color w:val="auto"/>
        </w:rPr>
      </w:pPr>
      <w:r>
        <w:rPr>
          <w:rFonts w:ascii="Times New Roman" w:cs="Times New Roman" w:eastAsia="Times New Roman" w:hAnsi="Times New Roman"/>
          <w:sz w:val="18"/>
          <w:szCs w:val="18"/>
          <w:color w:val="auto"/>
        </w:rPr>
        <w:t>Tender Offers:</w:t>
      </w:r>
      <w:r>
        <w:rPr>
          <w:sz w:val="20"/>
          <w:szCs w:val="20"/>
          <w:color w:val="auto"/>
        </w:rPr>
        <w:tab/>
      </w: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12.1(d) of the Equity Definitions, a “Tender</w:t>
      </w:r>
    </w:p>
    <w:p>
      <w:pPr>
        <w:spacing w:after="0" w:line="29" w:lineRule="exact"/>
        <w:rPr>
          <w:sz w:val="20"/>
          <w:szCs w:val="20"/>
          <w:color w:val="auto"/>
        </w:rPr>
      </w:pPr>
    </w:p>
    <w:p>
      <w:pPr>
        <w:ind w:left="4020" w:right="20"/>
        <w:spacing w:after="0" w:line="209" w:lineRule="auto"/>
        <w:rPr>
          <w:sz w:val="20"/>
          <w:szCs w:val="20"/>
          <w:color w:val="auto"/>
        </w:rPr>
      </w:pPr>
      <w:r>
        <w:rPr>
          <w:rFonts w:ascii="Times New Roman" w:cs="Times New Roman" w:eastAsia="Times New Roman" w:hAnsi="Times New Roman"/>
          <w:sz w:val="18"/>
          <w:szCs w:val="18"/>
          <w:color w:val="auto"/>
        </w:rPr>
        <w:t>Offer” means the occurrence of any event or condition set forth in Section [14.04(e)]</w:t>
      </w:r>
      <w:r>
        <w:rPr>
          <w:rFonts w:ascii="Times New Roman" w:cs="Times New Roman" w:eastAsia="Times New Roman" w:hAnsi="Times New Roman"/>
          <w:sz w:val="29"/>
          <w:szCs w:val="29"/>
          <w:color w:val="auto"/>
          <w:vertAlign w:val="superscript"/>
        </w:rPr>
        <w:t>31</w:t>
      </w:r>
      <w:r>
        <w:rPr>
          <w:rFonts w:ascii="Times New Roman" w:cs="Times New Roman" w:eastAsia="Times New Roman" w:hAnsi="Times New Roman"/>
          <w:sz w:val="18"/>
          <w:szCs w:val="18"/>
          <w:color w:val="auto"/>
        </w:rPr>
        <w:t xml:space="preserve">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9"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containing anti-dilution adjustments to the Conversion Rate.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 providing for adjustments where a Conversion Rate adjustment occurs during a period over which Last Reported Sale Prices, Daily VWAPs, Daily Conversion Values or Daily Settlement Amounts are calculated.</w:t>
      </w:r>
    </w:p>
    <w:p>
      <w:pPr>
        <w:ind w:left="340" w:hanging="332"/>
        <w:spacing w:after="0" w:line="180" w:lineRule="auto"/>
        <w:tabs>
          <w:tab w:leader="none" w:pos="340" w:val="left"/>
        </w:tabs>
        <w:numPr>
          <w:ilvl w:val="0"/>
          <w:numId w:val="1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 describing consequences of Reference Property.</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1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cross-reference to Indenture section describing consequences of tender offers.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Consequences of Merger Events/</w:t>
      </w:r>
    </w:p>
    <w:p>
      <w:pPr>
        <w:spacing w:after="0" w:line="27" w:lineRule="exact"/>
        <w:rPr>
          <w:sz w:val="20"/>
          <w:szCs w:val="20"/>
          <w:color w:val="auto"/>
        </w:rPr>
      </w:pPr>
    </w:p>
    <w:p>
      <w:pPr>
        <w:jc w:val="both"/>
        <w:ind w:left="3360" w:hanging="3360"/>
        <w:spacing w:after="0" w:line="250" w:lineRule="auto"/>
        <w:tabs>
          <w:tab w:leader="none" w:pos="3340" w:val="left"/>
        </w:tabs>
        <w:rPr>
          <w:sz w:val="20"/>
          <w:szCs w:val="20"/>
          <w:color w:val="auto"/>
        </w:rPr>
      </w:pPr>
      <w:r>
        <w:rPr>
          <w:rFonts w:ascii="Times New Roman" w:cs="Times New Roman" w:eastAsia="Times New Roman" w:hAnsi="Times New Roman"/>
          <w:sz w:val="18"/>
          <w:szCs w:val="18"/>
          <w:color w:val="auto"/>
        </w:rPr>
        <w:t>Tender Offers:</w:t>
      </w:r>
      <w:r>
        <w:rPr>
          <w:sz w:val="20"/>
          <w:szCs w:val="20"/>
          <w:color w:val="auto"/>
        </w:rPr>
        <w:tab/>
      </w:r>
      <w:r>
        <w:rPr>
          <w:rFonts w:ascii="Times New Roman" w:cs="Times New Roman" w:eastAsia="Times New Roman" w:hAnsi="Times New Roman"/>
          <w:sz w:val="18"/>
          <w:szCs w:val="18"/>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including, without limitation, to the extent any depositary receipts constitute “Reference Property” under, and as defined in, the Indenture), Strike Price, Number of Options, Option Entitlement and any other variable relevant to the exercise, settlement or payment for the Transaction, subject to the second paragraph under “Method of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adjustment shall be made without regard to any adjustment to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Rate” (as defined in the Indenture) pursuant to any Excluded Provision;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with respect to any Merger Event or any Tender Offer, (i) (A) the consideration for the Shares includes (or, at the option of a holder of Shares, may include) shares (or depositary receipts with respect to shares) of an entity or person that is either (1) neither a corporation nor an entity that is treated as a corporation for U.S. federal income tax purposes or treated as a corporation for Canadian tax purposes or (2) not organized under the laws of the United States, any State thereof, the District of Columbia, the federal laws of Canada or any province thereof, or (B) Counterparty to the Transaction following such Merger Event or Tender Offer will not be either a corporation or an entity that is treated as a corporation for U.S. federal income tax purposes or will not be organized under the laws of the United States, any State thereof or the District of Columbia or the laws of Canada, any province or territory thereof and (ii) (A) Dealer determines in a commercially reasonable manner at any time following the occurrence of such Merger Event or Tender Offer that</w:t>
      </w:r>
    </w:p>
    <w:p>
      <w:pPr>
        <w:spacing w:after="0" w:line="8" w:lineRule="exact"/>
        <w:rPr>
          <w:sz w:val="20"/>
          <w:szCs w:val="20"/>
          <w:color w:val="auto"/>
        </w:rPr>
      </w:pPr>
    </w:p>
    <w:p>
      <w:pPr>
        <w:jc w:val="both"/>
        <w:ind w:left="3360" w:hanging="3"/>
        <w:spacing w:after="0" w:line="251" w:lineRule="auto"/>
        <w:tabs>
          <w:tab w:leader="none" w:pos="363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Merger Event or Tender Offer has had or will have a material adverse effect on Dealer under the Transaction or (y) Dealer will incur or has incurred an increased (as compared with circumstances existing on the Trade Date) amount of tax, duty, expense or fee to (1) acquire, establish, re-establish, substitute, maintain, unwind or dispose of any transaction(s) or asset(s) it deems necessary or appropriate to hedge the economic risk of entering into and performing its obligations with respect to the Transaction in a commercially reasonable manner or (2) realize, recover or remit the proceeds of any such transaction(s) or asset(s) or (B) Dealer determines, in its good faith and reasonable judgment, that it will not be in compliance with applicable legal, regulatory or self-regulatory requirements, or with related policies and procedures, applicable to Dealer, then, in either case, Cancellation and Payment (Calculation Agent Determination) may apply at Dealer’s commercially reasonable election;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avoidance of doubt, adjustments shall be made pursuant to the provisions set forth above regardless of whether any Merger Event or Tender Offer gives rise to an Early Conversion.</w:t>
      </w:r>
    </w:p>
    <w:p>
      <w:pPr>
        <w:spacing w:after="0" w:line="3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Consequences of Announcement Events:</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Modified Calculation Agent Adjustment as set forth in Section 12.3(d) of the Equity Definitions;</w:t>
            </w:r>
          </w:p>
        </w:tc>
      </w:tr>
      <w:tr>
        <w:trPr>
          <w:trHeight w:val="218"/>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respect of an Announcement Event, (x) references to “Tender Offer” shall be</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replaced by references to “Announcement Event” and references to “Tender Offer Date” shall be</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replaced by references to “date of such Announcement Event”, (y) the phrase “exercise, settlement,</w:t>
            </w:r>
          </w:p>
        </w:tc>
      </w:tr>
      <w:tr>
        <w:trPr>
          <w:trHeight w:val="214"/>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or any other terms of the Transaction (including, without limitation, the spread)” shall be</w:t>
            </w:r>
          </w:p>
        </w:tc>
      </w:tr>
      <w:tr>
        <w:trPr>
          <w:trHeight w:val="218"/>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replaced with the phrase “Cap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Strike Price)” and the words “whether within a commercially reasonable (as determined by the</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Agent) period of time prior to or after the Announcement Event,” shall be inserted prior</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the word “which” in the seventh line, and (z) for the avoidance of doubt, the Calculation Agent</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shall determine whether the relevant Announcement Event has had an economic effect on the</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if so, shall, acting in good faith and in a commercially reasonable manner, adjust</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Cap Price accordingly) on one or more occasions on or after the date of the Announcement</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Event up to, and including, the Expiration Date, any Early Termination Date and/or any other date</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cancellation (and for the avoidance of doubt shall make such adjustment to take into account the</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cumulative effect on the Expiration Date, any Early Termination Date and/or any other date of</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cancellation), it being understood that any adjustment in respect of an Announcement Event shall</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take  into  account  any  earlier  adjustment  relating  to  the  same  Announcement  Event.   An</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Announcement Event shall be an “Extraordinary Event” for purposes of the Equity Definitions, to</w:t>
            </w:r>
          </w:p>
        </w:tc>
      </w:tr>
      <w:tr>
        <w:trPr>
          <w:trHeight w:val="234"/>
        </w:trPr>
        <w:tc>
          <w:tcPr>
            <w:tcW w:w="3820" w:type="dxa"/>
            <w:vAlign w:val="bottom"/>
          </w:tcPr>
          <w:p>
            <w:pPr>
              <w:spacing w:after="0"/>
              <w:rPr>
                <w:sz w:val="20"/>
                <w:szCs w:val="20"/>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which Article 12 of the Equity Definitions is applicable.</w:t>
            </w:r>
          </w:p>
        </w:tc>
      </w:tr>
      <w:tr>
        <w:trPr>
          <w:trHeight w:val="4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Announcement Event:</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 The public announcement by Issuer, any subsidiary of Issuer, any agent of Issuer, any Valid</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 Party Entity or any agent of a Valid Third Party Entity of (x) any transaction or event that, if</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completed, would constitute a Merger Event or Tender Offer, (y) any potential acquisition or</w:t>
            </w:r>
          </w:p>
        </w:tc>
      </w:tr>
      <w:tr>
        <w:trPr>
          <w:trHeight w:val="212"/>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disposition by Issuer and/or its subsidiaries where the aggregate consideration exceeds 35% of the</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  capitalization  of  Issuer  as  of  the  date  of  such  announcement  (a  “</w:t>
            </w:r>
            <w:r>
              <w:rPr>
                <w:rFonts w:ascii="Times New Roman" w:cs="Times New Roman" w:eastAsia="Times New Roman" w:hAnsi="Times New Roman"/>
                <w:sz w:val="18"/>
                <w:szCs w:val="18"/>
                <w:b w:val="1"/>
                <w:bCs w:val="1"/>
                <w:color w:val="auto"/>
              </w:rPr>
              <w:t>Transformative</w:t>
            </w:r>
          </w:p>
        </w:tc>
      </w:tr>
      <w:tr>
        <w:trPr>
          <w:trHeight w:val="220"/>
        </w:trPr>
        <w:tc>
          <w:tcPr>
            <w:tcW w:w="38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or (z) the intention to enter into a Merger Event or Tender Offer or a Transformative</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(ii) the public announcement by Issuer of an intention to solicit or enter into, or to</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explore strategic alternatives or other similar undertaking that, if completed, would constitute a</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Merger  Event,  Tender  Offer  or  Transformative  Transaction  or  (iii)  any  subsequent  public</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announcement by any entity referenced in clause (i) above of a change to a transaction or intention</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that is the subject of an announcement of the type described in clause (i) or (ii) of this sentence</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(including, without limitation, a new announcement, whether or not by the same party, relating to</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such a transaction or intention or the announcement of a withdrawal from, or the abandonment or</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discontinuation of, such a transaction or intention), as determined by the Calculation Agent in a</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commercially reasonable manner. For the avoidance of doubt, the occurrence of an Announcement</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Event with respect to any transaction or intention shall not preclude the occurrence of a later</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Announcement Event with respect to such transaction or intention. For purposes of this definition of</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“Announcement Event,” (A) “Merger Event” shall mean such term as defined under Section 12.1(b)</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the Equity Definitions (but, for the avoidance of doubt, the remainder of the definition of</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“Merger Event” in Section 12.1(b) of the Equity Definitions following the definition of “Reverse</w:t>
            </w:r>
          </w:p>
        </w:tc>
      </w:tr>
      <w:tr>
        <w:trPr>
          <w:trHeight w:val="216"/>
        </w:trPr>
        <w:tc>
          <w:tcPr>
            <w:tcW w:w="38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Merger” therein shall be disregarded) and (B) “Tender Offer” shall mean such term as defined under</w:t>
            </w:r>
          </w:p>
        </w:tc>
      </w:tr>
      <w:tr>
        <w:trPr>
          <w:trHeight w:val="234"/>
        </w:trPr>
        <w:tc>
          <w:tcPr>
            <w:tcW w:w="3820" w:type="dxa"/>
            <w:vAlign w:val="bottom"/>
          </w:tcPr>
          <w:p>
            <w:pPr>
              <w:spacing w:after="0"/>
              <w:rPr>
                <w:sz w:val="20"/>
                <w:szCs w:val="20"/>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12.1(d) of the Equity Definitions (as amended by Section 9(i)(ii) below).</w:t>
            </w:r>
          </w:p>
        </w:tc>
      </w:tr>
      <w:tr>
        <w:trPr>
          <w:trHeight w:val="709"/>
        </w:trPr>
        <w:tc>
          <w:tcPr>
            <w:tcW w:w="38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22"/>
                <w:szCs w:val="22"/>
                <w:color w:val="auto"/>
              </w:rPr>
              <w:t>12</w:t>
            </w:r>
          </w:p>
        </w:tc>
      </w:tr>
    </w:tbl>
    <w:p>
      <w:pPr>
        <w:sectPr>
          <w:pgSz w:w="11900" w:h="16838" w:orient="portrait"/>
          <w:cols w:equalWidth="0" w:num="1">
            <w:col w:w="11240"/>
          </w:cols>
          <w:pgMar w:left="320" w:top="904"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Valid Third Party Entity:</w:t>
            </w: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respect of any transaction or event, any third party that has a bona fide intent to enter into or</w:t>
            </w:r>
          </w:p>
        </w:tc>
      </w:tr>
      <w:tr>
        <w:trPr>
          <w:trHeight w:val="216"/>
        </w:trPr>
        <w:tc>
          <w:tcPr>
            <w:tcW w:w="3800" w:type="dxa"/>
            <w:vAlign w:val="bottom"/>
          </w:tcPr>
          <w:p>
            <w:pPr>
              <w:spacing w:after="0"/>
              <w:rPr>
                <w:sz w:val="18"/>
                <w:szCs w:val="18"/>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consummate such transaction, as determined by the Calculation Agent (it being understood and</w:t>
            </w:r>
          </w:p>
        </w:tc>
      </w:tr>
      <w:tr>
        <w:trPr>
          <w:trHeight w:val="216"/>
        </w:trPr>
        <w:tc>
          <w:tcPr>
            <w:tcW w:w="3800" w:type="dxa"/>
            <w:vAlign w:val="bottom"/>
          </w:tcPr>
          <w:p>
            <w:pPr>
              <w:spacing w:after="0"/>
              <w:rPr>
                <w:sz w:val="18"/>
                <w:szCs w:val="18"/>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agreed that in determining whether such third party has such a bona fide intent, the Calculation</w:t>
            </w:r>
          </w:p>
        </w:tc>
      </w:tr>
      <w:tr>
        <w:trPr>
          <w:trHeight w:val="216"/>
        </w:trPr>
        <w:tc>
          <w:tcPr>
            <w:tcW w:w="3800" w:type="dxa"/>
            <w:vAlign w:val="bottom"/>
          </w:tcPr>
          <w:p>
            <w:pPr>
              <w:spacing w:after="0"/>
              <w:rPr>
                <w:sz w:val="18"/>
                <w:szCs w:val="18"/>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Agent shall take into consideration the effect of the relevant announcement by such third party on</w:t>
            </w:r>
          </w:p>
        </w:tc>
      </w:tr>
      <w:tr>
        <w:trPr>
          <w:trHeight w:val="234"/>
        </w:trPr>
        <w:tc>
          <w:tcPr>
            <w:tcW w:w="3800" w:type="dxa"/>
            <w:vAlign w:val="bottom"/>
          </w:tcPr>
          <w:p>
            <w:pPr>
              <w:spacing w:after="0"/>
              <w:rPr>
                <w:sz w:val="20"/>
                <w:szCs w:val="20"/>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Shares and/or options relating to the Shares).</w:t>
            </w:r>
          </w:p>
        </w:tc>
      </w:tr>
      <w:tr>
        <w:trPr>
          <w:trHeight w:val="414"/>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Nationalization, Insolvency or Delisting:</w:t>
            </w: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w:t>
            </w:r>
          </w:p>
        </w:tc>
      </w:tr>
      <w:tr>
        <w:trPr>
          <w:trHeight w:val="216"/>
        </w:trPr>
        <w:tc>
          <w:tcPr>
            <w:tcW w:w="3800" w:type="dxa"/>
            <w:vAlign w:val="bottom"/>
          </w:tcPr>
          <w:p>
            <w:pPr>
              <w:spacing w:after="0"/>
              <w:rPr>
                <w:sz w:val="18"/>
                <w:szCs w:val="18"/>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 of Section 12.6(a)(iii) of the Equity Definitions, it will also constitute a Delisting if the</w:t>
            </w:r>
          </w:p>
        </w:tc>
      </w:tr>
      <w:tr>
        <w:trPr>
          <w:trHeight w:val="216"/>
        </w:trPr>
        <w:tc>
          <w:tcPr>
            <w:tcW w:w="3800" w:type="dxa"/>
            <w:vAlign w:val="bottom"/>
          </w:tcPr>
          <w:p>
            <w:pPr>
              <w:spacing w:after="0"/>
              <w:rPr>
                <w:sz w:val="18"/>
                <w:szCs w:val="18"/>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is located in the United States and the Shares are not immediately re-listed, re-traded or</w:t>
            </w:r>
          </w:p>
        </w:tc>
      </w:tr>
      <w:tr>
        <w:trPr>
          <w:trHeight w:val="216"/>
        </w:trPr>
        <w:tc>
          <w:tcPr>
            <w:tcW w:w="3800" w:type="dxa"/>
            <w:vAlign w:val="bottom"/>
          </w:tcPr>
          <w:p>
            <w:pPr>
              <w:spacing w:after="0"/>
              <w:rPr>
                <w:sz w:val="18"/>
                <w:szCs w:val="18"/>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re-quoted on any of the New York Stock Exchange, the NYSE American, The Nasdaq Global Select</w:t>
            </w:r>
          </w:p>
        </w:tc>
      </w:tr>
      <w:tr>
        <w:trPr>
          <w:trHeight w:val="216"/>
        </w:trPr>
        <w:tc>
          <w:tcPr>
            <w:tcW w:w="3800" w:type="dxa"/>
            <w:vAlign w:val="bottom"/>
          </w:tcPr>
          <w:p>
            <w:pPr>
              <w:spacing w:after="0"/>
              <w:rPr>
                <w:sz w:val="18"/>
                <w:szCs w:val="18"/>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Market, The Nasdaq Global Market or the Nasdaq Capital Market (or their respective successors); if</w:t>
            </w:r>
          </w:p>
        </w:tc>
      </w:tr>
      <w:tr>
        <w:trPr>
          <w:trHeight w:val="216"/>
        </w:trPr>
        <w:tc>
          <w:tcPr>
            <w:tcW w:w="3800" w:type="dxa"/>
            <w:vAlign w:val="bottom"/>
          </w:tcPr>
          <w:p>
            <w:pPr>
              <w:spacing w:after="0"/>
              <w:rPr>
                <w:sz w:val="18"/>
                <w:szCs w:val="18"/>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Shares are immediately re-listed, re-traded or re-quoted on any of the New York Stock</w:t>
            </w:r>
          </w:p>
        </w:tc>
      </w:tr>
      <w:tr>
        <w:trPr>
          <w:trHeight w:val="216"/>
        </w:trPr>
        <w:tc>
          <w:tcPr>
            <w:tcW w:w="3800" w:type="dxa"/>
            <w:vAlign w:val="bottom"/>
          </w:tcPr>
          <w:p>
            <w:pPr>
              <w:spacing w:after="0"/>
              <w:rPr>
                <w:sz w:val="18"/>
                <w:szCs w:val="18"/>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the NYSE American, The Nasdaq Global Select Market, The Nasdaq Global Market or</w:t>
            </w:r>
          </w:p>
        </w:tc>
      </w:tr>
      <w:tr>
        <w:trPr>
          <w:trHeight w:val="216"/>
        </w:trPr>
        <w:tc>
          <w:tcPr>
            <w:tcW w:w="3800" w:type="dxa"/>
            <w:vAlign w:val="bottom"/>
          </w:tcPr>
          <w:p>
            <w:pPr>
              <w:spacing w:after="0"/>
              <w:rPr>
                <w:sz w:val="18"/>
                <w:szCs w:val="18"/>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Nasdaq Capital Market (or their respective successors), such exchange or quotation system shall</w:t>
            </w:r>
          </w:p>
        </w:tc>
      </w:tr>
      <w:tr>
        <w:trPr>
          <w:trHeight w:val="234"/>
        </w:trPr>
        <w:tc>
          <w:tcPr>
            <w:tcW w:w="3800" w:type="dxa"/>
            <w:vAlign w:val="bottom"/>
          </w:tcPr>
          <w:p>
            <w:pPr>
              <w:spacing w:after="0"/>
              <w:rPr>
                <w:sz w:val="20"/>
                <w:szCs w:val="20"/>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thereafter be deemed to be the Exchange.</w:t>
            </w:r>
          </w:p>
        </w:tc>
      </w:tr>
      <w:tr>
        <w:trPr>
          <w:trHeight w:val="682"/>
        </w:trPr>
        <w:tc>
          <w:tcPr>
            <w:tcW w:w="380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22"/>
                <w:szCs w:val="22"/>
                <w:color w:val="auto"/>
              </w:rPr>
              <w:t>13</w:t>
            </w:r>
          </w:p>
        </w:tc>
      </w:tr>
    </w:tbl>
    <w:p>
      <w:pPr>
        <w:sectPr>
          <w:pgSz w:w="11900" w:h="16838" w:orient="portrait"/>
          <w:cols w:equalWidth="0" w:num="1">
            <w:col w:w="11240"/>
          </w:cols>
          <w:pgMar w:left="320" w:top="931"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Disruption Events:</w:t>
            </w:r>
          </w:p>
        </w:tc>
        <w:tc>
          <w:tcPr>
            <w:tcW w:w="92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41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Change in Law:</w:t>
            </w: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replacing the phrase “the interpretation” in the third line thereof with the phrase “, or public</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announcement of, the formal or informal interpretation”, (ii) replacing the word “Shares” where it</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appears in clause (X) thereof with the words “Hedge Position” and (iii) replacing the parenthetical</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beginning after the word “regulation” in the second line thereof the words “(including, for the</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avoidance of doubt and without limitation, (x) any tax law, (y) adoption, effectiveness or</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promulgation of new regulations authorized or mandated by existing statute, or (z) in the case of the</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laws of Canada or any political subdivision thereof, the public announcement or issuance by a</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relevant governmental authority of draft legislation, a notice of ways and means motion or a similar</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document)”. Notwithstanding anything to the contrary in the Equity Definitions, a Change in Law</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described in clause (Y) of Section 12.9(a)(ii) of the Equity Definitions shall not constitute a Change</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 Law and instead shall constitute an Increased Cost of Hedging as described in Section 12.9(a)(vi)</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of the Equity Definitions, and any such determination of a Change in Law shall be consistently</w:t>
            </w:r>
          </w:p>
        </w:tc>
      </w:tr>
      <w:tr>
        <w:trPr>
          <w:trHeight w:val="216"/>
        </w:trPr>
        <w:tc>
          <w:tcPr>
            <w:tcW w:w="2700" w:type="dxa"/>
            <w:vAlign w:val="bottom"/>
          </w:tcPr>
          <w:p>
            <w:pPr>
              <w:spacing w:after="0"/>
              <w:rPr>
                <w:sz w:val="18"/>
                <w:szCs w:val="18"/>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applied  by  the  Determining  Party  across  transactions  similar  to  the  Transaction  and  for</w:t>
            </w:r>
          </w:p>
        </w:tc>
      </w:tr>
      <w:tr>
        <w:trPr>
          <w:trHeight w:val="234"/>
        </w:trPr>
        <w:tc>
          <w:tcPr>
            <w:tcW w:w="2700" w:type="dxa"/>
            <w:vAlign w:val="bottom"/>
          </w:tcPr>
          <w:p>
            <w:pPr>
              <w:spacing w:after="0"/>
              <w:rPr>
                <w:sz w:val="20"/>
                <w:szCs w:val="20"/>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counterparties similar to Counterparty.</w:t>
            </w: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Failure to Deliver:</w:t>
            </w: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Hedging Disruption:</w:t>
            </w: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441"/>
        </w:trPr>
        <w:tc>
          <w:tcPr>
            <w:tcW w:w="270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12.9(a)(v) of the Equity Definitions is hereby amended by inserting the following two</w:t>
            </w:r>
          </w:p>
        </w:tc>
      </w:tr>
      <w:tr>
        <w:trPr>
          <w:trHeight w:val="234"/>
        </w:trPr>
        <w:tc>
          <w:tcPr>
            <w:tcW w:w="2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phrases at the end of such Section:</w:t>
            </w:r>
          </w:p>
        </w:tc>
      </w:tr>
      <w:tr>
        <w:trPr>
          <w:trHeight w:val="414"/>
        </w:trPr>
        <w:tc>
          <w:tcPr>
            <w:tcW w:w="2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the avoidance of doubt, the term “equity price risk” shall be deemed to include, but shall</w:t>
            </w:r>
          </w:p>
        </w:tc>
      </w:tr>
      <w:tr>
        <w:trPr>
          <w:trHeight w:val="216"/>
        </w:trPr>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 be limited to, stock price and volatility risk. And, for the further avoidance of doubt, any</w:t>
            </w:r>
          </w:p>
        </w:tc>
      </w:tr>
      <w:tr>
        <w:trPr>
          <w:trHeight w:val="216"/>
        </w:trPr>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such transactions or assets referred to in phrases (A) or (B) above must be available on</w:t>
            </w:r>
          </w:p>
        </w:tc>
      </w:tr>
      <w:tr>
        <w:trPr>
          <w:trHeight w:val="234"/>
        </w:trPr>
        <w:tc>
          <w:tcPr>
            <w:tcW w:w="2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commercially reasonable pricing terms.”; and</w:t>
            </w:r>
          </w:p>
        </w:tc>
      </w:tr>
      <w:tr>
        <w:trPr>
          <w:trHeight w:val="414"/>
        </w:trPr>
        <w:tc>
          <w:tcPr>
            <w:tcW w:w="270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(ii)</w:t>
            </w: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12.9(b)(iii) of the Equity Definitions is hereby amended by inserting in the third line</w:t>
            </w:r>
          </w:p>
        </w:tc>
      </w:tr>
      <w:tr>
        <w:trPr>
          <w:trHeight w:val="216"/>
        </w:trPr>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thereof, after the words “to terminate the Transaction”, the words “or, if a portion of the</w:t>
            </w:r>
          </w:p>
        </w:tc>
      </w:tr>
      <w:tr>
        <w:trPr>
          <w:trHeight w:val="216"/>
        </w:trPr>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is affected by such Hedging Disruption (as determined by the Hedging Party in a</w:t>
            </w:r>
          </w:p>
        </w:tc>
      </w:tr>
      <w:tr>
        <w:trPr>
          <w:trHeight w:val="216"/>
        </w:trPr>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commercially reasonable manner), such portion of the Transaction affected by such Hedging</w:t>
            </w:r>
          </w:p>
        </w:tc>
      </w:tr>
      <w:tr>
        <w:trPr>
          <w:trHeight w:val="234"/>
        </w:trPr>
        <w:tc>
          <w:tcPr>
            <w:tcW w:w="2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Disruption”.</w:t>
            </w:r>
          </w:p>
        </w:tc>
      </w:tr>
      <w:tr>
        <w:trPr>
          <w:trHeight w:val="441"/>
        </w:trPr>
        <w:tc>
          <w:tcPr>
            <w:tcW w:w="2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 in no event</w:t>
            </w:r>
          </w:p>
        </w:tc>
      </w:tr>
      <w:tr>
        <w:trPr>
          <w:trHeight w:val="216"/>
        </w:trPr>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will a Hedging Disruption occur solely due to the deterioration of the creditworthiness of the</w:t>
            </w:r>
          </w:p>
        </w:tc>
      </w:tr>
      <w:tr>
        <w:trPr>
          <w:trHeight w:val="234"/>
        </w:trPr>
        <w:tc>
          <w:tcPr>
            <w:tcW w:w="2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Hedging Party.</w:t>
            </w:r>
          </w:p>
        </w:tc>
      </w:tr>
      <w:tr>
        <w:trPr>
          <w:trHeight w:val="44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Increased Cost of Hedging:</w:t>
            </w: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Applicable solely with respect to a “Change in Law” described in clause (Y) of Section 12.9(a)(ii)</w:t>
            </w:r>
          </w:p>
        </w:tc>
      </w:tr>
      <w:tr>
        <w:trPr>
          <w:trHeight w:val="234"/>
        </w:trPr>
        <w:tc>
          <w:tcPr>
            <w:tcW w:w="2700" w:type="dxa"/>
            <w:vAlign w:val="bottom"/>
          </w:tcPr>
          <w:p>
            <w:pPr>
              <w:spacing w:after="0"/>
              <w:rPr>
                <w:sz w:val="20"/>
                <w:szCs w:val="20"/>
                <w:color w:val="auto"/>
              </w:rPr>
            </w:pPr>
          </w:p>
        </w:tc>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of the Equity Definitions as set forth in the last sentence opposite the caption “Change in Law”</w:t>
            </w:r>
          </w:p>
        </w:tc>
      </w:tr>
    </w:tbl>
    <w:p>
      <w:pPr>
        <w:ind w:left="3360"/>
        <w:spacing w:after="0" w:line="260" w:lineRule="auto"/>
        <w:rPr>
          <w:sz w:val="20"/>
          <w:szCs w:val="20"/>
          <w:color w:val="auto"/>
        </w:rPr>
      </w:pPr>
      <w:r>
        <w:rPr>
          <w:rFonts w:ascii="Times New Roman" w:cs="Times New Roman" w:eastAsia="Times New Roman" w:hAnsi="Times New Roman"/>
          <w:sz w:val="18"/>
          <w:szCs w:val="18"/>
          <w:color w:val="auto"/>
        </w:rPr>
        <w:t>above (which determination shall be consistently applied by the Determining Party across transactions similar to the Transaction and for counterparties similar to Counterparty).</w:t>
      </w:r>
    </w:p>
    <w:p>
      <w:pPr>
        <w:spacing w:after="0" w:line="38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Hedging Party:</w:t>
            </w: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all applicable Additional Disruption Events, Dealer. Following any determination by the</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Hedging Party hereunder, the Hedging Party shall promptly (but in any event within five (5)</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Exchange Business Days) provide to Counterparty by e-mail a report (in a commonly used file</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format for the storage and manipulation of financial data) displaying in reasonable detail the basis</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such determination (including any assumptions used in making such determination), it being</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understood that the Hedging Party shall not be obligated to disclose any proprietary or confidential</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models used by it for such determination or any information that may be proprietary or confidential</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 subject to an obligation not to disclose such information.  All calculations, adjustments and</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determinations by Dealer acting in its capacity as the Hedging Party shall be made in good faith and</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a commercially reasonable manner and assuming that Dealer maintains a commercially</w:t>
            </w:r>
          </w:p>
        </w:tc>
      </w:tr>
      <w:tr>
        <w:trPr>
          <w:trHeight w:val="234"/>
        </w:trPr>
        <w:tc>
          <w:tcPr>
            <w:tcW w:w="3620" w:type="dxa"/>
            <w:vAlign w:val="bottom"/>
          </w:tcPr>
          <w:p>
            <w:pPr>
              <w:spacing w:after="0"/>
              <w:rPr>
                <w:sz w:val="20"/>
                <w:szCs w:val="20"/>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reasonable hedge position.</w:t>
            </w:r>
          </w:p>
        </w:tc>
      </w:tr>
      <w:tr>
        <w:trPr>
          <w:trHeight w:val="414"/>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Determining Party:</w:t>
            </w: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For all applicable Extraordinary Events,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making any determination or</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calculation as “Determining Party,” Dealer shall be bound by the same obligations relating to</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required acts of the Calculation Agent as set forth in Section 1.40 of the Equity Definitions and this</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Confirmation as if the Determining Party were the Calculation Agent. Following any determination</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or calculation by the Determining Party hereunder, the Determining Party shall promptly (but in any</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event within five (5) Exchange Business Days) provide to Counterparty by e-mail a report (in a</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commonly used file format for the storage and manipulation of financial data) displaying in</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reasonable detail the basis for such determination or calculation (including any assumptions used in</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making such determination or calculation), it being understood that the Determining Party shall not</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 obligated to disclose any proprietary or confidential models used by it for such determination or</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calculation or any information that may be proprietary or confidential or subject to an obligation not</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 disclose such information. All calculations, adjustments and determinations by Dealer acting in</w:t>
            </w:r>
          </w:p>
        </w:tc>
      </w:tr>
      <w:tr>
        <w:trPr>
          <w:trHeight w:val="216"/>
        </w:trPr>
        <w:tc>
          <w:tcPr>
            <w:tcW w:w="36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its capacity as the Determining Party shall be made in good faith and in a commercially reasonable</w:t>
            </w:r>
          </w:p>
        </w:tc>
      </w:tr>
      <w:tr>
        <w:trPr>
          <w:trHeight w:val="234"/>
        </w:trPr>
        <w:tc>
          <w:tcPr>
            <w:tcW w:w="3620" w:type="dxa"/>
            <w:vAlign w:val="bottom"/>
          </w:tcPr>
          <w:p>
            <w:pPr>
              <w:spacing w:after="0"/>
              <w:rPr>
                <w:sz w:val="20"/>
                <w:szCs w:val="20"/>
                <w:color w:val="auto"/>
              </w:rPr>
            </w:pP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manner and assuming that Dealer maintains a commercially reasonable hedge position.</w:t>
            </w:r>
          </w:p>
        </w:tc>
      </w:tr>
      <w:tr>
        <w:trPr>
          <w:trHeight w:val="432"/>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Non-Reliance:</w:t>
            </w: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Agreements and Acknowledgments</w:t>
            </w:r>
          </w:p>
        </w:tc>
        <w:tc>
          <w:tcPr>
            <w:tcW w:w="7620" w:type="dxa"/>
            <w:vAlign w:val="bottom"/>
          </w:tcPr>
          <w:p>
            <w:pPr>
              <w:spacing w:after="0"/>
              <w:rPr>
                <w:sz w:val="24"/>
                <w:szCs w:val="24"/>
                <w:color w:val="auto"/>
              </w:rPr>
            </w:pPr>
          </w:p>
        </w:tc>
      </w:tr>
      <w:tr>
        <w:trPr>
          <w:trHeight w:val="234"/>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7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682"/>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22"/>
                <w:szCs w:val="22"/>
                <w:color w:val="auto"/>
              </w:rPr>
              <w:t>15</w:t>
            </w:r>
          </w:p>
        </w:tc>
      </w:tr>
    </w:tbl>
    <w:p>
      <w:pPr>
        <w:sectPr>
          <w:pgSz w:w="11900" w:h="16838" w:orient="portrait"/>
          <w:cols w:equalWidth="0" w:num="1">
            <w:col w:w="11240"/>
          </w:cols>
          <w:pgMar w:left="320" w:top="904" w:right="3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Hedging Adjustments:</w:t>
            </w: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 the avoidance of doubt, whenever the Determining Party or Calculation Agent is called upon or</w:t>
            </w:r>
          </w:p>
        </w:tc>
      </w:tr>
      <w:tr>
        <w:trPr>
          <w:trHeight w:val="216"/>
        </w:trPr>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permitted to make an adjustment pursuant to the terms of this Confirmation or the Equity</w:t>
            </w:r>
          </w:p>
        </w:tc>
      </w:tr>
      <w:tr>
        <w:trPr>
          <w:trHeight w:val="216"/>
        </w:trPr>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Definitions to take into account the effect of an event (other than, for the avoidance of doubt, any</w:t>
            </w:r>
          </w:p>
        </w:tc>
      </w:tr>
      <w:tr>
        <w:trPr>
          <w:trHeight w:val="216"/>
        </w:trPr>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adjustment that is required to be made by reference to the Indenture), the Determining Party or</w:t>
            </w:r>
          </w:p>
        </w:tc>
      </w:tr>
      <w:tr>
        <w:trPr>
          <w:trHeight w:val="216"/>
        </w:trPr>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Calculation Agent, as the case may be, shall make such adjustment by reference to the effect of</w:t>
            </w:r>
          </w:p>
        </w:tc>
      </w:tr>
      <w:tr>
        <w:trPr>
          <w:trHeight w:val="234"/>
        </w:trPr>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such event on Dealer assuming that Dealer maintains a commercially reasonable hedge position.</w:t>
            </w:r>
          </w:p>
        </w:tc>
      </w:tr>
      <w:tr>
        <w:trPr>
          <w:trHeight w:val="418"/>
        </w:trPr>
        <w:tc>
          <w:tcPr>
            <w:tcW w:w="6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Calculation Agent.</w:t>
            </w: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Dealer, whose judgments, determinations and calculations shall be made in good faith and in a</w:t>
            </w:r>
          </w:p>
        </w:tc>
      </w:tr>
      <w:tr>
        <w:trPr>
          <w:trHeight w:val="218"/>
        </w:trPr>
        <w:tc>
          <w:tcPr>
            <w:tcW w:w="6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xml:space="preserve">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and  during  the</w:t>
            </w:r>
          </w:p>
        </w:tc>
      </w:tr>
      <w:tr>
        <w:trPr>
          <w:trHeight w:val="216"/>
        </w:trPr>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continuance of an Event of Default of the type described in Section 5(a)(vii) of the Agreement with</w:t>
            </w:r>
          </w:p>
        </w:tc>
      </w:tr>
      <w:tr>
        <w:trPr>
          <w:trHeight w:val="216"/>
        </w:trPr>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respect to which Dealer is the sole Defaulting Party, if the Calculation Agent fails to timely make</w:t>
            </w:r>
          </w:p>
        </w:tc>
      </w:tr>
      <w:tr>
        <w:trPr>
          <w:trHeight w:val="216"/>
        </w:trPr>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any calculation, adjustment or determination required to be made by the Calculation Agent</w:t>
            </w:r>
          </w:p>
        </w:tc>
      </w:tr>
      <w:tr>
        <w:trPr>
          <w:trHeight w:val="216"/>
        </w:trPr>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hereunder and such failure continues for five (5) Exchange Business Days following notice to the</w:t>
            </w:r>
          </w:p>
        </w:tc>
      </w:tr>
      <w:tr>
        <w:trPr>
          <w:trHeight w:val="234"/>
        </w:trPr>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Calculation Agent by Counterparty of such failure, Counterparty shall have the right to designate a</w:t>
            </w:r>
          </w:p>
        </w:tc>
      </w:tr>
    </w:tbl>
    <w:p>
      <w:pPr>
        <w:jc w:val="both"/>
        <w:ind w:left="4020"/>
        <w:spacing w:after="0" w:line="251" w:lineRule="auto"/>
        <w:rPr>
          <w:sz w:val="20"/>
          <w:szCs w:val="20"/>
          <w:color w:val="auto"/>
        </w:rPr>
      </w:pPr>
      <w:r>
        <w:rPr>
          <w:rFonts w:ascii="Times New Roman" w:cs="Times New Roman" w:eastAsia="Times New Roman" w:hAnsi="Times New Roman"/>
          <w:sz w:val="18"/>
          <w:szCs w:val="18"/>
          <w:color w:val="auto"/>
        </w:rPr>
        <w:t>nationally recognized third-party dealer in over-the-counter corporate equity derivatives to act, during the period commencing on the date such Event of Default occurred and ending on the Early Termination Date with respect to such Event of Default, as the Calculation Agent. Following any determination, adjustment or calculation by the Calculation Agent hereunder, the Calculation Agent shall promptly (but in any event within five (5) Exchange Business Days) provide to Counterparty by e-mail a report (in a commonly used file format for the storage and manipulation of financial data) displaying in reasonable detail the basis for such determination, adjustment or calculation (including any assumptions used in making such determination or calculation), it being understood that the Calculation Agent shall not be obligated to disclose any proprietary or confidential models used by it for such determination or calculation or any information that may be proprietary or confidential or subject to an obligation not to disclose such information.</w:t>
      </w:r>
    </w:p>
    <w:p>
      <w:pPr>
        <w:spacing w:after="0" w:line="192" w:lineRule="exact"/>
        <w:rPr>
          <w:sz w:val="20"/>
          <w:szCs w:val="20"/>
          <w:color w:val="auto"/>
        </w:rPr>
      </w:pPr>
    </w:p>
    <w:p>
      <w:pPr>
        <w:jc w:val="both"/>
        <w:ind w:left="4020"/>
        <w:spacing w:after="0" w:line="258" w:lineRule="auto"/>
        <w:rPr>
          <w:sz w:val="20"/>
          <w:szCs w:val="20"/>
          <w:color w:val="auto"/>
        </w:rPr>
      </w:pPr>
      <w:r>
        <w:rPr>
          <w:rFonts w:ascii="Times New Roman" w:cs="Times New Roman" w:eastAsia="Times New Roman" w:hAnsi="Times New Roman"/>
          <w:sz w:val="18"/>
          <w:szCs w:val="18"/>
          <w:color w:val="auto"/>
        </w:rPr>
        <w:t>Dealer, whether as Calculation Agent, Hedging Party, Determining Party or otherwise, shall use commercially reasonable efforts to notify Counterparty of any event giving rise to any adjustment required or, to the extent it makes any such adjustment, permitted to be made to the terms of the Transaction, the terms being adjusted and, for each term so adjusted, such term, in each case, as promptly as reasonably practicable after giving effect to such adjustment.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 Details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300" w:right="7100" w:hanging="644"/>
        <w:spacing w:after="0" w:line="500" w:lineRule="auto"/>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 To be provided by Counterparty.</w:t>
      </w:r>
    </w:p>
    <w:p>
      <w:pPr>
        <w:spacing w:after="0" w:line="1" w:lineRule="exact"/>
        <w:rPr>
          <w:rFonts w:ascii="Times New Roman" w:cs="Times New Roman" w:eastAsia="Times New Roman" w:hAnsi="Times New Roman"/>
          <w:sz w:val="18"/>
          <w:szCs w:val="18"/>
          <w:color w:val="auto"/>
        </w:rPr>
      </w:pPr>
    </w:p>
    <w:p>
      <w:pPr>
        <w:ind w:left="1300" w:right="7580" w:hanging="644"/>
        <w:spacing w:after="0" w:line="498" w:lineRule="auto"/>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Dealer: [_____]</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the Transaction is: [_____][Inapplicable; Dealer is not a Multibranch Party]</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Keel Infrastructure Corp.</w:t>
      </w:r>
    </w:p>
    <w:p>
      <w:pPr>
        <w:spacing w:after="0" w:line="27" w:lineRule="exact"/>
        <w:rPr>
          <w:rFonts w:ascii="Times New Roman" w:cs="Times New Roman" w:eastAsia="Times New Roman" w:hAnsi="Times New Roman"/>
          <w:sz w:val="18"/>
          <w:szCs w:val="18"/>
          <w:color w:val="auto"/>
        </w:rPr>
      </w:pPr>
    </w:p>
    <w:p>
      <w:pPr>
        <w:ind w:left="1300" w:right="88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Broadway Suite 1075</w:t>
      </w:r>
    </w:p>
    <w:p>
      <w:pPr>
        <w:ind w:left="1300" w:right="8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10004 Attn: [______] Email: [______]</w:t>
      </w:r>
    </w:p>
    <w:p>
      <w:pPr>
        <w:spacing w:after="0" w:line="185" w:lineRule="exact"/>
        <w:rPr>
          <w:rFonts w:ascii="Times New Roman" w:cs="Times New Roman" w:eastAsia="Times New Roman" w:hAnsi="Times New Roman"/>
          <w:sz w:val="18"/>
          <w:szCs w:val="18"/>
          <w:color w:val="auto"/>
        </w:rPr>
      </w:pPr>
    </w:p>
    <w:p>
      <w:pPr>
        <w:ind w:left="1300" w:right="6340" w:hanging="644"/>
        <w:spacing w:after="0" w:line="498" w:lineRule="auto"/>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 [______]</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Counterparty</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Counterparty hereby represents and warrants to Dealer on the date hereof and as of the Premium Payment Date that:</w:t>
      </w:r>
    </w:p>
    <w:p>
      <w:pPr>
        <w:spacing w:after="0" w:line="225" w:lineRule="exact"/>
        <w:rPr>
          <w:rFonts w:ascii="Times New Roman" w:cs="Times New Roman" w:eastAsia="Times New Roman" w:hAnsi="Times New Roman"/>
          <w:sz w:val="18"/>
          <w:szCs w:val="18"/>
          <w:b w:val="1"/>
          <w:bCs w:val="1"/>
          <w:color w:val="auto"/>
        </w:rPr>
      </w:pPr>
    </w:p>
    <w:p>
      <w:pPr>
        <w:jc w:val="both"/>
        <w:ind w:left="1300" w:hanging="644"/>
        <w:spacing w:after="0" w:line="254" w:lineRule="auto"/>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provincial or state securities laws or public policy relating thereto.</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Bitfarms Ltd.’s Annual Report on Form 10-K for the year ended December 31, 2025, as updated by any subsequent filings by Counterparty,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jc w:val="both"/>
        <w:ind w:left="644" w:hanging="644"/>
        <w:spacing w:after="0" w:line="266" w:lineRule="auto"/>
        <w:tabs>
          <w:tab w:leader="none" w:pos="6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provincial or state securities laws.</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on the date hereof, in possession of any material non-public information with respect to Counterparty or the Shares.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Counterparty’s actual knowledge,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consulted with its own legal, regulatory, tax, business, investments, financial and accounting advisors with respect to the Transaction to the extent that it has deemed necessary; and (D) has total assets of at least USD 50 million.</w:t>
      </w:r>
    </w:p>
    <w:p>
      <w:pPr>
        <w:spacing w:after="0" w:line="183"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Counterparty do not constitute “plan assets” under the Employee Retirement Income Security Act of 1974, as amended, the Department of Labor Regulations promulgated thereunder or similar law.</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immediately after the Trade Date and the Premium Payment Date, (A) the value of the total assets of Counterparty is greater than the sum of the total liabilities (including contingent liabilities) and the capital (as such terms are defined in Section 154 and Section 244 of the General Corporation Law of the State of Delaware)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will be able to continue as a going concern; (E)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(F) Counterparty would be able to purchase the number of Shares with respect to the Transaction in compliance with the laws of the jurisdiction of Counterparty’s incorporation (including the adequate surplus and capital requirements of Sections 154 and 160 of the General Corporation Law of the State of Delaware).</w:t>
      </w:r>
    </w:p>
    <w:p>
      <w:pPr>
        <w:spacing w:after="0" w:line="19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9" w:name="page150"/>
    <w:bookmarkEnd w:id="149"/>
    <w:p>
      <w:pPr>
        <w:jc w:val="both"/>
        <w:ind w:left="1300" w:hanging="644"/>
        <w:spacing w:after="0" w:line="266"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Counterparty is not a “local counterparty” (as such term is defined under applicable Canadian securities laws, including Ontario Securities Commission Rule 91-507 – Trade Repositories and Derivatives Data Reporting) or within the meaning of National Instrument 93-101 </w:t>
      </w:r>
      <w:r>
        <w:rPr>
          <w:rFonts w:ascii="Times New Roman" w:cs="Times New Roman" w:eastAsia="Times New Roman" w:hAnsi="Times New Roman"/>
          <w:sz w:val="18"/>
          <w:szCs w:val="18"/>
          <w:i w:val="1"/>
          <w:iCs w:val="1"/>
          <w:color w:val="auto"/>
        </w:rPr>
        <w:t>Derivatives: Business Conduct</w:t>
      </w:r>
      <w:r>
        <w:rPr>
          <w:rFonts w:ascii="Times New Roman" w:cs="Times New Roman" w:eastAsia="Times New Roman" w:hAnsi="Times New Roman"/>
          <w:sz w:val="18"/>
          <w:szCs w:val="18"/>
          <w:color w:val="auto"/>
        </w:rPr>
        <w:t xml:space="preserve"> for the purposes of the transaction contemplated hereby.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including the exercise or deemed exercise of any Option hereunder (whether at maturity, upon early termination or cancellation or otherwise), shall not constitute an “issuer bid” as such term is defined in National Instrument 62-104—Take-Over Bids and Issuer Bids if Dealer is not located or resident in a province or territory of Canada and Dealer’s last address as shown on the books of the Counterparty is not in any province or territory of Canada.</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 non-resident of Canada for purposes of the Income Tax Act (Canada) and any applicable tax treaty or convention.</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b w:val="1"/>
          <w:bCs w:val="1"/>
          <w:color w:val="auto"/>
        </w:rPr>
        <w:t>.</w:t>
      </w:r>
    </w:p>
    <w:p>
      <w:pPr>
        <w:spacing w:after="0" w:line="227"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Counterparty shall deliver to Dealer an opinion of counsel, dated as of the Premium Payment Date, with respect to the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matters set forth in Sections 8(a) through (d) of this Confirmation and Section 3(a)(i) of the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opinion of counsel may contain customary exceptions and qualifications. Delivery of such opinion to Dealer shall be a condition precedent for the purpose of Section 2(a)(iii) of the Agreement with respect to each obligation of Dealer under Section 2(a)(i) of the Agreement.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45"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Counterparty shall, on or prior to the date one Scheduled Trading Day immediately following any date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has effected any repurchase of Shares, promptly give Dealer a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on such day if following such repurchase, the number of outstanding Shares as determined on such day is (i) less than [__]</w:t>
      </w:r>
      <w:r>
        <w:rPr>
          <w:rFonts w:ascii="Times New Roman" w:cs="Times New Roman" w:eastAsia="Times New Roman" w:hAnsi="Times New Roman"/>
          <w:sz w:val="29"/>
          <w:szCs w:val="29"/>
          <w:color w:val="auto"/>
          <w:vertAlign w:val="superscript"/>
        </w:rPr>
        <w:t>32</w:t>
      </w:r>
      <w:r>
        <w:rPr>
          <w:rFonts w:ascii="Times New Roman" w:cs="Times New Roman" w:eastAsia="Times New Roman" w:hAnsi="Times New Roman"/>
          <w:sz w:val="18"/>
          <w:szCs w:val="18"/>
          <w:color w:val="auto"/>
        </w:rPr>
        <w:t xml:space="preserve"> million (in the case of the first such notice) or (ii) thereafter more than [__]</w:t>
      </w:r>
      <w:r>
        <w:rPr>
          <w:rFonts w:ascii="Times New Roman" w:cs="Times New Roman" w:eastAsia="Times New Roman" w:hAnsi="Times New Roman"/>
          <w:sz w:val="29"/>
          <w:szCs w:val="29"/>
          <w:color w:val="auto"/>
          <w:vertAlign w:val="superscript"/>
        </w:rPr>
        <w:t>33</w:t>
      </w:r>
      <w:r>
        <w:rPr>
          <w:rFonts w:ascii="Times New Roman" w:cs="Times New Roman" w:eastAsia="Times New Roman" w:hAnsi="Times New Roman"/>
          <w:sz w:val="18"/>
          <w:szCs w:val="18"/>
          <w:color w:val="auto"/>
        </w:rPr>
        <w:t xml:space="preserve"> million less than the number of Shares included 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repurchase of Shares pursuant to a plan under Rule 10b5-1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Counterparty may elect to satisfy such requirement by promptly giving Dealer written notice of the entry into such plan, the maximum number of Shares that may be repurchased thereunder and the approximate dates or periods during which such repurchases may occur (with such maximum number of Shares deemed repurchased on the date of such notice for purposes of this Section 9(b)). Counterparty agrees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expenses (including reasonable attorney’s fees),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78308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6" w:lineRule="exact"/>
        <w:rPr>
          <w:sz w:val="20"/>
          <w:szCs w:val="20"/>
          <w:color w:val="auto"/>
        </w:rPr>
      </w:pPr>
    </w:p>
    <w:p>
      <w:pPr>
        <w:jc w:val="both"/>
        <w:ind w:left="340" w:hanging="332"/>
        <w:spacing w:after="0" w:line="210" w:lineRule="auto"/>
        <w:tabs>
          <w:tab w:leader="none" w:pos="340" w:val="left"/>
        </w:tabs>
        <w:numPr>
          <w:ilvl w:val="0"/>
          <w:numId w:val="1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number of Shares outstanding that would cause the current position in the Shares underlying the Transaction of the Dealer with the highest Applicable Percentage or highest total purchased call options (including the number of Shares underlying any additional transaction if the greenshoe is exercised in full and any Shares under pre-existing call option transactions with Counterparty) to increase by 0.5%.</w:t>
      </w:r>
    </w:p>
    <w:p>
      <w:pPr>
        <w:spacing w:after="0" w:line="2" w:lineRule="exact"/>
        <w:rPr>
          <w:rFonts w:ascii="Times New Roman" w:cs="Times New Roman" w:eastAsia="Times New Roman" w:hAnsi="Times New Roman"/>
          <w:sz w:val="30"/>
          <w:szCs w:val="30"/>
          <w:color w:val="auto"/>
          <w:vertAlign w:val="superscript"/>
        </w:rPr>
      </w:pPr>
    </w:p>
    <w:p>
      <w:pPr>
        <w:jc w:val="both"/>
        <w:ind w:left="340" w:hanging="332"/>
        <w:spacing w:after="0" w:line="214" w:lineRule="auto"/>
        <w:tabs>
          <w:tab w:leader="none" w:pos="340" w:val="left"/>
        </w:tabs>
        <w:numPr>
          <w:ilvl w:val="0"/>
          <w:numId w:val="1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number of Shares that, if repurchased, would cause the current position in the Shares underlying the Transaction of the Dealer with the highest Applicable Percentage or highest total purchased call options (including the number of Shares underlying any additional transaction if the greenshoe is exercised in full and any Shares under pre-existing call option transactions with Counterparty) to increase by a further 0.5% from the threshold for the first Repurchase Notice.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both"/>
        <w:ind w:left="644" w:hanging="644"/>
        <w:spacing w:after="0" w:line="261"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w:t>
      </w:r>
      <w:r>
        <w:rPr>
          <w:rFonts w:ascii="Times New Roman" w:cs="Times New Roman" w:eastAsia="Times New Roman" w:hAnsi="Times New Roman"/>
          <w:sz w:val="18"/>
          <w:szCs w:val="18"/>
          <w:color w:val="auto"/>
        </w:rPr>
        <w:t>. Counterparty is not on the Trade Date engaged in a distribution, as such term is used in Regulation M under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Manipulation</w:t>
      </w:r>
      <w:r>
        <w:rPr>
          <w:rFonts w:ascii="Times New Roman" w:cs="Times New Roman" w:eastAsia="Times New Roman" w:hAnsi="Times New Roman"/>
          <w:sz w:val="18"/>
          <w:szCs w:val="18"/>
          <w:color w:val="auto"/>
        </w:rPr>
        <w:t>. Counterparty is not entering into the Transaction to create actual or apparent trading activity in the Shares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or exchangeable for the Shares) or to raise or depress or otherwise manipulate the price of the Shares (or any security convertible into or exchangeable for the Shares) or otherwise in violation of the Exchange Act or applicable Canadian securities laws.</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or assignment shall be subject to reasonable conditions that Dealer may impose, including but not limited, to the following conditions:</w:t>
      </w:r>
    </w:p>
    <w:p>
      <w:pPr>
        <w:spacing w:after="0" w:line="175"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9(b)‎ or any obligations under Section 9(m)‎ or 9(r)‎ of this Confirmation;</w:t>
      </w:r>
    </w:p>
    <w:p>
      <w:pPr>
        <w:spacing w:after="0" w:line="161"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944" w:hanging="648"/>
        <w:spacing w:after="0" w:line="256" w:lineRule="auto"/>
        <w:tabs>
          <w:tab w:leader="none" w:pos="1944"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an undertaking with respect to compliance with applicable Canadian and United States securities laws in a manner that, in the reasonable judgment of Dealer, will not expose Dealer to material risks under applicable Canadian and United States securities laws) and execution of any documentation and delivery of legal opinions with respect to applicable Canadian and United States securities laws and other matters by such third party and Counterparty, as are requested and reasonably satisfactory to Dealer;</w:t>
      </w:r>
    </w:p>
    <w:p>
      <w:pPr>
        <w:spacing w:after="0" w:line="39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51" w:name="page152"/>
    <w:bookmarkEnd w:id="151"/>
    <w:p>
      <w:pPr>
        <w:jc w:val="both"/>
        <w:ind w:left="1480" w:hanging="648"/>
        <w:spacing w:after="0" w:line="253" w:lineRule="auto"/>
        <w:tabs>
          <w:tab w:leader="none" w:pos="14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applicable law effective on or as of the date of such transfer and assignment, (1) Dealer will not, as a result of such transfer and assignment (including, for the avoidance of doubt, after giving effect to any indemnity from the transferee or assignee to Dealer provided in connection with such transfer or assignment), be required to pay the transferee on any payment date an amount under Section 2(d)(i)(4) of the Agreement greater than the amount that Dealer would have been required to pay to Counterparty in the absence of such transfer and assignment, except to the extent that the greater amount is due to a Change in Tax Law after the date of such transfer or assignment and (2) Dealer shall be entitled to a payment (including, for the avoidance of doubt, after giving effect to any indemnity from the transferee or assignee to Dealer provided in connection with such transfer or assignment), on any payment date, that is not less than the payment Dealer would have received in the absence of such transfer and/or assignment on account of any deduction or withholding for or on account of any Tax (as defined in the Agreement), except to the extent such deduction or withholding is due to a Change in Tax Law after the date of such transfer or assignment;</w:t>
      </w:r>
    </w:p>
    <w:p>
      <w:pPr>
        <w:spacing w:after="0" w:line="191"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and assignment;</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17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3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2" w:name="page153"/>
    <w:bookmarkEnd w:id="152"/>
    <w:p>
      <w:pPr>
        <w:jc w:val="both"/>
        <w:ind w:left="840" w:hanging="656"/>
        <w:spacing w:after="0" w:line="266" w:lineRule="auto"/>
        <w:tabs>
          <w:tab w:leader="none" w:pos="84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 may transfer or assign all or any part of its rights or obligations under the Transaction (A) without Counterparty’s consent, to any affiliate of Dealer not resident or located in Canada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 or (B) with Counterparty’s consent (such consent not to be unreasonably withheld or delayed), to any other third party not resident or located in Canada with a long-term issuer rating equal to or better than the lesser of (1) the credit rating of Dealer at the time of the transfer and (2) A- by Standard and Poor’s Financial Services LLC or its successor (“</w:t>
      </w:r>
      <w:r>
        <w:rPr>
          <w:rFonts w:ascii="Times New Roman" w:cs="Times New Roman" w:eastAsia="Times New Roman" w:hAnsi="Times New Roman"/>
          <w:sz w:val="17"/>
          <w:szCs w:val="17"/>
          <w:b w:val="1"/>
          <w:bCs w:val="1"/>
          <w:color w:val="auto"/>
        </w:rPr>
        <w:t>S&amp;P</w:t>
      </w:r>
      <w:r>
        <w:rPr>
          <w:rFonts w:ascii="Times New Roman" w:cs="Times New Roman" w:eastAsia="Times New Roman" w:hAnsi="Times New Roman"/>
          <w:sz w:val="17"/>
          <w:szCs w:val="17"/>
          <w:color w:val="auto"/>
        </w:rPr>
        <w:t>”), or A3 by Moody’s Investor Service, Inc. or its successor (“</w:t>
      </w:r>
      <w:r>
        <w:rPr>
          <w:rFonts w:ascii="Times New Roman" w:cs="Times New Roman" w:eastAsia="Times New Roman" w:hAnsi="Times New Roman"/>
          <w:sz w:val="17"/>
          <w:szCs w:val="17"/>
          <w:b w:val="1"/>
          <w:bCs w:val="1"/>
          <w:color w:val="auto"/>
        </w:rPr>
        <w:t>Moody’s</w:t>
      </w:r>
      <w:r>
        <w:rPr>
          <w:rFonts w:ascii="Times New Roman" w:cs="Times New Roman" w:eastAsia="Times New Roman" w:hAnsi="Times New Roman"/>
          <w:sz w:val="17"/>
          <w:szCs w:val="17"/>
          <w:color w:val="auto"/>
        </w:rPr>
        <w:t xml:space="preserve">”) or, if either S&amp;P or Moody’s ceases to rate such debt, at least an equivalent rating or better by a substitute rating agency mutually agreed by Counterparty and Dealer;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any transfer or assignment described in clause (A) or (B) above, under the applicable law effective on or as of the date of such transfer or assignment, (i) no Event of Default, Potential Event of Default or Termination Event will occur as a result of such transfer or assignment, (ii) such transfer or assignment would not result in a taxable exchange from Counterparty’s perspective for U.S. federal income tax purposes, (iii)(1) Counterparty will not, as a result of such transfer or assignment (including, for the avoidance of doubt, after giving effect to any indemnity to Counterparty provided in connection with such transfer or assignment), be required to pay the transferee or assignee on any payment date an amount under Section 2(d)(i)(4) of the Agreement greater than the amount that Counterparty would have been required to pay to Dealer in the absence of such transfer or assignment, except to the extent that the greater amount is due to a Change in Tax Law after the date of such transfer or assignment and (2) Counterparty shall be entitled to a payment (including, for the avoidance of doubt, after giving effect to any indemnity to Counterparty provided in connection with such transfer or assignment), on any payment date, that is not less than the payment Counterparty would have received in the absence of such transfer and/or assignment on account of any deduction or withholding for or on account of any Tax (as defined in the Agreement), except to the extent such deduction or withholding is due to a Change in Tax Law after the date of such transfer or assignment. If at any time at which (A) the Section 16 Percentage exceeds 9.0%, (B) the Option Equity Percentage exceeds 14.5%, or (C) the Share Amount exceeds the Applicable Share Limit (if any applies) (any such condition described in clauses (A), (B) or (C), an “</w:t>
      </w:r>
      <w:r>
        <w:rPr>
          <w:rFonts w:ascii="Times New Roman" w:cs="Times New Roman" w:eastAsia="Times New Roman" w:hAnsi="Times New Roman"/>
          <w:sz w:val="17"/>
          <w:szCs w:val="17"/>
          <w:b w:val="1"/>
          <w:bCs w:val="1"/>
          <w:color w:val="auto"/>
        </w:rPr>
        <w:t>Excess Ownership Position</w:t>
      </w:r>
      <w:r>
        <w:rPr>
          <w:rFonts w:ascii="Times New Roman" w:cs="Times New Roman" w:eastAsia="Times New Roman" w:hAnsi="Times New Roman"/>
          <w:sz w:val="17"/>
          <w:szCs w:val="17"/>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 w:cs="Times New Roman" w:eastAsia="Times New Roman" w:hAnsi="Times New Roman"/>
          <w:sz w:val="17"/>
          <w:szCs w:val="17"/>
          <w:b w:val="1"/>
          <w:bCs w:val="1"/>
          <w:color w:val="auto"/>
        </w:rPr>
        <w:t>Terminated Portion</w:t>
      </w:r>
      <w:r>
        <w:rPr>
          <w:rFonts w:ascii="Times New Roman" w:cs="Times New Roman" w:eastAsia="Times New Roman" w:hAnsi="Times New Roman"/>
          <w:sz w:val="17"/>
          <w:szCs w:val="17"/>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9(k)‎ shall apply to any amount that is payable by Dealer to Counterparty pursuant to this sentence as if Counterparty was not the Affected Party). The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16 Percentage</w:t>
      </w:r>
      <w:r>
        <w:rPr>
          <w:rFonts w:ascii="Times New Roman" w:cs="Times New Roman" w:eastAsia="Times New Roman" w:hAnsi="Times New Roman"/>
          <w:sz w:val="17"/>
          <w:szCs w:val="17"/>
          <w:color w:val="auto"/>
        </w:rPr>
        <w:t>” as of any day is the fraction, expressed as a percentage, (A) the numerator of which is the number of Shares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7"/>
          <w:szCs w:val="17"/>
          <w:b w:val="1"/>
          <w:bCs w:val="1"/>
          <w:color w:val="auto"/>
        </w:rPr>
        <w:t>Option Equity Percentage</w:t>
      </w:r>
      <w:r>
        <w:rPr>
          <w:rFonts w:ascii="Times New Roman" w:cs="Times New Roman" w:eastAsia="Times New Roman" w:hAnsi="Times New Roman"/>
          <w:sz w:val="17"/>
          <w:szCs w:val="17"/>
          <w:color w:val="auto"/>
        </w:rPr>
        <w:t>” as of any day is the fraction, expressed as a percentage, (A) the numerator of which is the sum of (1) the product of the Number of Options and the Option Entitlement and</w:t>
      </w:r>
    </w:p>
    <w:p>
      <w:pPr>
        <w:spacing w:after="0" w:line="200" w:lineRule="exact"/>
        <w:rPr>
          <w:rFonts w:ascii="Times New Roman" w:cs="Times New Roman" w:eastAsia="Times New Roman" w:hAnsi="Times New Roman"/>
          <w:sz w:val="17"/>
          <w:szCs w:val="17"/>
          <w:color w:val="auto"/>
        </w:rPr>
      </w:pPr>
    </w:p>
    <w:p>
      <w:pPr>
        <w:spacing w:after="0" w:line="223" w:lineRule="exact"/>
        <w:rPr>
          <w:rFonts w:ascii="Times New Roman" w:cs="Times New Roman" w:eastAsia="Times New Roman" w:hAnsi="Times New Roman"/>
          <w:sz w:val="17"/>
          <w:szCs w:val="17"/>
          <w:color w:val="auto"/>
        </w:rPr>
      </w:pPr>
    </w:p>
    <w:p>
      <w:pPr>
        <w:jc w:val="both"/>
        <w:ind w:left="840" w:hanging="8"/>
        <w:spacing w:after="0" w:line="251" w:lineRule="auto"/>
        <w:tabs>
          <w:tab w:leader="none" w:pos="111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under any law, rule, regulation, regulatory order or organizational documents or contracts of Counterparty that 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 Dealer shall cause the transferee or assignee to make the Payee Tax Representations and to provide such tax documentation as may be reasonably requested by Counterparty to permit Counterparty to determine that the results described in (ii), (iii)(1) and (iii)(2) of this paragraph will not occur upon or after the transfer and assignment.</w:t>
      </w:r>
    </w:p>
    <w:p>
      <w:pPr>
        <w:spacing w:after="0" w:line="3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3" w:name="page154"/>
    <w:bookmarkEnd w:id="153"/>
    <w:p>
      <w:pPr>
        <w:jc w:val="both"/>
        <w:ind w:left="1304" w:hanging="656"/>
        <w:spacing w:after="0" w:line="254" w:lineRule="auto"/>
        <w:tabs>
          <w:tab w:leader="none" w:pos="130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Counterparty shall be entitled to a payment, on any payment date, that is not, after giving effect to any amounts paid under Section 2(d)(i)(4) of the Agreement, less than the payment Counterparty would have received in the absence of such designation on account of any deduction or withholding for or on account of any Tax (as defined in the Agreement), except to the extent such deduction or withholding results from a Change in Tax Law occurring after the date of such designation. Dealer shall be discharged of its obligations to Counterparty to the extent of any such performance.</w:t>
      </w:r>
    </w:p>
    <w:p>
      <w:pPr>
        <w:spacing w:after="0" w:line="186"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Staggered Settlement</w:t>
      </w:r>
      <w:r>
        <w:rPr>
          <w:rFonts w:ascii="Times New Roman" w:cs="Times New Roman" w:eastAsia="Times New Roman" w:hAnsi="Times New Roman"/>
          <w:sz w:val="18"/>
          <w:szCs w:val="18"/>
          <w:color w:val="auto"/>
        </w:rPr>
        <w:t>. If upon advice of counsel with respect to applicable legal and regulatory requirements, including any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Dealer’s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the Shares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as follows:</w:t>
      </w:r>
    </w:p>
    <w:p>
      <w:pPr>
        <w:spacing w:after="0" w:line="18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will be on or prior to the Nominal Settlement Date) and the number of Shares that it will deliver on each Staggered Settlement Date;</w:t>
      </w:r>
    </w:p>
    <w:p>
      <w:pPr>
        <w:spacing w:after="0" w:line="162" w:lineRule="exact"/>
        <w:rPr>
          <w:sz w:val="20"/>
          <w:szCs w:val="20"/>
          <w:color w:val="auto"/>
        </w:rPr>
      </w:pPr>
    </w:p>
    <w:p>
      <w:pPr>
        <w:ind w:left="1304" w:right="20" w:hanging="656"/>
        <w:spacing w:after="0" w:line="282" w:lineRule="auto"/>
        <w:tabs>
          <w:tab w:leader="none" w:pos="130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77"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Extraterritoriality Acknowledgement</w:t>
      </w:r>
      <w:r>
        <w:rPr>
          <w:rFonts w:ascii="Times New Roman" w:cs="Times New Roman" w:eastAsia="Times New Roman" w:hAnsi="Times New Roman"/>
          <w:sz w:val="18"/>
          <w:szCs w:val="18"/>
          <w:color w:val="auto"/>
        </w:rPr>
        <w:t>. Dealer and Counterparty acknowledge that Dealer is not organized under the laws of Canada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Canadian province or territory and is not resident or located in any such jurisdiction and that it is the intent of the parties that any purchase of securities by Dealer and/or any of its affiliates in relation to the Transaction is expected to be conducted in the United States public markets or otherwise outside of Canada.</w:t>
      </w:r>
    </w:p>
    <w:p>
      <w:pPr>
        <w:spacing w:after="0" w:line="38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4" w:name="page155"/>
    <w:bookmarkEnd w:id="154"/>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Termination Events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upon any Early Conversion in respect of which a “Notice of Conversion” (as such term is defined in the Indenture) that is effective as to Counterparty has been delivered by the relevant converting “Holder” (as such term is defined in the Indenture):</w:t>
      </w:r>
    </w:p>
    <w:p>
      <w:pPr>
        <w:spacing w:after="0" w:line="175" w:lineRule="exact"/>
        <w:rPr>
          <w:rFonts w:ascii="Times New Roman" w:cs="Times New Roman" w:eastAsia="Times New Roman" w:hAnsi="Times New Roman"/>
          <w:sz w:val="18"/>
          <w:szCs w:val="18"/>
          <w:color w:val="auto"/>
        </w:rPr>
      </w:pPr>
    </w:p>
    <w:p>
      <w:pPr>
        <w:jc w:val="both"/>
        <w:ind w:left="3240" w:hanging="640"/>
        <w:spacing w:after="0" w:line="254" w:lineRule="auto"/>
        <w:tabs>
          <w:tab w:leader="none" w:pos="3240" w:val="left"/>
        </w:tabs>
        <w:numPr>
          <w:ilvl w:val="3"/>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in its sole and absolute discretion, within five (5) Scheduled Trading Days of the Conversion Date for such Early Conversion, provide written notice (an “</w:t>
      </w:r>
      <w:r>
        <w:rPr>
          <w:rFonts w:ascii="Times New Roman" w:cs="Times New Roman" w:eastAsia="Times New Roman" w:hAnsi="Times New Roman"/>
          <w:sz w:val="18"/>
          <w:szCs w:val="18"/>
          <w:b w:val="1"/>
          <w:bCs w:val="1"/>
          <w:color w:val="auto"/>
        </w:rPr>
        <w:t>Early Conversion Notice</w:t>
      </w:r>
      <w:r>
        <w:rPr>
          <w:rFonts w:ascii="Times New Roman" w:cs="Times New Roman" w:eastAsia="Times New Roman" w:hAnsi="Times New Roman"/>
          <w:sz w:val="18"/>
          <w:szCs w:val="18"/>
          <w:color w:val="auto"/>
        </w:rPr>
        <w:t>”) to Dealer specifying the number of Convertible Notes surrendered for conversion on such Conversion Date (such Convertible Notes, the “</w:t>
      </w:r>
      <w:r>
        <w:rPr>
          <w:rFonts w:ascii="Times New Roman" w:cs="Times New Roman" w:eastAsia="Times New Roman" w:hAnsi="Times New Roman"/>
          <w:sz w:val="18"/>
          <w:szCs w:val="18"/>
          <w:b w:val="1"/>
          <w:bCs w:val="1"/>
          <w:color w:val="auto"/>
        </w:rPr>
        <w:t>Affected Convertible Notes</w:t>
      </w:r>
      <w:r>
        <w:rPr>
          <w:rFonts w:ascii="Times New Roman" w:cs="Times New Roman" w:eastAsia="Times New Roman" w:hAnsi="Times New Roman"/>
          <w:sz w:val="18"/>
          <w:szCs w:val="18"/>
          <w:color w:val="auto"/>
        </w:rPr>
        <w:t xml:space="preserve">”), and the giving of such Early Conversion Notice shall constitute an Additional Termination Event as provided in this clause (i);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Early Conversion Notice shall contain a representation and warranty by Counterparty that it is not delivering such Early Conversion Notice “on the basis of” (as defined in Rule 10b5-1 under the Exchange Act) any material non-public information with respect to Counterparty or the Shares;</w:t>
      </w:r>
    </w:p>
    <w:p>
      <w:pPr>
        <w:spacing w:after="0" w:line="191" w:lineRule="exact"/>
        <w:rPr>
          <w:rFonts w:ascii="Times New Roman" w:cs="Times New Roman" w:eastAsia="Times New Roman" w:hAnsi="Times New Roman"/>
          <w:sz w:val="18"/>
          <w:szCs w:val="18"/>
          <w:color w:val="auto"/>
        </w:rPr>
      </w:pPr>
    </w:p>
    <w:p>
      <w:pPr>
        <w:jc w:val="both"/>
        <w:ind w:left="3240" w:hanging="640"/>
        <w:spacing w:after="0" w:line="237" w:lineRule="auto"/>
        <w:tabs>
          <w:tab w:leader="none" w:pos="3240" w:val="left"/>
        </w:tabs>
        <w:numPr>
          <w:ilvl w:val="3"/>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Early Conversion Notice, Dealer shall designate an Exchange Business Day as an Early Termination Date (which Exchange Business Day shall be as promptly as reasonably practicable following the Early Conversion Notice for such Early Conversion) with respect to the portion of the Transaction corresponding to a number of Options (the “</w:t>
      </w:r>
      <w:r>
        <w:rPr>
          <w:rFonts w:ascii="Times New Roman" w:cs="Times New Roman" w:eastAsia="Times New Roman" w:hAnsi="Times New Roman"/>
          <w:sz w:val="18"/>
          <w:szCs w:val="18"/>
          <w:b w:val="1"/>
          <w:bCs w:val="1"/>
          <w:color w:val="auto"/>
        </w:rPr>
        <w:t>Affected Number of Options</w:t>
      </w:r>
      <w:r>
        <w:rPr>
          <w:rFonts w:ascii="Times New Roman" w:cs="Times New Roman" w:eastAsia="Times New Roman" w:hAnsi="Times New Roman"/>
          <w:sz w:val="18"/>
          <w:szCs w:val="18"/>
          <w:color w:val="auto"/>
        </w:rPr>
        <w:t>”) equal to the lesser of (x) the number of Affected Convertible Notes (as defined below)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“Affected Number of Options” (as defined in the Base Call Option Confirmation), if any, that relate to such Affected Convertible Notes]</w:t>
      </w:r>
      <w:r>
        <w:rPr>
          <w:rFonts w:ascii="Times New Roman" w:cs="Times New Roman" w:eastAsia="Times New Roman" w:hAnsi="Times New Roman"/>
          <w:sz w:val="29"/>
          <w:szCs w:val="29"/>
          <w:color w:val="auto"/>
          <w:vertAlign w:val="superscript"/>
        </w:rPr>
        <w:t>34</w:t>
      </w:r>
      <w:r>
        <w:rPr>
          <w:rFonts w:ascii="Times New Roman" w:cs="Times New Roman" w:eastAsia="Times New Roman" w:hAnsi="Times New Roman"/>
          <w:sz w:val="18"/>
          <w:szCs w:val="18"/>
          <w:color w:val="auto"/>
        </w:rPr>
        <w:t xml:space="preserve"> and</w:t>
      </w:r>
    </w:p>
    <w:p>
      <w:pPr>
        <w:spacing w:after="0" w:line="5" w:lineRule="exact"/>
        <w:rPr>
          <w:rFonts w:ascii="Times New Roman" w:cs="Times New Roman" w:eastAsia="Times New Roman" w:hAnsi="Times New Roman"/>
          <w:sz w:val="18"/>
          <w:szCs w:val="18"/>
          <w:color w:val="auto"/>
        </w:rPr>
      </w:pPr>
    </w:p>
    <w:p>
      <w:pPr>
        <w:ind w:left="3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Number of Options as of the Conversion Date for such Early Conversion;</w:t>
      </w:r>
    </w:p>
    <w:p>
      <w:pPr>
        <w:spacing w:after="0" w:line="205" w:lineRule="exact"/>
        <w:rPr>
          <w:rFonts w:ascii="Times New Roman" w:cs="Times New Roman" w:eastAsia="Times New Roman" w:hAnsi="Times New Roman"/>
          <w:sz w:val="18"/>
          <w:szCs w:val="18"/>
          <w:color w:val="auto"/>
        </w:rPr>
      </w:pPr>
    </w:p>
    <w:p>
      <w:pPr>
        <w:jc w:val="both"/>
        <w:ind w:left="3240" w:hanging="640"/>
        <w:spacing w:after="0" w:line="258" w:lineRule="auto"/>
        <w:tabs>
          <w:tab w:leader="none" w:pos="3240" w:val="left"/>
        </w:tabs>
        <w:numPr>
          <w:ilvl w:val="3"/>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w:t>
      </w:r>
    </w:p>
    <w:p>
      <w:pPr>
        <w:spacing w:after="0" w:line="183" w:lineRule="exact"/>
        <w:rPr>
          <w:rFonts w:ascii="Times New Roman" w:cs="Times New Roman" w:eastAsia="Times New Roman" w:hAnsi="Times New Roman"/>
          <w:sz w:val="18"/>
          <w:szCs w:val="18"/>
          <w:color w:val="auto"/>
        </w:rPr>
      </w:pPr>
    </w:p>
    <w:p>
      <w:pPr>
        <w:jc w:val="both"/>
        <w:ind w:left="3240" w:hanging="640"/>
        <w:spacing w:after="0" w:line="256" w:lineRule="auto"/>
        <w:tabs>
          <w:tab w:leader="none" w:pos="3240" w:val="left"/>
        </w:tabs>
        <w:numPr>
          <w:ilvl w:val="3"/>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187" w:lineRule="exact"/>
        <w:rPr>
          <w:rFonts w:ascii="Times New Roman" w:cs="Times New Roman" w:eastAsia="Times New Roman" w:hAnsi="Times New Roman"/>
          <w:sz w:val="18"/>
          <w:szCs w:val="18"/>
          <w:color w:val="auto"/>
        </w:rPr>
      </w:pPr>
    </w:p>
    <w:p>
      <w:pPr>
        <w:ind w:left="3240" w:hanging="640"/>
        <w:spacing w:after="0" w:line="282" w:lineRule="auto"/>
        <w:tabs>
          <w:tab w:leader="none" w:pos="3240" w:val="left"/>
        </w:tabs>
        <w:numPr>
          <w:ilvl w:val="3"/>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remain in full force and effect, except that, as of the Conversion Date for such Early Conversion, the Number of Options shall be reduced by the Affected Number of Options</w:t>
      </w:r>
      <w:r>
        <w:rPr>
          <w:rFonts w:ascii="Times New Roman" w:cs="Times New Roman" w:eastAsia="Times New Roman" w:hAnsi="Times New Roman"/>
          <w:sz w:val="18"/>
          <w:szCs w:val="18"/>
          <w:b w:val="1"/>
          <w:bCs w:val="1"/>
          <w:color w:val="auto"/>
        </w:rPr>
        <w:t>.</w:t>
      </w:r>
    </w:p>
    <w:p>
      <w:pPr>
        <w:spacing w:after="0" w:line="15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in Additional Call Option Confirmation only.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5" w:name="page156"/>
    <w:bookmarkEnd w:id="155"/>
    <w:p>
      <w:pPr>
        <w:jc w:val="both"/>
        <w:ind w:left="1960" w:hanging="656"/>
        <w:spacing w:after="0"/>
        <w:tabs>
          <w:tab w:leader="none" w:pos="19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Scheduled Trading Days following any Repayment Event (as defined below), Counterparty may notify Dealer of such Repayment Event and the aggregate principal amount of Convertible Notes subject to such Repayment Event (any such notice, a “</w:t>
      </w:r>
      <w:r>
        <w:rPr>
          <w:rFonts w:ascii="Times New Roman" w:cs="Times New Roman" w:eastAsia="Times New Roman" w:hAnsi="Times New Roman"/>
          <w:sz w:val="18"/>
          <w:szCs w:val="18"/>
          <w:b w:val="1"/>
          <w:bCs w:val="1"/>
          <w:color w:val="auto"/>
        </w:rPr>
        <w:t>Repayment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Repayment Notice shall contain an acknowledgement by Counterparty of its responsibilities under applicable securities laws, and in particular Section 9 and Section 10(b) of the Exchange Act and the rules and regulations thereunder, in respect of the delivery of such Repayment Notice and shall remake the representation set forth in Section 8(f) hereof as of the date of such Repayment Notice. [Any Repayment Notice delivered to Dealer pursuant to the Base Call Option Confirmation shall be deemed to be a Repayment Notice pursuant to this Confirmation and the terms of such Repayment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w:t>
      </w:r>
      <w:r>
        <w:rPr>
          <w:rFonts w:ascii="Times New Roman" w:cs="Times New Roman" w:eastAsia="Times New Roman" w:hAnsi="Times New Roman"/>
          <w:sz w:val="29"/>
          <w:szCs w:val="29"/>
          <w:color w:val="auto"/>
          <w:vertAlign w:val="superscript"/>
        </w:rPr>
        <w:t>35</w:t>
      </w:r>
      <w:r>
        <w:rPr>
          <w:rFonts w:ascii="Times New Roman" w:cs="Times New Roman" w:eastAsia="Times New Roman" w:hAnsi="Times New Roman"/>
          <w:sz w:val="18"/>
          <w:szCs w:val="18"/>
          <w:color w:val="auto"/>
        </w:rPr>
        <w:t>. The receipt by Dealer from Counterparty of any</w:t>
      </w:r>
    </w:p>
    <w:p>
      <w:pPr>
        <w:spacing w:after="0" w:line="6" w:lineRule="exact"/>
        <w:rPr>
          <w:rFonts w:ascii="Times New Roman" w:cs="Times New Roman" w:eastAsia="Times New Roman" w:hAnsi="Times New Roman"/>
          <w:sz w:val="18"/>
          <w:szCs w:val="18"/>
          <w:color w:val="auto"/>
        </w:rPr>
      </w:pPr>
    </w:p>
    <w:p>
      <w:pPr>
        <w:jc w:val="both"/>
        <w:ind w:left="19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Repayment Notice shall constitute an Additional Termination Event as provided in this Section 9(i)(iii)‎. Upon receipt of any such Repayment Notice, Dealer shall designate an Exchange Business Day following receipt of such Repayment Notice (which Exchange Business Day shall be on or as promptly as reasonably practicable after the related repurchase settlement date for the relevant repayment event) as an Early Termination Date with respect to the portion of the Transaction corresponding to a number of Options (the “</w:t>
      </w:r>
      <w:r>
        <w:rPr>
          <w:rFonts w:ascii="Times New Roman" w:cs="Times New Roman" w:eastAsia="Times New Roman" w:hAnsi="Times New Roman"/>
          <w:sz w:val="17"/>
          <w:szCs w:val="17"/>
          <w:b w:val="1"/>
          <w:bCs w:val="1"/>
          <w:color w:val="auto"/>
        </w:rPr>
        <w:t>Repayment Options</w:t>
      </w:r>
      <w:r>
        <w:rPr>
          <w:rFonts w:ascii="Times New Roman" w:cs="Times New Roman" w:eastAsia="Times New Roman" w:hAnsi="Times New Roman"/>
          <w:sz w:val="17"/>
          <w:szCs w:val="17"/>
          <w:color w:val="auto"/>
        </w:rPr>
        <w:t xml:space="preserve">”) equal to the lesser of (A) [(x)] the aggregate principal amount of such Convertible Notes specified in such Repayment Notice,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USD 1,000,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(y) the number of “Repayment Options” (as defined in the Base Call Option Confirmation), if any, that relate to such Convertible Notes (and for the purposes of determining whether any Options under this Confirmation or under the Base Call Option Confirmation will be among the Repayment Options hereunder or under, and as defined in, the Base Call Option Confirmation, the Convertible Notes specified in such Repayment Notice shall be allocated first to the Base Call Option Confirmation until all Options thereunder are exercised or terminated)]</w:t>
      </w:r>
      <w:r>
        <w:rPr>
          <w:rFonts w:ascii="Times New Roman" w:cs="Times New Roman" w:eastAsia="Times New Roman" w:hAnsi="Times New Roman"/>
          <w:sz w:val="28"/>
          <w:szCs w:val="28"/>
          <w:color w:val="auto"/>
          <w:vertAlign w:val="superscript"/>
        </w:rPr>
        <w:t>36</w:t>
      </w:r>
      <w:r>
        <w:rPr>
          <w:rFonts w:ascii="Times New Roman" w:cs="Times New Roman" w:eastAsia="Times New Roman" w:hAnsi="Times New Roman"/>
          <w:sz w:val="17"/>
          <w:szCs w:val="17"/>
          <w:color w:val="auto"/>
        </w:rPr>
        <w:t>,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cs="Times New Roman" w:eastAsia="Times New Roman" w:hAnsi="Times New Roman"/>
          <w:sz w:val="17"/>
          <w:szCs w:val="17"/>
          <w:b w:val="1"/>
          <w:bCs w:val="1"/>
          <w:color w:val="auto"/>
        </w:rPr>
        <w:t>Repayment Unwind Payment</w:t>
      </w:r>
      <w:r>
        <w:rPr>
          <w:rFonts w:ascii="Times New Roman" w:cs="Times New Roman" w:eastAsia="Times New Roman" w:hAnsi="Times New Roman"/>
          <w:sz w:val="17"/>
          <w:szCs w:val="17"/>
          <w:color w:val="auto"/>
        </w:rPr>
        <w:t>”)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(3) no adjustments to the Conversion Rate have occurred pursuant to an Excluded Provision,</w:t>
      </w:r>
    </w:p>
    <w:p>
      <w:pPr>
        <w:spacing w:after="0" w:line="10" w:lineRule="exact"/>
        <w:rPr>
          <w:rFonts w:ascii="Times New Roman" w:cs="Times New Roman" w:eastAsia="Times New Roman" w:hAnsi="Times New Roman"/>
          <w:sz w:val="18"/>
          <w:szCs w:val="18"/>
          <w:color w:val="auto"/>
        </w:rPr>
      </w:pPr>
    </w:p>
    <w:p>
      <w:pPr>
        <w:jc w:val="both"/>
        <w:ind w:left="1960" w:hanging="8"/>
        <w:spacing w:after="0" w:line="267" w:lineRule="auto"/>
        <w:tabs>
          <w:tab w:leader="none" w:pos="2276" w:val="left"/>
        </w:tabs>
        <w:numPr>
          <w:ilvl w:val="2"/>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corresponding Convertible Notes remain outstanding, (5) the relevant Repayment Event and any conversions, adjustments, agreements, payments, deliveries or acquisitions by or on behalf of Counterparty leading thereto had not occurred and (6) the terminated portion of the Transaction were the sole Affected Transaction. “</w:t>
      </w:r>
      <w:r>
        <w:rPr>
          <w:rFonts w:ascii="Times New Roman" w:cs="Times New Roman" w:eastAsia="Times New Roman" w:hAnsi="Times New Roman"/>
          <w:sz w:val="17"/>
          <w:szCs w:val="17"/>
          <w:b w:val="1"/>
          <w:bCs w:val="1"/>
          <w:color w:val="auto"/>
        </w:rPr>
        <w:t>Repayment Event</w:t>
      </w:r>
      <w:r>
        <w:rPr>
          <w:rFonts w:ascii="Times New Roman" w:cs="Times New Roman" w:eastAsia="Times New Roman" w:hAnsi="Times New Roman"/>
          <w:sz w:val="17"/>
          <w:szCs w:val="17"/>
          <w:color w:val="auto"/>
        </w:rPr>
        <w:t>” means that (i) any Convertible Notes are repurchased or redeemed (whether in connection with or as a result of a fundamental change, howsoever defined, or for any other reason) by Counterparty or any of its subsidiaries, (ii) any Convertible Notes are delivered to Counterparty in exchange for delivery of any property or assets of Counterparty or any of its subsidiaries (howsoever described), (iii) any principal of any of the Convertible Notes is repaid prior to the final maturity date of the Convertible Notes, or (iv) any Convertible Notes are exchanged by or for the benefit of the Holders thereof for any other securities of Counterparty or any of its subsidiaries (or any other property, or any combination thereof) pursuant to any exchange offer or similar transaction. For the avoidance of doubt, any conversion of Convertible Notes (whether into cash, Shares, “Reference Property” (as defined in the Indenture) or any combination thereof) pursuant to the terms of the Indenture shall not constitute a Repayment Event.</w:t>
      </w:r>
    </w:p>
    <w:p>
      <w:pPr>
        <w:spacing w:after="0" w:line="17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11.2(e)(vii) of the Equity Definitions is hereby amended by deleting the words “a diluting or concentrative” and replacing them with the words “a material” and adding the phrase “or the Options, as a result of a corporate event involving the Issuer” at the end of the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for Additional Call Option Confirmation.</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Additional Call Option Confirmation.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1960" w:hanging="656"/>
        <w:spacing w:after="0" w:line="282" w:lineRule="auto"/>
        <w:tabs>
          <w:tab w:leader="none" w:pos="19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12.1(d) of the Equity Definitions is hereby amended by replacing “10%” with “20%” in the third line thereof and by replacing all references to “voting shares” therein with “Shares”.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17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59"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Netting or Set-off</w:t>
      </w:r>
      <w:r>
        <w:rPr>
          <w:rFonts w:ascii="Times New Roman" w:cs="Times New Roman" w:eastAsia="Times New Roman" w:hAnsi="Times New Roman"/>
          <w:sz w:val="18"/>
          <w:szCs w:val="18"/>
          <w:color w:val="auto"/>
        </w:rPr>
        <w:t>. The provisions of Section 2(c) of the Agreement shall not apply to the Transaction. Each party waives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it may have to set-off delivery or payment obligations it owes to the other party under the Transaction against any delivery or payment obligations owed to it by the other party under any other agreement between the parties hereto, by operation of law or otherwise.</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8"/>
          <w:szCs w:val="18"/>
          <w:color w:val="auto"/>
        </w:rPr>
        <w:t>. If (a) an Early Termination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holders of Shares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then Dealer shall satisfy the Payment Obligation by the Share Termination Alternative (as defined below), unless (a) Counterparty gives irrevocable telephonic notice to Dealer, confirmed in writing within one Scheduled Trading Day, no later than 5:00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not apply and (b) Counterparty remakes the representation set forth in Section 8(f)‎ as of the date of such election.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Share Termination Alternative:</w:t>
            </w: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If applicable, Dealer shall deliver to Counterparty the Share Termination Delivery</w:t>
            </w:r>
          </w:p>
        </w:tc>
      </w:tr>
      <w:tr>
        <w:trPr>
          <w:trHeight w:val="216"/>
        </w:trPr>
        <w:tc>
          <w:tcPr>
            <w:tcW w:w="430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Property on, or within a commercially reasonable period of time after, the date when</w:t>
            </w:r>
          </w:p>
        </w:tc>
      </w:tr>
      <w:tr>
        <w:trPr>
          <w:trHeight w:val="216"/>
        </w:trPr>
        <w:tc>
          <w:tcPr>
            <w:tcW w:w="430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relevant Payment Obligation would otherwise be due pursuant to Section 12.7 or</w:t>
            </w:r>
          </w:p>
        </w:tc>
      </w:tr>
      <w:tr>
        <w:trPr>
          <w:trHeight w:val="216"/>
        </w:trPr>
        <w:tc>
          <w:tcPr>
            <w:tcW w:w="430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12.9 of the Equity Definitions or Section 6(d)(ii) and 6(e) of the Agreement, as</w:t>
            </w:r>
          </w:p>
        </w:tc>
      </w:tr>
      <w:tr>
        <w:trPr>
          <w:trHeight w:val="216"/>
        </w:trPr>
        <w:tc>
          <w:tcPr>
            <w:tcW w:w="430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applicable, in satisfaction of such Payment Obligation in the manner reasonably</w:t>
            </w:r>
          </w:p>
        </w:tc>
      </w:tr>
      <w:tr>
        <w:trPr>
          <w:trHeight w:val="234"/>
        </w:trPr>
        <w:tc>
          <w:tcPr>
            <w:tcW w:w="4300" w:type="dxa"/>
            <w:vAlign w:val="bottom"/>
          </w:tcPr>
          <w:p>
            <w:pPr>
              <w:spacing w:after="0"/>
              <w:rPr>
                <w:sz w:val="20"/>
                <w:szCs w:val="20"/>
                <w:color w:val="auto"/>
              </w:rPr>
            </w:pP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requested by Counterparty free of payment.</w:t>
            </w:r>
          </w:p>
        </w:tc>
      </w:tr>
      <w:tr>
        <w:trPr>
          <w:trHeight w:val="414"/>
        </w:trPr>
        <w:tc>
          <w:tcPr>
            <w:tcW w:w="4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Share Termination Delivery Property:</w:t>
            </w: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A number of Share Termination Delivery Units, as calculated by the Calculation Agent,</w:t>
            </w:r>
          </w:p>
        </w:tc>
      </w:tr>
      <w:tr>
        <w:trPr>
          <w:trHeight w:val="216"/>
        </w:trPr>
        <w:tc>
          <w:tcPr>
            <w:tcW w:w="430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equal to the Payment Obligation divided by the Share Termination Unit Price.  The</w:t>
            </w:r>
          </w:p>
        </w:tc>
      </w:tr>
      <w:tr>
        <w:trPr>
          <w:trHeight w:val="216"/>
        </w:trPr>
        <w:tc>
          <w:tcPr>
            <w:tcW w:w="430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Calculation Agent shall adjust the Share Termination Delivery Property by replacing</w:t>
            </w:r>
          </w:p>
        </w:tc>
      </w:tr>
      <w:tr>
        <w:trPr>
          <w:trHeight w:val="216"/>
        </w:trPr>
        <w:tc>
          <w:tcPr>
            <w:tcW w:w="430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any fractional portion of a security therein with an amount of cash equal to the value of</w:t>
            </w:r>
          </w:p>
        </w:tc>
      </w:tr>
      <w:tr>
        <w:trPr>
          <w:trHeight w:val="216"/>
        </w:trPr>
        <w:tc>
          <w:tcPr>
            <w:tcW w:w="430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such fractional security based on the values used to calculate the Share Termination</w:t>
            </w:r>
          </w:p>
        </w:tc>
      </w:tr>
      <w:tr>
        <w:trPr>
          <w:trHeight w:val="234"/>
        </w:trPr>
        <w:tc>
          <w:tcPr>
            <w:tcW w:w="4300" w:type="dxa"/>
            <w:vAlign w:val="bottom"/>
          </w:tcPr>
          <w:p>
            <w:pPr>
              <w:spacing w:after="0"/>
              <w:rPr>
                <w:sz w:val="20"/>
                <w:szCs w:val="20"/>
                <w:color w:val="auto"/>
              </w:rPr>
            </w:pPr>
          </w:p>
        </w:tc>
        <w:tc>
          <w:tcPr>
            <w:tcW w:w="6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Unit Price.</w:t>
            </w:r>
          </w:p>
        </w:tc>
      </w:tr>
      <w:tr>
        <w:trPr>
          <w:trHeight w:val="682"/>
        </w:trPr>
        <w:tc>
          <w:tcPr>
            <w:tcW w:w="43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22"/>
                <w:szCs w:val="22"/>
                <w:color w:val="auto"/>
              </w:rPr>
              <w:t>26</w:t>
            </w:r>
          </w:p>
        </w:tc>
      </w:tr>
    </w:tbl>
    <w:p>
      <w:pPr>
        <w:sectPr>
          <w:pgSz w:w="11900" w:h="16838" w:orient="portrait"/>
          <w:cols w:equalWidth="0" w:num="1">
            <w:col w:w="11240"/>
          </w:cols>
          <w:pgMar w:left="320" w:top="904" w:right="339" w:bottom="1440" w:gutter="0" w:footer="0" w:header="0"/>
        </w:sectPr>
      </w:pPr>
    </w:p>
    <w:bookmarkStart w:id="157" w:name="page158"/>
    <w:bookmarkEnd w:id="157"/>
    <w:p>
      <w:pPr>
        <w:ind w:left="324"/>
        <w:spacing w:after="0"/>
        <w:rPr>
          <w:sz w:val="20"/>
          <w:szCs w:val="20"/>
          <w:color w:val="auto"/>
        </w:rPr>
      </w:pPr>
      <w:r>
        <w:rPr>
          <w:rFonts w:ascii="Times New Roman" w:cs="Times New Roman" w:eastAsia="Times New Roman" w:hAnsi="Times New Roman"/>
          <w:sz w:val="17"/>
          <w:szCs w:val="17"/>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w:t>
      </w:r>
    </w:p>
    <w:p>
      <w:pPr>
        <w:spacing w:after="0" w:line="189" w:lineRule="exact"/>
        <w:rPr>
          <w:sz w:val="20"/>
          <w:szCs w:val="20"/>
          <w:color w:val="auto"/>
        </w:rPr>
      </w:pPr>
    </w:p>
    <w:p>
      <w:pPr>
        <w:sectPr>
          <w:pgSz w:w="11900" w:h="16838" w:orient="portrait"/>
          <w:cols w:equalWidth="0" w:num="2">
            <w:col w:w="3524" w:space="720"/>
            <w:col w:w="6340"/>
          </w:cols>
          <w:pgMar w:left="976" w:top="904" w:right="339" w:bottom="1440" w:gutter="0" w:footer="0" w:header="0"/>
        </w:sectPr>
      </w:pPr>
    </w:p>
    <w:p>
      <w:pPr>
        <w:ind w:left="324"/>
        <w:spacing w:after="0"/>
        <w:rPr>
          <w:sz w:val="20"/>
          <w:szCs w:val="20"/>
          <w:color w:val="auto"/>
        </w:rPr>
      </w:pPr>
      <w:r>
        <w:rPr>
          <w:rFonts w:ascii="Times New Roman" w:cs="Times New Roman" w:eastAsia="Times New Roman" w:hAnsi="Times New Roman"/>
          <w:sz w:val="17"/>
          <w:szCs w:val="17"/>
          <w:color w:val="auto"/>
        </w:rPr>
        <w:t>Share Termination Delivery Unit:</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189" w:lineRule="exact"/>
        <w:rPr>
          <w:sz w:val="20"/>
          <w:szCs w:val="20"/>
          <w:color w:val="auto"/>
        </w:rPr>
      </w:pPr>
    </w:p>
    <w:p>
      <w:pPr>
        <w:sectPr>
          <w:pgSz w:w="11900" w:h="16838" w:orient="portrait"/>
          <w:cols w:equalWidth="0" w:num="2">
            <w:col w:w="3524" w:space="720"/>
            <w:col w:w="6340"/>
          </w:cols>
          <w:pgMar w:left="976" w:top="904" w:right="339" w:bottom="1440" w:gutter="0" w:footer="0" w:header="0"/>
          <w:type w:val="continuous"/>
        </w:sectPr>
      </w:pPr>
    </w:p>
    <w:p>
      <w:pPr>
        <w:ind w:left="324"/>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0" w:lineRule="exact"/>
        <w:rPr>
          <w:sz w:val="20"/>
          <w:szCs w:val="20"/>
          <w:color w:val="auto"/>
        </w:rPr>
      </w:pPr>
    </w:p>
    <w:p>
      <w:pPr>
        <w:sectPr>
          <w:pgSz w:w="11900" w:h="16838" w:orient="portrait"/>
          <w:cols w:equalWidth="0" w:num="2">
            <w:col w:w="3524" w:space="720"/>
            <w:col w:w="6340"/>
          </w:cols>
          <w:pgMar w:left="976" w:top="904" w:right="339" w:bottom="1440" w:gutter="0" w:footer="0" w:header="0"/>
          <w:type w:val="continuous"/>
        </w:sectPr>
      </w:pPr>
    </w:p>
    <w:p>
      <w:pPr>
        <w:spacing w:after="0" w:line="2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87" w:lineRule="exact"/>
        <w:rPr>
          <w:sz w:val="20"/>
          <w:szCs w:val="20"/>
          <w:color w:val="auto"/>
        </w:rPr>
      </w:pPr>
    </w:p>
    <w:p>
      <w:pPr>
        <w:sectPr>
          <w:pgSz w:w="11900" w:h="16838" w:orient="portrait"/>
          <w:cols w:equalWidth="0" w:num="2">
            <w:col w:w="3524" w:space="720"/>
            <w:col w:w="6340"/>
          </w:cols>
          <w:pgMar w:left="976" w:top="904" w:right="339" w:bottom="1440" w:gutter="0" w:footer="0" w:header="0"/>
          <w:type w:val="continuous"/>
        </w:sectPr>
      </w:pPr>
    </w:p>
    <w:p>
      <w:pPr>
        <w:jc w:val="both"/>
        <w:ind w:left="644" w:hanging="644"/>
        <w:spacing w:after="0" w:line="258" w:lineRule="auto"/>
        <w:tabs>
          <w:tab w:leader="none" w:pos="64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 have to a trial by jury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39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type w:val="continuous"/>
        </w:sectPr>
      </w:pPr>
    </w:p>
    <w:bookmarkStart w:id="158" w:name="page159"/>
    <w:bookmarkEnd w:id="158"/>
    <w:p>
      <w:pPr>
        <w:jc w:val="both"/>
        <w:ind w:left="644" w:hanging="644"/>
        <w:spacing w:after="0" w:line="252" w:lineRule="auto"/>
        <w:tabs>
          <w:tab w:leader="none" w:pos="64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hereby agrees that if, in the good faith reasonable judgment of Dealer, based on the advice of counsel,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acquired by Dealer for the purpose of effecting a commercially reasonable hedge of its obligations pursuant to the Transaction cannot be sold in the public market by Dealer without registration under the Securities Act, Counterparty shall, at its election made in its sole discretion, either (i) in order to allow Dealer to sell the Hedge Shares in a registered offering, make available to Dealer an effective registration statement under the Securities Act and enter into an agreement, in form and substance satisfactory to Dealer, substantially in the form of an underwriting agreement for a registered secondary offering of similar size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Counterparty will use its best efforts to enter into a private placement agreement substantially similar to private placement purchase agreements customary for private placements of equity securities of similar size, in form and substance satisfactory to Dealer (in which case, the Calculation Agent shall make any adjustments to the terms of the Transaction that are necessary, in its reasonable judgment, to compensate Dealer for any commercially reasonable discount from the public market price of the Shares incurred on the sale of Hedge Shares in a private placement of similar size), or (iii) purchase the Hedge Shares from Dealer at the then-current market price on such Exchange Business Days, and in the amounts and at such time(s), requested by Dealer.</w:t>
      </w:r>
    </w:p>
    <w:p>
      <w:pPr>
        <w:spacing w:after="0" w:line="19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and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Right to Extend</w:t>
      </w:r>
      <w:r>
        <w:rPr>
          <w:rFonts w:ascii="Times New Roman" w:cs="Times New Roman" w:eastAsia="Times New Roman" w:hAnsi="Times New Roman"/>
          <w:sz w:val="18"/>
          <w:szCs w:val="18"/>
          <w:color w:val="auto"/>
        </w:rPr>
        <w:t>. Dealer may postpone or add, in whole or in part, any Valid Day or Valid Days during the Settlement Averaging Period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date of valuation, payment or delivery by Dealer, with respect to some or all of the Options hereunder, if Dealer reasonably determines, in its discretion, based on the advice of counsel in the case of clause (ii) below, that such action is reasonably necessary or appropriate (i) to preserve Dealer’s commercially reasonable hedging or hedge unwind activity hereunder in light of existing liquidity conditions or (ii) to enable Dealer to effect purchases of Shares in connection with its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policies and procedures have been adopted by Dealer in good faith and are generally applicable in similar situations and applied in a non-discriminatory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Valid Day or other date of valuation, payment or delivery may be postponed or added more than 50 Valid Days after the original Valid Day or other date of valuation, payment or delivery, as the case may be.</w:t>
      </w:r>
    </w:p>
    <w:p>
      <w:pPr>
        <w:spacing w:after="0" w:line="18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of Claims in Bankruptcy</w:t>
      </w:r>
      <w:r>
        <w:rPr>
          <w:rFonts w:ascii="Times New Roman" w:cs="Times New Roman" w:eastAsia="Times New Roman" w:hAnsi="Times New Roman"/>
          <w:sz w:val="18"/>
          <w:szCs w:val="18"/>
          <w:color w:val="auto"/>
        </w:rPr>
        <w:t>. Dealer acknowledges and agrees that this Confirmation is not intended to convey to Dealer rights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Counterparty with respect to the Transaction that are senior to the claims of common stockholders of Counterparty in any United States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the Transaction.</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Each of Dealer and Counterparty agrees and acknowledges that Dealer is a “financial institution,”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“swap participant” and “financial participant” within the meaning of Sections 101(22), 101(53C) and 101(22A) of the Bankruptcy Code. The parties hereto further agree and acknowledge (A) that this Confirmation is (i)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within the meaning of Section 546 of the Bankruptcy Code, and (B) that Dealer is entitled to the protections afforded by, among other sections, Sections 362(b)(6), 362(b)(17), 362(b)(27), 362(o), 546(e), 546(g), 546(j), 548(d)(2), 555, 560 and 561 of the Bankruptcy Code.</w:t>
      </w:r>
    </w:p>
    <w:p>
      <w:pPr>
        <w:spacing w:after="0" w:line="200" w:lineRule="exact"/>
        <w:rPr>
          <w:sz w:val="20"/>
          <w:szCs w:val="20"/>
          <w:color w:val="auto"/>
        </w:rPr>
      </w:pPr>
    </w:p>
    <w:p>
      <w:pPr>
        <w:spacing w:after="0" w:line="20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59" w:name="page160"/>
    <w:bookmarkEnd w:id="159"/>
    <w:p>
      <w:pPr>
        <w:ind w:left="1300" w:hanging="644"/>
        <w:spacing w:after="0"/>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Certain Other Events</w:t>
      </w:r>
      <w:r>
        <w:rPr>
          <w:rFonts w:ascii="Times New Roman" w:cs="Times New Roman" w:eastAsia="Times New Roman" w:hAnsi="Times New Roman"/>
          <w:sz w:val="18"/>
          <w:szCs w:val="18"/>
          <w:color w:val="auto"/>
        </w:rPr>
        <w:t>. Counterparty covenants and agrees that:</w:t>
      </w:r>
    </w:p>
    <w:p>
      <w:pPr>
        <w:spacing w:after="0" w:line="227"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public announcement of the results of any election by the holders of Shares with respect to the consideration due upon consummation of any Merger Event, Counterparty shall give Dealer written notice of the weighted average of the types and amounts of consideration received by holders of Shares upon consummation of such Merger Event (the date of such notification, the “</w:t>
      </w:r>
      <w:r>
        <w:rPr>
          <w:rFonts w:ascii="Times New Roman" w:cs="Times New Roman" w:eastAsia="Times New Roman" w:hAnsi="Times New Roman"/>
          <w:sz w:val="18"/>
          <w:szCs w:val="18"/>
          <w:b w:val="1"/>
          <w:bCs w:val="1"/>
          <w:color w:val="auto"/>
        </w:rPr>
        <w:t>Consideration Notification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Consideration Notification Date be later than the date on which such Merger Event is consummated; and</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37" w:lineRule="auto"/>
        <w:tabs>
          <w:tab w:leader="none" w:pos="19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Counterparty shall give Dealer commercially reasonable advance (but in any event at least one Exchange Business Day prior to the relevant Adjustment Notice Deadline) written notice of the section or sections of the Indenture and, if applicable, the formula therein, pursuant to which any adjustment will be made to the Convertible Notes in connection with any Potential Adjustment Event (other than a Potential Adjustment in respect of the Dilution Adjustment Provisions set forth in Section [14.04(b)]</w:t>
      </w:r>
      <w:r>
        <w:rPr>
          <w:rFonts w:ascii="Times New Roman" w:cs="Times New Roman" w:eastAsia="Times New Roman" w:hAnsi="Times New Roman"/>
          <w:sz w:val="29"/>
          <w:szCs w:val="29"/>
          <w:color w:val="auto"/>
          <w:vertAlign w:val="superscript"/>
        </w:rPr>
        <w:t>37</w:t>
      </w:r>
      <w:r>
        <w:rPr>
          <w:rFonts w:ascii="Times New Roman" w:cs="Times New Roman" w:eastAsia="Times New Roman" w:hAnsi="Times New Roman"/>
          <w:sz w:val="18"/>
          <w:szCs w:val="18"/>
          <w:color w:val="auto"/>
        </w:rPr>
        <w:t xml:space="preserve"> or Section [14.04(d)]</w:t>
      </w:r>
      <w:r>
        <w:rPr>
          <w:rFonts w:ascii="Times New Roman" w:cs="Times New Roman" w:eastAsia="Times New Roman" w:hAnsi="Times New Roman"/>
          <w:sz w:val="29"/>
          <w:szCs w:val="29"/>
          <w:color w:val="auto"/>
          <w:vertAlign w:val="superscript"/>
        </w:rPr>
        <w:t>38</w:t>
      </w:r>
      <w:r>
        <w:rPr>
          <w:rFonts w:ascii="Times New Roman" w:cs="Times New Roman" w:eastAsia="Times New Roman" w:hAnsi="Times New Roman"/>
          <w:sz w:val="18"/>
          <w:szCs w:val="18"/>
          <w:color w:val="auto"/>
        </w:rPr>
        <w:t xml:space="preserve"> of the Indenture) or Merger Event and (B) promptly following any such adjustment, Counterparty shall give Dealer written notice of the details of such adjustment. The “</w:t>
      </w:r>
      <w:r>
        <w:rPr>
          <w:rFonts w:ascii="Times New Roman" w:cs="Times New Roman" w:eastAsia="Times New Roman" w:hAnsi="Times New Roman"/>
          <w:sz w:val="18"/>
          <w:szCs w:val="18"/>
          <w:b w:val="1"/>
          <w:bCs w:val="1"/>
          <w:color w:val="auto"/>
        </w:rPr>
        <w:t>Adjustment Notice Deadline</w:t>
      </w:r>
      <w:r>
        <w:rPr>
          <w:rFonts w:ascii="Times New Roman" w:cs="Times New Roman" w:eastAsia="Times New Roman" w:hAnsi="Times New Roman"/>
          <w:sz w:val="18"/>
          <w:szCs w:val="18"/>
          <w:color w:val="auto"/>
        </w:rPr>
        <w:t>” means</w:t>
      </w:r>
    </w:p>
    <w:p>
      <w:pPr>
        <w:spacing w:after="0" w:line="4" w:lineRule="exact"/>
        <w:rPr>
          <w:sz w:val="20"/>
          <w:szCs w:val="20"/>
          <w:color w:val="auto"/>
        </w:rPr>
      </w:pPr>
    </w:p>
    <w:p>
      <w:pPr>
        <w:jc w:val="both"/>
        <w:ind w:left="1960" w:hanging="8"/>
        <w:spacing w:after="0" w:line="221" w:lineRule="auto"/>
        <w:tabs>
          <w:tab w:leader="none" w:pos="22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Potential Adjustment in respect of the Dilution Adjustment Provision set forth in Section [14.04(a)]</w:t>
      </w:r>
      <w:r>
        <w:rPr>
          <w:rFonts w:ascii="Times New Roman" w:cs="Times New Roman" w:eastAsia="Times New Roman" w:hAnsi="Times New Roman"/>
          <w:sz w:val="29"/>
          <w:szCs w:val="29"/>
          <w:color w:val="auto"/>
          <w:vertAlign w:val="superscript"/>
        </w:rPr>
        <w:t>39</w:t>
      </w:r>
      <w:r>
        <w:rPr>
          <w:rFonts w:ascii="Times New Roman" w:cs="Times New Roman" w:eastAsia="Times New Roman" w:hAnsi="Times New Roman"/>
          <w:sz w:val="18"/>
          <w:szCs w:val="18"/>
          <w:color w:val="auto"/>
        </w:rPr>
        <w:t xml:space="preserve"> of the Indenture, the relevant “Ex-Dividend Date” (as such term is defined in the Indenture) or “Effective Date” (as such term is defined in the Indenture), as the case may be, (ii) for any Potential Adjustment in respect of the Dilution Adjustment Provision</w:t>
      </w:r>
    </w:p>
    <w:p>
      <w:pPr>
        <w:jc w:val="both"/>
        <w:ind w:left="1960"/>
        <w:spacing w:after="0" w:line="181" w:lineRule="auto"/>
        <w:rPr>
          <w:sz w:val="20"/>
          <w:szCs w:val="20"/>
          <w:color w:val="auto"/>
        </w:rPr>
      </w:pPr>
      <w:r>
        <w:rPr>
          <w:rFonts w:ascii="Times New Roman" w:cs="Times New Roman" w:eastAsia="Times New Roman" w:hAnsi="Times New Roman"/>
          <w:sz w:val="17"/>
          <w:szCs w:val="17"/>
          <w:color w:val="auto"/>
        </w:rPr>
        <w:t>in the first formula set forth in Section [14.04(c)]</w:t>
      </w:r>
      <w:r>
        <w:rPr>
          <w:rFonts w:ascii="Times New Roman" w:cs="Times New Roman" w:eastAsia="Times New Roman" w:hAnsi="Times New Roman"/>
          <w:sz w:val="28"/>
          <w:szCs w:val="28"/>
          <w:color w:val="auto"/>
          <w:vertAlign w:val="superscript"/>
        </w:rPr>
        <w:t>40</w:t>
      </w:r>
      <w:r>
        <w:rPr>
          <w:rFonts w:ascii="Times New Roman" w:cs="Times New Roman" w:eastAsia="Times New Roman" w:hAnsi="Times New Roman"/>
          <w:sz w:val="17"/>
          <w:szCs w:val="17"/>
          <w:color w:val="auto"/>
        </w:rPr>
        <w:t xml:space="preserve"> of the Indenture, the first “Trading Day” (as such term is defined in the Indenture) of the period referred to in the definition of “SP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in such formula, (iii) for any Potential Adjustment in respect of the</w:t>
      </w:r>
    </w:p>
    <w:p>
      <w:pPr>
        <w:spacing w:after="0" w:line="2" w:lineRule="exact"/>
        <w:rPr>
          <w:sz w:val="20"/>
          <w:szCs w:val="20"/>
          <w:color w:val="auto"/>
        </w:rPr>
      </w:pPr>
    </w:p>
    <w:p>
      <w:pPr>
        <w:jc w:val="both"/>
        <w:ind w:left="1960"/>
        <w:spacing w:after="0" w:line="209" w:lineRule="auto"/>
        <w:rPr>
          <w:sz w:val="20"/>
          <w:szCs w:val="20"/>
          <w:color w:val="auto"/>
        </w:rPr>
      </w:pPr>
      <w:r>
        <w:rPr>
          <w:rFonts w:ascii="Times New Roman" w:cs="Times New Roman" w:eastAsia="Times New Roman" w:hAnsi="Times New Roman"/>
          <w:sz w:val="18"/>
          <w:szCs w:val="18"/>
          <w:color w:val="auto"/>
        </w:rPr>
        <w:t>Dilution Adjustment Provision in the second formula set forth in Section [14.04(c)]</w:t>
      </w:r>
      <w:r>
        <w:rPr>
          <w:rFonts w:ascii="Times New Roman" w:cs="Times New Roman" w:eastAsia="Times New Roman" w:hAnsi="Times New Roman"/>
          <w:sz w:val="29"/>
          <w:szCs w:val="29"/>
          <w:color w:val="auto"/>
          <w:vertAlign w:val="superscript"/>
        </w:rPr>
        <w:t>41</w:t>
      </w:r>
      <w:r>
        <w:rPr>
          <w:rFonts w:ascii="Times New Roman" w:cs="Times New Roman" w:eastAsia="Times New Roman" w:hAnsi="Times New Roman"/>
          <w:sz w:val="18"/>
          <w:szCs w:val="18"/>
          <w:color w:val="auto"/>
        </w:rPr>
        <w:t xml:space="preserve"> of the Indenture, the first “Trading Day” (as such term is defined in the Indenture) of the “Valuation Period” (as such term is defined in the Indenture), (iv) for any</w:t>
      </w:r>
    </w:p>
    <w:p>
      <w:pPr>
        <w:jc w:val="both"/>
        <w:ind w:left="1960" w:right="20"/>
        <w:spacing w:after="0" w:line="203" w:lineRule="auto"/>
        <w:rPr>
          <w:sz w:val="20"/>
          <w:szCs w:val="20"/>
          <w:color w:val="auto"/>
        </w:rPr>
      </w:pPr>
      <w:r>
        <w:rPr>
          <w:rFonts w:ascii="Times New Roman" w:cs="Times New Roman" w:eastAsia="Times New Roman" w:hAnsi="Times New Roman"/>
          <w:sz w:val="18"/>
          <w:szCs w:val="18"/>
          <w:color w:val="auto"/>
        </w:rPr>
        <w:t>Potential Adjustment in respect of the Dilution Adjustment Provision set forth in Section [14.04(e)]</w:t>
      </w:r>
      <w:r>
        <w:rPr>
          <w:rFonts w:ascii="Times New Roman" w:cs="Times New Roman" w:eastAsia="Times New Roman" w:hAnsi="Times New Roman"/>
          <w:sz w:val="29"/>
          <w:szCs w:val="29"/>
          <w:color w:val="auto"/>
          <w:vertAlign w:val="superscript"/>
        </w:rPr>
        <w:t>42</w:t>
      </w:r>
      <w:r>
        <w:rPr>
          <w:rFonts w:ascii="Times New Roman" w:cs="Times New Roman" w:eastAsia="Times New Roman" w:hAnsi="Times New Roman"/>
          <w:sz w:val="18"/>
          <w:szCs w:val="18"/>
          <w:color w:val="auto"/>
        </w:rPr>
        <w:t xml:space="preserve"> of the Indenture, the first “Trading Day” (as such term is defined in the Indenture) of the period referred to in the definition of “SP</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in the formula in such Section, and (v) for any Merger Event, the effective date of such Merger Event (or, if earlier, the first day of any valuation or similar period in respect of such Merger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8308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195" w:lineRule="auto"/>
        <w:tabs>
          <w:tab w:leader="none" w:pos="340" w:val="left"/>
        </w:tabs>
        <w:numPr>
          <w:ilvl w:val="0"/>
          <w:numId w:val="1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an adjustment to the Conversion Rate in connection with a below-market rights, options or warrants offering.</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15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provision in the Indenture for an adjustment to the Conversion Rate in connection with cash dividends.</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1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Indenture section(s) providing for an adjustment to the Conversion Rate in connection with a share distribution, share split and share combination.</w:t>
      </w:r>
    </w:p>
    <w:p>
      <w:pPr>
        <w:ind w:left="340" w:hanging="332"/>
        <w:spacing w:after="0" w:line="187" w:lineRule="auto"/>
        <w:tabs>
          <w:tab w:leader="none" w:pos="340" w:val="left"/>
        </w:tabs>
        <w:numPr>
          <w:ilvl w:val="0"/>
          <w:numId w:val="1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provision in the Indenture for pass-through of distributed property, at the same time as it is received by holders of the Shares, in lieu of a Conversion Rate adjustment.</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cross-reference to provision in the Indenture for pass-through of distributed property, at the same time as it is received by holders of the Shares, in lieu of a Conversion Rate adjustment.</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15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cross-reference to Indenture section describing consequences of tender offers.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0" w:name="page161"/>
    <w:bookmarkEnd w:id="160"/>
    <w:p>
      <w:pPr>
        <w:jc w:val="both"/>
        <w:ind w:left="1300" w:hanging="644"/>
        <w:spacing w:after="0" w:line="256"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190" w:lineRule="exact"/>
        <w:rPr>
          <w:rFonts w:ascii="Times New Roman" w:cs="Times New Roman" w:eastAsia="Times New Roman" w:hAnsi="Times New Roman"/>
          <w:sz w:val="18"/>
          <w:szCs w:val="18"/>
          <w:color w:val="auto"/>
        </w:rPr>
      </w:pPr>
    </w:p>
    <w:p>
      <w:pPr>
        <w:jc w:val="both"/>
        <w:ind w:left="1300" w:hanging="644"/>
        <w:spacing w:after="0" w:line="236" w:lineRule="auto"/>
        <w:tabs>
          <w:tab w:leader="none" w:pos="1300" w:val="left"/>
        </w:tabs>
        <w:numPr>
          <w:ilvl w:val="0"/>
          <w:numId w:val="1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u w:val="single" w:color="auto"/>
          <w:color w:val="auto"/>
        </w:rPr>
        <w:t>Early Unwind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the sale of the [“Firm Securities”]</w:t>
      </w:r>
      <w:r>
        <w:rPr>
          <w:rFonts w:ascii="Times New Roman" w:cs="Times New Roman" w:eastAsia="Times New Roman" w:hAnsi="Times New Roman"/>
          <w:sz w:val="29"/>
          <w:szCs w:val="29"/>
          <w:color w:val="auto"/>
          <w:vertAlign w:val="superscript"/>
        </w:rPr>
        <w:t>43</w:t>
      </w:r>
      <w:r>
        <w:rPr>
          <w:rFonts w:ascii="Times New Roman" w:cs="Times New Roman" w:eastAsia="Times New Roman" w:hAnsi="Times New Roman"/>
          <w:sz w:val="18"/>
          <w:szCs w:val="18"/>
          <w:color w:val="auto"/>
        </w:rPr>
        <w:t>[“Option Securities”]</w:t>
      </w:r>
      <w:r>
        <w:rPr>
          <w:rFonts w:ascii="Times New Roman" w:cs="Times New Roman" w:eastAsia="Times New Roman" w:hAnsi="Times New Roman"/>
          <w:sz w:val="29"/>
          <w:szCs w:val="29"/>
          <w:color w:val="auto"/>
          <w:vertAlign w:val="superscript"/>
        </w:rPr>
        <w:t>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Note Purchase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June [__], 2026, among Counterparty, Bitfarms Ltd., as Guarantor and [Goldman Sachs &amp; Co. LLC and Morgan Stanley &amp; Co. LLC] as representatives of the Initial Purchasers party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is not consummated with the Initial Purchasers for any reason, or 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Unwind</w:t>
      </w:r>
      <w:r>
        <w:rPr>
          <w:rFonts w:ascii="Times New Roman" w:cs="Times New Roman" w:eastAsia="Times New Roman" w:hAnsi="Times New Roman"/>
          <w:sz w:val="18"/>
          <w:szCs w:val="18"/>
          <w:color w:val="auto"/>
        </w:rPr>
        <w:t>”), on the Early Unwind Date and (i) the Transaction and all of the respective rights and obligations of Dealer and Counterparty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96" w:lineRule="exact"/>
        <w:rPr>
          <w:rFonts w:ascii="Times New Roman" w:cs="Times New Roman" w:eastAsia="Times New Roman" w:hAnsi="Times New Roman"/>
          <w:sz w:val="36"/>
          <w:szCs w:val="36"/>
          <w:color w:val="auto"/>
          <w:vertAlign w:val="superscript"/>
        </w:rPr>
      </w:pPr>
    </w:p>
    <w:p>
      <w:pPr>
        <w:jc w:val="both"/>
        <w:ind w:left="1300" w:hanging="644"/>
        <w:spacing w:after="0" w:line="258"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by Counterparty</w:t>
      </w:r>
      <w:r>
        <w:rPr>
          <w:rFonts w:ascii="Times New Roman" w:cs="Times New Roman" w:eastAsia="Times New Roman" w:hAnsi="Times New Roman"/>
          <w:sz w:val="18"/>
          <w:szCs w:val="18"/>
          <w:color w:val="auto"/>
        </w:rPr>
        <w:t>. In the event that, following payment of the Premium, (i) an Early Termination Date occurs or is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8308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5" w:lineRule="exact"/>
        <w:rPr>
          <w:sz w:val="20"/>
          <w:szCs w:val="20"/>
          <w:color w:val="auto"/>
        </w:rPr>
      </w:pPr>
    </w:p>
    <w:p>
      <w:pPr>
        <w:ind w:left="340" w:hanging="332"/>
        <w:spacing w:after="0"/>
        <w:tabs>
          <w:tab w:leader="none" w:pos="340" w:val="left"/>
        </w:tabs>
        <w:numPr>
          <w:ilvl w:val="0"/>
          <w:numId w:val="1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in Base Call Option Confirmation only.</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in Additional Call Option Confirmation only.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1" w:name="page162"/>
    <w:bookmarkEnd w:id="161"/>
    <w:p>
      <w:pPr>
        <w:jc w:val="both"/>
        <w:ind w:left="644" w:hanging="644"/>
        <w:spacing w:after="0" w:line="252" w:lineRule="auto"/>
        <w:tabs>
          <w:tab w:leader="none" w:pos="64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Adjustments Pursuant to the Equity Definitions</w:t>
      </w:r>
      <w:r>
        <w:rPr>
          <w:rFonts w:ascii="Times New Roman" w:cs="Times New Roman" w:eastAsia="Times New Roman" w:hAnsi="Times New Roman"/>
          <w:sz w:val="18"/>
          <w:szCs w:val="18"/>
          <w:color w:val="auto"/>
        </w:rPr>
        <w:t>. Notwithstanding anything to the contrary in this Confirmation, solely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purpose of adjusting the Cap Price pursuant to this Section 9(x), the terms “Merger Event,” “Tender Offer” and “Potential Adjustment Event” shall each have the meanings assigned to such term in the Equity Definitions (in the case of the definition of “Tender Offer,” as amended by Section 9(i)(ii) above, and in the case of the definition of “Potential Adjustment Event”, as amended by Section 9(i)(i) above), “Extraordinary Dividend” means any cash dividend on the Shares, and upon the occurrence of a Merger Date, the occurrence of a Tender Offer Date, or declaration by Counterparty of the terms of any Potential Adjustment Event, respectively, as such terms are defined in the Equity Definitions, the Calculation Agent shall determine whether such occurrence or declaration, as applicable, has had a material economic effect on the Transaction and, if so, shall, adjust the Cap Price to preserve the fair value of the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 solely in the case of a Potential Adjustment Event pursuant Section 11.2(e)(i), (ii)(A) or (iv), no adjustments will be made to account solely for changes in volatility, expected dividends, stock loan rate or liquidity relative to the relevant Shares, (x) the parties agree that Exempted Repurchases shall not be considered Potential Adjustment Events, and (y) in no event shall the Cap Price be less than the Strike Price. “</w:t>
      </w:r>
      <w:r>
        <w:rPr>
          <w:rFonts w:ascii="Times New Roman" w:cs="Times New Roman" w:eastAsia="Times New Roman" w:hAnsi="Times New Roman"/>
          <w:sz w:val="18"/>
          <w:szCs w:val="18"/>
          <w:b w:val="1"/>
          <w:bCs w:val="1"/>
          <w:color w:val="auto"/>
        </w:rPr>
        <w:t>Exempted Repurchase</w:t>
      </w:r>
      <w:r>
        <w:rPr>
          <w:rFonts w:ascii="Times New Roman" w:cs="Times New Roman" w:eastAsia="Times New Roman" w:hAnsi="Times New Roman"/>
          <w:sz w:val="18"/>
          <w:szCs w:val="18"/>
          <w:color w:val="auto"/>
        </w:rPr>
        <w:t>” means any (1) open market Share repurchase at prevailing market prices (including, without limitation, any discount to average VWAP prices), (2) any privately negotiated Share repurchases entered into outside of an exchange or (3) Share repurchase through a dealer pursuant to accelerated share repurchases, forward contracts or similar transactions that is entered into at prevailing market prices (including, without limitation, any discount to average VWAP prices) and in accordance with customary market terms for transactions of such type to repurchase the Shares, so long as the aggregate of such Exempted Repurchase transactions described in clauses (1), (2) and (3) above would not exceed 20% of the number of Shares outstanding as of the Trade Date, as determined by Calculation Agent in a commercially reasonable manner and as adjusted by the Calculation Agent to account for any subdivision or combination with respect to the Shares.</w:t>
      </w:r>
    </w:p>
    <w:p>
      <w:pPr>
        <w:spacing w:after="0" w:line="19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5" w:lineRule="auto"/>
        <w:tabs>
          <w:tab w:leader="none" w:pos="130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 Imposed on Payments to Non-U.S. Counterparties under the United States Foreign Account Tax Compliance Provisions of the HIRE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Indemnifiable Tax</w:t>
      </w:r>
      <w:r>
        <w:rPr>
          <w:rFonts w:ascii="Times New Roman" w:cs="Times New Roman" w:eastAsia="Times New Roman" w:hAnsi="Times New Roman"/>
          <w:sz w:val="18"/>
          <w:szCs w:val="18"/>
          <w:color w:val="auto"/>
        </w:rPr>
        <w:t>,” as defined in Section 14 of the Agreement, shall not include any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186"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either party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 w:cs="Times New Roman" w:eastAsia="Times New Roman" w:hAnsi="Times New Roman"/>
          <w:sz w:val="18"/>
          <w:szCs w:val="18"/>
          <w:b w:val="1"/>
          <w:bCs w:val="1"/>
          <w:color w:val="auto"/>
        </w:rPr>
        <w:t>871(m) Protocol</w:t>
      </w:r>
      <w:r>
        <w:rPr>
          <w:rFonts w:ascii="Times New Roman" w:cs="Times New Roman" w:eastAsia="Times New Roman" w:hAnsi="Times New Roman"/>
          <w:sz w:val="18"/>
          <w:szCs w:val="18"/>
          <w:color w:val="auto"/>
        </w:rPr>
        <w:t>”), Dealer and Counterparty hereby agree that the provisions and amendments contained in the Attachment to the 871(m) Protocol are incorporated into and apply to the Agreement with respect to this Transaction as if set forth in full herein. If there is any inconsistency between this provision and a provision in any other agreement executed between the parties to which this Transaction relates, this provision shall prevail unless such other agreement expressly overrides the provisions of the 871(m) Protocol. Dealer and Counterparty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39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62" w:name="page163"/>
    <w:bookmarkEnd w:id="162"/>
    <w:p>
      <w:pPr>
        <w:jc w:val="both"/>
        <w:ind w:left="1960" w:hanging="656"/>
        <w:spacing w:after="0" w:line="237" w:lineRule="auto"/>
        <w:tabs>
          <w:tab w:leader="none" w:pos="19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Documentation</w:t>
      </w:r>
      <w:r>
        <w:rPr>
          <w:rFonts w:ascii="Times New Roman" w:cs="Times New Roman" w:eastAsia="Times New Roman" w:hAnsi="Times New Roman"/>
          <w:sz w:val="18"/>
          <w:szCs w:val="18"/>
          <w:color w:val="auto"/>
        </w:rPr>
        <w:t>. For the purposes of Sections 4(a)(i) and 4(a)(ii) of the Agreement, Dealer shall provide to Counterparty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U.S. Internal Revenue Service Form [W-9]</w:t>
      </w:r>
      <w:r>
        <w:rPr>
          <w:rFonts w:ascii="Times New Roman" w:cs="Times New Roman" w:eastAsia="Times New Roman" w:hAnsi="Times New Roman"/>
          <w:sz w:val="29"/>
          <w:szCs w:val="29"/>
          <w:color w:val="auto"/>
          <w:vertAlign w:val="superscript"/>
        </w:rPr>
        <w:t>45</w:t>
      </w:r>
      <w:r>
        <w:rPr>
          <w:rFonts w:ascii="Times New Roman" w:cs="Times New Roman" w:eastAsia="Times New Roman" w:hAnsi="Times New Roman"/>
          <w:sz w:val="18"/>
          <w:szCs w:val="18"/>
          <w:color w:val="auto"/>
        </w:rPr>
        <w:t>, or any successor thereto, and Counterparty shall provide to Dealer a valid U.S. Internal Revenue Service Form W-9, or any successor thereto, (i) on or before the date of execution of this Confirmation, (ii) promptly upon learning that any such tax form previously provided by it has become obsolete or incorrect and (iii) promptly upon reasonable request of the other party. Additionally, each party shall, promptly upon request by the other party, provide such other tax forms and documents reasonably requested by the other party.</w:t>
      </w:r>
    </w:p>
    <w:p>
      <w:pPr>
        <w:spacing w:after="0" w:line="201"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Payer Tax Representations</w:t>
      </w:r>
      <w:r>
        <w:rPr>
          <w:rFonts w:ascii="Times New Roman" w:cs="Times New Roman" w:eastAsia="Times New Roman" w:hAnsi="Times New Roman"/>
          <w:sz w:val="18"/>
          <w:szCs w:val="18"/>
          <w:color w:val="auto"/>
        </w:rPr>
        <w:t>. For the purpose of Section 3(e) of the Agreement, each party makes the following representation: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required by any applicable law, as modified by the practice of any relevant governmental revenue authority, of any Relevant Jurisdiction to make any deduction or withholding for or on account of any Tax from any payment (other than interest under Section 9(h) of the Agreement to be made by it to the other party under the Agreement). In making this representation, it may rely on (i) the accuracy of any representations made by the other party pursuant to Section 3(f) of the Agreement, (ii) the satisfaction of the agreement contained in Section 4(a)(i) or 4(a)(iii) of the Agreement and the accuracy and effectiveness of any document provided by the other party pursuant to Section 4(a)(i) or 4(a)(iii) of the Agreement, and (iii) the satisfaction of the agreement of the other party contained in Section 4(d) of the Agreement, except that it will not be a breach of this representation where reliance is placed on clause (ii) above and the other party does not deliver a form or document under Section 4(a)(iii) of the Agreement by reason of material prejudice to its legal or commercial position.</w:t>
      </w:r>
    </w:p>
    <w:p>
      <w:pPr>
        <w:spacing w:after="0" w:line="18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Payee Tax Representations</w:t>
      </w:r>
      <w:r>
        <w:rPr>
          <w:rFonts w:ascii="Times New Roman" w:cs="Times New Roman" w:eastAsia="Times New Roman" w:hAnsi="Times New Roman"/>
          <w:sz w:val="18"/>
          <w:szCs w:val="18"/>
          <w:color w:val="auto"/>
        </w:rPr>
        <w:t>. For the purpose of Section 3(f) of the Agreement, the parties make the representations below:</w:t>
      </w:r>
    </w:p>
    <w:p>
      <w:pPr>
        <w:spacing w:after="0" w:line="227" w:lineRule="exact"/>
        <w:rPr>
          <w:sz w:val="20"/>
          <w:szCs w:val="20"/>
          <w:color w:val="auto"/>
        </w:rPr>
      </w:pPr>
    </w:p>
    <w:p>
      <w:pPr>
        <w:ind w:left="2600" w:right="5840" w:hanging="648"/>
        <w:spacing w:after="0" w:line="500" w:lineRule="auto"/>
        <w:tabs>
          <w:tab w:leader="none" w:pos="260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Dealer represents to Counterparty that: </w:t>
      </w:r>
      <w:r>
        <w:rPr>
          <w:rFonts w:ascii="Times New Roman" w:cs="Times New Roman" w:eastAsia="Times New Roman" w:hAnsi="Times New Roman"/>
          <w:sz w:val="18"/>
          <w:szCs w:val="18"/>
          <w:i w:val="1"/>
          <w:iCs w:val="1"/>
          <w:color w:val="auto"/>
        </w:rPr>
        <w:t>[Insert Dealer Boilerplate]</w:t>
      </w:r>
    </w:p>
    <w:p>
      <w:pPr>
        <w:spacing w:after="0" w:line="1" w:lineRule="exact"/>
        <w:rPr>
          <w:rFonts w:ascii="Times New Roman" w:cs="Times New Roman" w:eastAsia="Times New Roman" w:hAnsi="Times New Roman"/>
          <w:sz w:val="18"/>
          <w:szCs w:val="18"/>
          <w:color w:val="auto"/>
        </w:rPr>
      </w:pPr>
    </w:p>
    <w:p>
      <w:pPr>
        <w:jc w:val="both"/>
        <w:ind w:left="2600" w:hanging="648"/>
        <w:spacing w:after="0" w:line="258" w:lineRule="auto"/>
        <w:tabs>
          <w:tab w:leader="none" w:pos="260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to Dealer that it is a corporation for U.S. federal income tax purposes and is organized under the laws of Delaware and that its U.S. taxpayer identification number is [●]. Counterparty is a “U.S. person” as that term is used in Treasury Regulations Section 1.1441-4(a)(3)(ii) and an exempt recipient as that term is used in Treasury Regulations Sections 1.6041-3(p) and 1.6049-4(c)(1)(ii) from information reporting on Form 1099 and backup withholding.</w:t>
      </w:r>
    </w:p>
    <w:p>
      <w:pPr>
        <w:spacing w:after="0" w:line="18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CARES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represents and warrants that it and any of its subsidiaries has not applied, and shall not, until after the first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or other investment, or to receive any financial assistance or relief under any program or facility (collectively “</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 that (a) is established under applicable law (whether in existence as of the Trade Date or subsequently enacted, adopted or amended), including without limitation the CARES Act and the Federal Reserve Act, as amended, and</w:t>
      </w:r>
    </w:p>
    <w:p>
      <w:pPr>
        <w:spacing w:after="0" w:line="1" w:lineRule="exact"/>
        <w:rPr>
          <w:rFonts w:ascii="Times New Roman" w:cs="Times New Roman" w:eastAsia="Times New Roman" w:hAnsi="Times New Roman"/>
          <w:sz w:val="18"/>
          <w:szCs w:val="18"/>
          <w:color w:val="auto"/>
        </w:rPr>
      </w:pPr>
    </w:p>
    <w:p>
      <w:pPr>
        <w:jc w:val="both"/>
        <w:ind w:left="1300" w:firstLine="4"/>
        <w:spacing w:after="0" w:line="251" w:lineRule="auto"/>
        <w:tabs>
          <w:tab w:leader="none" w:pos="155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requires under applicable law (or any regulation, guidance, interpretation or other pronouncement of a governmental authority with jurisdiction for such program or facility) as a condition of such Financial Assistance, that Counterparty comply with any requirement not to, or otherwise agree, attest, certify or warrant that it has not, as of the date specified in such condition, repurchased, or will not repurchase, any equity security of Counterparty, and that Counterparty has not, as of the date specified in the condition, made a capital distribution or will not make a capital distribution, or (ii) where the terms of the Transaction would cause Counterparty to fail to satisfy any condition for application for or receipt or retention of the Financial Assistance (collectively “</w:t>
      </w:r>
      <w:r>
        <w:rPr>
          <w:rFonts w:ascii="Times New Roman" w:cs="Times New Roman" w:eastAsia="Times New Roman" w:hAnsi="Times New Roman"/>
          <w:sz w:val="18"/>
          <w:szCs w:val="18"/>
          <w:b w:val="1"/>
          <w:bCs w:val="1"/>
          <w:color w:val="auto"/>
        </w:rPr>
        <w:t>Restricted Financial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Counterparty or any of its subsidiaries may apply for Restricted Financial Assistance if Counterparty either (a)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advice of outside counsel of national standing that the terms of the Transaction would not cause Counterparty or any of its subsidiaries to fail to satisfy any condition for application for or receipt or retention of such Financial Assistance based on the terms of the program or facility as of the date of such advice or (b) delivers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9" w:lineRule="exact"/>
        <w:rPr>
          <w:sz w:val="20"/>
          <w:szCs w:val="20"/>
          <w:color w:val="auto"/>
        </w:rPr>
      </w:pPr>
    </w:p>
    <w:p>
      <w:pPr>
        <w:ind w:left="340" w:hanging="332"/>
        <w:spacing w:after="0"/>
        <w:tabs>
          <w:tab w:leader="none" w:pos="340" w:val="left"/>
        </w:tabs>
        <w:numPr>
          <w:ilvl w:val="0"/>
          <w:numId w:val="1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modified for Dealers as appropriate.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3" w:name="page164"/>
    <w:bookmarkEnd w:id="163"/>
    <w:p>
      <w:pPr>
        <w:ind w:left="1300" w:hanging="644"/>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Agency Boilerplate, If Applicable.]</w:t>
      </w:r>
    </w:p>
    <w:p>
      <w:pPr>
        <w:spacing w:after="0" w:line="22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Counterparts</w:t>
      </w:r>
      <w:r>
        <w:rPr>
          <w:rFonts w:ascii="Times New Roman" w:cs="Times New Roman" w:eastAsia="Times New Roman" w:hAnsi="Times New Roman"/>
          <w:sz w:val="18"/>
          <w:szCs w:val="18"/>
          <w:color w:val="auto"/>
        </w:rPr>
        <w:t>. This Confirmation may be executed in several counterparts, each of which shall be deemed an original but all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shall constitute one and the same instrument. Delivery of an executed signature page by facsimile or electronic transmission (e.g. “pdf” or “tif”), or any electronic signature complying with the U.S. federal ESIGN Act of 2000, Uniform Electronic Transactions Act or other applicable law, e.g., www.docusign.com, shall be effective as delivery of a manually executed counterpart hereof.</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Conduct Rules</w:t>
      </w:r>
      <w:r>
        <w:rPr>
          <w:rFonts w:ascii="Times New Roman" w:cs="Times New Roman" w:eastAsia="Times New Roman" w:hAnsi="Times New Roman"/>
          <w:sz w:val="18"/>
          <w:szCs w:val="18"/>
          <w:color w:val="auto"/>
        </w:rPr>
        <w:t>. Each of Dealer and Counterparty acknowledges and agrees to be bound by the Conduct Rules of the Financial Industry Regulatory Authority, Inc. applicable to transactions in options, and further agrees not to violate the position and exercise limits set forth therein.</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77" w:lineRule="auto"/>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 Disclosure Statement</w:t>
      </w:r>
      <w:r>
        <w:rPr>
          <w:rFonts w:ascii="Times New Roman" w:cs="Times New Roman" w:eastAsia="Times New Roman" w:hAnsi="Times New Roman"/>
          <w:sz w:val="18"/>
          <w:szCs w:val="18"/>
          <w:color w:val="auto"/>
        </w:rPr>
        <w:t>. Counterparty represents and warrants that it has received, read and understands the OTC Options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29"/>
          <w:szCs w:val="29"/>
          <w:color w:val="auto"/>
          <w:vertAlign w:val="superscript"/>
        </w:rPr>
        <w:t>46</w:t>
      </w:r>
    </w:p>
    <w:p>
      <w:pPr>
        <w:spacing w:after="0" w:line="4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U.S. Resolution Stay Protocol</w:t>
      </w:r>
      <w:r>
        <w:rPr>
          <w:rFonts w:ascii="Times New Roman" w:cs="Times New Roman" w:eastAsia="Times New Roman" w:hAnsi="Times New Roman"/>
          <w:sz w:val="18"/>
          <w:szCs w:val="18"/>
          <w:color w:val="auto"/>
        </w:rPr>
        <w:t>. The parties acknowledge and agree that (i) to the extent that prior to the date hereof both parties have adhered to the 2018 ISDA U.S. Resolution Stay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terms of the Protocol are incorporated into and form a part of the Agreement, and for such purposes the Agreement shall be deemed a Protocol Covered Agreement, Dealer shall be deemed a Regulated Entity and Counterparty shall be deemed an Adhering Party;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b w:val="1"/>
          <w:bCs w:val="1"/>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the Agreement, and for such purposes the Agreement shall be deemed a Covered Agreement, Dealer shall be deemed a Covered Entity and Counterparty shall be deemed a Counterparty Entity; or (iii) if clause (i) and clause (ii) do not apply, the terms of Section 1 and Section 2 and the related defined terms (together, the “</w:t>
      </w:r>
      <w:r>
        <w:rPr>
          <w:rFonts w:ascii="Times New Roman" w:cs="Times New Roman" w:eastAsia="Times New Roman" w:hAnsi="Times New Roman"/>
          <w:sz w:val="18"/>
          <w:szCs w:val="18"/>
          <w:b w:val="1"/>
          <w:bCs w:val="1"/>
          <w:color w:val="auto"/>
        </w:rPr>
        <w:t>Bilateral Terms</w:t>
      </w:r>
      <w:r>
        <w:rPr>
          <w:rFonts w:ascii="Times New Roman" w:cs="Times New Roman" w:eastAsia="Times New Roman" w:hAnsi="Times New Roman"/>
          <w:sz w:val="18"/>
          <w:szCs w:val="18"/>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the Agreement, and for such purposes the Agreement shall be deemed a “Covered Agreement,” Dealer shall be deemed a “Covered Entity” and Counterparty shall be deemed a “Counterparty Entity.” In the event that, after the date of the Agreement, both parties hereto become adhering parties to the Protocol, the terms of the Protocol will replace the terms of this paragraph. In the event of any inconsistencies between the Agreement and the terms of the Protocol, the Bilateral Agreement or the Bilateral Terms (each, the “</w:t>
      </w:r>
      <w:r>
        <w:rPr>
          <w:rFonts w:ascii="Times New Roman" w:cs="Times New Roman" w:eastAsia="Times New Roman" w:hAnsi="Times New Roman"/>
          <w:sz w:val="18"/>
          <w:szCs w:val="18"/>
          <w:b w:val="1"/>
          <w:bCs w:val="1"/>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“the Agreement”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 “</w:t>
      </w:r>
      <w:r>
        <w:rPr>
          <w:rFonts w:ascii="Times New Roman" w:cs="Times New Roman" w:eastAsia="Times New Roman" w:hAnsi="Times New Roman"/>
          <w:sz w:val="18"/>
          <w:szCs w:val="18"/>
          <w:i w:val="1"/>
          <w:iCs w:val="1"/>
          <w:color w:val="auto"/>
        </w:rPr>
        <w:t>QFC Stay Rules</w:t>
      </w:r>
      <w:r>
        <w:rPr>
          <w:rFonts w:ascii="Times New Roman" w:cs="Times New Roman" w:eastAsia="Times New Roman" w:hAnsi="Times New Roman"/>
          <w:sz w:val="18"/>
          <w:szCs w:val="18"/>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r>
        <w:rPr>
          <w:rFonts w:ascii="Times New Roman" w:cs="Times New Roman" w:eastAsia="Times New Roman" w:hAnsi="Times New Roman"/>
          <w:sz w:val="29"/>
          <w:szCs w:val="29"/>
          <w:color w:val="auto"/>
          <w:vertAlign w:val="superscript"/>
        </w:rPr>
        <w:t>47</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1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if applicable.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Update as necessary.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color w:val="auto"/>
        </w:rPr>
        <w:t>Please confirm that the foregoing correctly sets forth the terms of our agreement by executing this Confirmation and returning it to Dealer.</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17145</wp:posOffset>
            </wp:positionV>
            <wp:extent cx="241744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Confirmation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80" w:top="904" w:right="9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242570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Confirmation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156845</wp:posOffset>
            </wp:positionV>
            <wp:extent cx="1731645" cy="7632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316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Keel Infrastructure Announces Closing of $458 Million of Convertible Senior Notes</w:t>
      </w:r>
    </w:p>
    <w:p>
      <w:pPr>
        <w:spacing w:after="0" w:line="227" w:lineRule="exact"/>
        <w:rPr>
          <w:sz w:val="20"/>
          <w:szCs w:val="20"/>
          <w:color w:val="auto"/>
        </w:rPr>
      </w:pPr>
    </w:p>
    <w:p>
      <w:pPr>
        <w:ind w:left="660" w:right="20" w:hanging="328"/>
        <w:spacing w:after="0" w:line="284"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portion of proceeds was used to fund the cost of capped calls intended to offset any dilution upon conversion of the convertible notes up to a Keel share price of $11.86</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Existing liquidity expected to be sufficient to develop Panther Creek, Sharon, and Moses Lake through leasing; opportunistic capital raise expected to improve flexibility to make value-add investments across current developments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June 9, 2026 </w:t>
      </w:r>
      <w:r>
        <w:rPr>
          <w:rFonts w:ascii="Times New Roman" w:cs="Times New Roman" w:eastAsia="Times New Roman" w:hAnsi="Times New Roman"/>
          <w:sz w:val="18"/>
          <w:szCs w:val="18"/>
          <w:color w:val="auto"/>
        </w:rPr>
        <w:t>– Keel Infrastructure Corp. (NASDAQ/TSX: KEEL), a North American digital and energy infrastructure company (“Keel”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today announced that it has closed its offering of $458 million aggregate principal amount of 1.250% convertible senior notes due 2032 (the “Convertible Notes”), which includes the exercise in full of the $58 million option granted to the initial purchasers of the Convertible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Offering</w:t>
      </w:r>
    </w:p>
    <w:p>
      <w:pPr>
        <w:spacing w:after="0" w:line="229" w:lineRule="exact"/>
        <w:rPr>
          <w:sz w:val="20"/>
          <w:szCs w:val="20"/>
          <w:color w:val="auto"/>
        </w:rPr>
      </w:pPr>
    </w:p>
    <w:p>
      <w:pPr>
        <w:ind w:left="660" w:hanging="328"/>
        <w:spacing w:after="0" w:line="28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$445.4 million in net proceeds to Keel, after deducting the initial purchasers’ discounts and commissions but before deducting the estimated offering expenses and the cost of the capped call transactions.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coupon of 1.250% per annum, payable semi-annually in arrears on January 15 and July 15 of each year, beginning on January 15, 2027.</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conversion price of approximately $7.41 per share of common stock, which represents an approximately 25% premium to the last reported sale price of $5.93 per share of common stock on the Nasdaq on June 4, 2026).</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cap price of the capped call transaction of $11.86 per share of common stock , which represents a premium of 100% to the last reported sale price of $5.93 per share of common stock on the Nasdaq on June 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existing liquidity is expected to be sufficient to develop Panther Creek, Sharon, and Moses Lake through leasing. The proceeds from this offering are expected to improve the Company’s flexibility to make value-add investments across the Company’s current developments.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Keel intends to use the net proceeds as follows:</w:t>
      </w:r>
    </w:p>
    <w:p>
      <w:pPr>
        <w:spacing w:after="0" w:line="225" w:lineRule="exact"/>
        <w:rPr>
          <w:sz w:val="20"/>
          <w:szCs w:val="20"/>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net proceeds from this offering was used to fund the cost of entering into the capped call transactions described above.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net proceeds will be used for general corporate purposes, which may include funding deposits for long-lead equipment and/or collateralizing letters of credit related to expanding and/or accelerating data center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payment obligations under the notes are fully and unconditionally guaranteed, on a senior, unsecured basis, by Bitfarms Ltd. (the “guarantor”). Keel may settle conversions of the Convertible Notes in cash, common stock or a combination of cash and common stock, at its election. Keel will have the right to redeem the Convertible Notes in certain circumstances and will be required to offer to repurchase the Convertible Notes upon the occurrence of certain events. Prior to October 15, 2031, the Convertible Notes will be convertible only upon satisfaction of certain conditions and during certain periods, and thereafter, the Convertible Notes will be convertible at the option of holders at any time until the close of business on the scheduled trading day immediately preceding the maturity date. The Convertible Notes will mature on January 15, 2032, unless earlier repurchased, redeemed or converted in accordance with their terms.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Convertible Notes and the common stock issuable upon the conversion thereof have not been and will not be registered under the U.S. Securities Act of 1933, as amended (the “Securities Act”), or registered under any state securities laws, or qualified by a prospectus in any province or territory of Canada. The Convertible Notes and the common stock may not be offered, sold or delivered, directly or indirectly, in the United States absent registration under the Securities Act or an applicable exemption from registration under the Securities Act. The Convertible Notes were offered only to “qualified institutional buyers” (as defined in Rule 144A under the Securities Act). Offers and sales in Canada were made only pursuant to exemptions from the prospectus requirements of applicable Canadian provincial and territorial securities laws.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relying on the exemption under Section 602.1 of the Toronto Stock Exchange’s Company Manual (the “TSX manual”) available to Eligible Interlisted Issuers (as defined in the TSX manual) in respect of the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is it a solicitation of an offer to buy the Convertible Notes or any other securities and shall not constitute an offer to sell or solicitation of an offer to buy, or a sale of, the Convertible Notes or any other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Keel Infrastructure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Keel Infrastructure is a North American digital infrastructure and energy company that develops and owns data centers and energy infrastructure for high-performance computing workloads, including AI. With a pipeline of 2.2 gigawatts and established grid interconnections already in place, Keel delivers scalable infrastructure solutions in high-demand power markets across Pennsylvania and Washington in the United States, and Québec in Canada. Keel is headquartered in New York City and trades under the ticker symbol "KEEL" on Nasdaq and TSX.</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2026, Keel became the ultimate parent company of Bitfarms Ltd. and its subsidiaries (“Bitfarms”) pursuant to a statutory plan of arrangement (the “Arrangement”) as part of Bitfarms' previously announced intention to redomicile from Canada to the United States and rebrand to Keel Infrastructure. Pursuant to the Arrangement, Keel indirectly acquired all issued and outstanding common shares in the capital of Bitfarms, and in exchange, holders of the common shares of Bitfarms received one share of common stock of Keel per common share of Bitfarms.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U.S. securities laws. The statements and information in this release regarding the offering of Convertible Notes, the capped call transactions, and the use of proceeds of the offering of Convertible Notes, among others, are forward-looking information.</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“positioning”, “prospects”, “believes”, “on track”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8" w:name="page169"/>
    <w:bookmarkEnd w:id="168"/>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Keel at the time they were made, and involves known and unknown risks, uncertainties, and other factors which may cause the actual results, performance, or achievements of Keel to be materially different from any future results, performance, or achievements expressed or implied by such forward-looking information. Such factors, risks, and uncertainties include, among others: our limited operating history and history of operating losses, which make it difficult to evaluate our business and prospects; our evolving business model and strategy, including our strategic transformation from Bitcoin mining to high-performance computing (“HPC”) infrastructure, which may not be successful; our dependence on reliable and economical sources of power, including regulated electricity rates in Québec (Canada), Pennsylvania and Washington state (United States); our reliance on a limited number of third-party suppliers and manufacturers, including those in foreign jurisdictions, exposing us to supply chain disruptions, trade restrictions, and tariff risks; delays, cost overruns, and other risks associated with the continued development of our existing and planned facilities; intense competition from other Bitcoin mining companies and established HPC data center operators, some of which may have greater resources and experience; the potential inadequacy of our insurance coverage to protect against all losses; our increased focus on developing HPC and AI data centers may not become profitable and may divert resources from our Bitcoin mining operations; the capital-intensive nature of constructing HPC data centers and our potential inability to secure financing for such efforts; significant competition for suitable data center sites and regulatory constraints that could adversely impact our development pipeline; our dependence on significant customers for our HPC data centers, and the risk of customer default or failure to make timely payments; the rapidly evolving regulatory landscape surrounding HPC, AI, and Bitcoin mining, which may negatively impact our expansion efforts; the high volatility of Bitcoin prices, which has significantly affected and will continue to affect the profitability of our operations; periodic Bitcoin halving events that reduce mining rewards and could render our mining operations unprofitable; increases in cryptocurrency network difficulty and global computing power that could reduce our mining revenues; our reliance on a single third-party mining pool operator, subjecting us to concentration risk; fraud or failure of Bitcoin exchanges, custodians, and other trading venues that could adversely impact Bitcoin prices and our business; our requirement to obtain and comply with numerous government permits and approvals across multiple jurisdictions; extensive environmental, energy, and climate-related regulation that could result in significant additional costs or liabilities; political uncertainty in the U.S. and internationally, including potential regulatory and policy changes affecting the cryptocurrency and data center industries; cybersecurity threats and hacking attacks that could compromise our systems and data; the need for additional capital in the future, with no assurance that financing will be available on acceptable terms; risks that our hedging activities may not be effective and could result in significant losses; counterparty risk with respect to the capped call transactions entered into in connection with the convertible notes; potential dilution to shareholders from future issuances of capital stock, conversion of convertible notes, or exercise of options and warrants; and risks related to the U.S. Redomiciliation Transaction, including the possibility that anticipated benefits may not be realized. For further information concerning these and other risks and uncertainties, refer to Keel’s filings with the U.S. Securities and Exchange Commission (“SEC”) at www.sec.gov and under its profile at www.sedarplus.ca, including the Company’s Annual Report on Form 10-K for the fiscal year ended December 31, 2025, and subsequent filings with the SEC. There may be other factors that cause results not to be as anticipated, estimated, or intended, including factors that are currently unknown to or deemed immaterial by Keel. There can be no assurance that such statements will prove to be accurate as actual results, and future events could differ materially from those anticipated in such statements. Accordingly, readers should not place undue reliance on any forward-looking information. Keel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Nasdaq, the Toronto Stock Exchange,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ir@keelinfra.com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Tara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media@keelinfra.com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1)"/>
      <w:numFmt w:val="lowerRoman"/>
      <w:start w:val="6"/>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1)"/>
      <w:numFmt w:val="lowerLetter"/>
      <w:start w:val="2"/>
    </w:lvl>
  </w:abstractNum>
  <w:abstractNum w:abstractNumId="4">
    <w:nsid w:val="100F59DC"/>
    <w:multiLevelType w:val="hybridMultilevel"/>
    <w:lvl w:ilvl="0">
      <w:lvlJc w:val="left"/>
      <w:lvlText w:val="%1"/>
      <w:numFmt w:val="upperLetter"/>
      <w:start w:val="1"/>
    </w:lvl>
    <w:lvl w:ilvl="1">
      <w:lvlJc w:val="left"/>
      <w:lvlText w:val="(%2)"/>
      <w:numFmt w:val="lowerLetter"/>
      <w:start w:val="1"/>
    </w:lvl>
  </w:abstractNum>
  <w:abstractNum w:abstractNumId="5">
    <w:nsid w:val="7FB7E0AA"/>
    <w:multiLevelType w:val="hybridMultilevel"/>
    <w:lvl w:ilvl="0">
      <w:lvlJc w:val="left"/>
      <w:lvlText w:val="(%1)"/>
      <w:numFmt w:val="upperLetter"/>
      <w:start w:val="3"/>
    </w:lvl>
    <w:lvl w:ilvl="1">
      <w:lvlJc w:val="left"/>
      <w:lvlText w:val="(%2)"/>
      <w:numFmt w:val="lowerLetter"/>
      <w:start w:val="3"/>
    </w:lvl>
  </w:abstractNum>
  <w:abstractNum w:abstractNumId="6">
    <w:nsid w:val="6EB5BD4"/>
    <w:multiLevelType w:val="hybridMultilevel"/>
    <w:lvl w:ilvl="0">
      <w:lvlJc w:val="left"/>
      <w:lvlText w:val="(%1)"/>
      <w:numFmt w:val="lowerRoman"/>
      <w:start w:val="10"/>
    </w:lvl>
  </w:abstractNum>
  <w:abstractNum w:abstractNumId="7">
    <w:nsid w:val="6F6DD9AC"/>
    <w:multiLevelType w:val="hybridMultilevel"/>
    <w:lvl w:ilvl="0">
      <w:lvlJc w:val="left"/>
      <w:lvlText w:val="(%1)"/>
      <w:numFmt w:val="lowerLetter"/>
      <w:start w:val="1"/>
    </w:lvl>
  </w:abstractNum>
  <w:abstractNum w:abstractNumId="8">
    <w:nsid w:val="94211F2"/>
    <w:multiLevelType w:val="hybridMultilevel"/>
    <w:lvl w:ilvl="0">
      <w:lvlJc w:val="left"/>
      <w:lvlText w:val="(%1)"/>
      <w:numFmt w:val="lowerRoman"/>
      <w:start w:val="1"/>
    </w:lvl>
  </w:abstractNum>
  <w:abstractNum w:abstractNumId="9">
    <w:nsid w:val="885E1B"/>
    <w:multiLevelType w:val="hybridMultilevel"/>
    <w:lvl w:ilvl="0">
      <w:lvlJc w:val="left"/>
      <w:lvlText w:val="(%1)"/>
      <w:numFmt w:val="lowerLetter"/>
      <w:start w:val="2"/>
    </w:lvl>
    <w:lvl w:ilvl="1">
      <w:lvlJc w:val="left"/>
      <w:lvlText w:val="(%2)"/>
      <w:numFmt w:val="lowerRoman"/>
      <w:start w:val="1"/>
    </w:lvl>
  </w:abstractNum>
  <w:abstractNum w:abstractNumId="10">
    <w:nsid w:val="76272110"/>
    <w:multiLevelType w:val="hybridMultilevel"/>
    <w:lvl w:ilvl="0">
      <w:lvlJc w:val="left"/>
      <w:lvlText w:val="(%1)"/>
      <w:numFmt w:val="lowerRoman"/>
      <w:start w:val="3"/>
    </w:lvl>
  </w:abstractNum>
  <w:abstractNum w:abstractNumId="11">
    <w:nsid w:val="4C04A8AF"/>
    <w:multiLevelType w:val="hybridMultilevel"/>
    <w:lvl w:ilvl="0">
      <w:lvlJc w:val="left"/>
      <w:lvlText w:val="(%1)"/>
      <w:numFmt w:val="lowerLetter"/>
      <w:start w:val="2"/>
    </w:lvl>
  </w:abstractNum>
  <w:abstractNum w:abstractNumId="12">
    <w:nsid w:val="1716703B"/>
    <w:multiLevelType w:val="hybridMultilevel"/>
    <w:lvl w:ilvl="0">
      <w:lvlJc w:val="left"/>
      <w:lvlText w:val="(%1)"/>
      <w:numFmt w:val="lowerLetter"/>
      <w:start w:val="4"/>
    </w:lvl>
  </w:abstractNum>
  <w:abstractNum w:abstractNumId="13">
    <w:nsid w:val="14E17E33"/>
    <w:multiLevelType w:val="hybridMultilevel"/>
    <w:lvl w:ilvl="0">
      <w:lvlJc w:val="left"/>
      <w:lvlText w:val="(%1)"/>
      <w:numFmt w:val="lowerLetter"/>
      <w:start w:val="2"/>
    </w:lvl>
    <w:lvl w:ilvl="1">
      <w:lvlJc w:val="left"/>
      <w:lvlText w:val="(%2)"/>
      <w:numFmt w:val="lowerRoman"/>
      <w:start w:val="1"/>
    </w:lvl>
  </w:abstractNum>
  <w:abstractNum w:abstractNumId="14">
    <w:nsid w:val="3222E7CD"/>
    <w:multiLevelType w:val="hybridMultilevel"/>
    <w:lvl w:ilvl="0">
      <w:lvlJc w:val="left"/>
      <w:lvlText w:val="%1"/>
      <w:numFmt w:val="decimal"/>
      <w:start w:val="1"/>
    </w:lvl>
    <w:lvl w:ilvl="1">
      <w:lvlJc w:val="left"/>
      <w:lvlText w:val="(%2)"/>
      <w:numFmt w:val="lowerLetter"/>
      <w:start w:val="3"/>
    </w:lvl>
  </w:abstractNum>
  <w:abstractNum w:abstractNumId="15">
    <w:nsid w:val="74DE0EE3"/>
    <w:multiLevelType w:val="hybridMultilevel"/>
    <w:lvl w:ilvl="0">
      <w:lvlJc w:val="left"/>
      <w:lvlText w:val="(%1)"/>
      <w:numFmt w:val="decimal"/>
      <w:start w:val="30"/>
    </w:lvl>
    <w:lvl w:ilvl="1">
      <w:lvlJc w:val="left"/>
      <w:lvlText w:val="(%2)"/>
      <w:numFmt w:val="lowerLetter"/>
      <w:start w:val="5"/>
    </w:lvl>
  </w:abstractNum>
  <w:abstractNum w:abstractNumId="16">
    <w:nsid w:val="68EBC550"/>
    <w:multiLevelType w:val="hybridMultilevel"/>
    <w:lvl w:ilvl="0">
      <w:lvlJc w:val="left"/>
      <w:lvlText w:val="(%1)"/>
      <w:numFmt w:val="lowerRoman"/>
      <w:start w:val="1"/>
    </w:lvl>
  </w:abstractNum>
  <w:abstractNum w:abstractNumId="17">
    <w:nsid w:val="2DF6D648"/>
    <w:multiLevelType w:val="hybridMultilevel"/>
    <w:lvl w:ilvl="0">
      <w:lvlJc w:val="left"/>
      <w:lvlText w:val="(%1)"/>
      <w:numFmt w:val="lowerLetter"/>
      <w:start w:val="2"/>
    </w:lvl>
  </w:abstractNum>
  <w:abstractNum w:abstractNumId="18">
    <w:nsid w:val="46B7D447"/>
    <w:multiLevelType w:val="hybridMultilevel"/>
    <w:lvl w:ilvl="0">
      <w:lvlJc w:val="left"/>
      <w:lvlText w:val="(%1)"/>
      <w:numFmt w:val="lowerLetter"/>
      <w:start w:val="3"/>
    </w:lvl>
  </w:abstractNum>
  <w:abstractNum w:abstractNumId="19">
    <w:nsid w:val="4A2AC315"/>
    <w:multiLevelType w:val="hybridMultilevel"/>
    <w:lvl w:ilvl="0">
      <w:lvlJc w:val="left"/>
      <w:lvlText w:val="%1"/>
      <w:numFmt w:val="decimal"/>
      <w:start w:val="1"/>
    </w:lvl>
    <w:lvl w:ilvl="1">
      <w:lvlJc w:val="left"/>
      <w:lvlText w:val="(%2)"/>
      <w:numFmt w:val="lowerLetter"/>
      <w:start w:val="2"/>
    </w:lvl>
  </w:abstractNum>
  <w:abstractNum w:abstractNumId="20">
    <w:nsid w:val="39EE015C"/>
    <w:multiLevelType w:val="hybridMultilevel"/>
    <w:lvl w:ilvl="0">
      <w:lvlJc w:val="left"/>
      <w:lvlText w:val="(%1)"/>
      <w:numFmt w:val="decimal"/>
      <w:start w:val="3"/>
    </w:lvl>
    <w:lvl w:ilvl="1">
      <w:lvlJc w:val="left"/>
      <w:lvlText w:val="%2"/>
      <w:numFmt w:val="lowerLetter"/>
      <w:start w:val="1"/>
    </w:lvl>
  </w:abstractNum>
  <w:abstractNum w:abstractNumId="21">
    <w:nsid w:val="57FC4FBB"/>
    <w:multiLevelType w:val="hybridMultilevel"/>
    <w:lvl w:ilvl="0">
      <w:lvlJc w:val="left"/>
      <w:lvlText w:val="(%1)"/>
      <w:numFmt w:val="decimal"/>
      <w:start w:val="3"/>
    </w:lvl>
    <w:lvl w:ilvl="1">
      <w:lvlJc w:val="left"/>
      <w:lvlText w:val="%2"/>
      <w:numFmt w:val="lowerLetter"/>
      <w:start w:val="1"/>
    </w:lvl>
  </w:abstractNum>
  <w:abstractNum w:abstractNumId="22">
    <w:nsid w:val="CC1016F"/>
    <w:multiLevelType w:val="hybridMultilevel"/>
    <w:lvl w:ilvl="0">
      <w:lvlJc w:val="left"/>
      <w:lvlText w:val="(%1)"/>
      <w:numFmt w:val="lowerLetter"/>
      <w:start w:val="5"/>
    </w:lvl>
  </w:abstractNum>
  <w:abstractNum w:abstractNumId="23">
    <w:nsid w:val="43F18422"/>
    <w:multiLevelType w:val="hybridMultilevel"/>
    <w:lvl w:ilvl="0">
      <w:lvlJc w:val="left"/>
      <w:lvlText w:val="(%1)"/>
      <w:numFmt w:val="lowerLetter"/>
      <w:start w:val="2"/>
    </w:lvl>
  </w:abstractNum>
  <w:abstractNum w:abstractNumId="24">
    <w:nsid w:val="60EF0119"/>
    <w:multiLevelType w:val="hybridMultilevel"/>
    <w:lvl w:ilvl="0">
      <w:lvlJc w:val="left"/>
      <w:lvlText w:val="(%1)"/>
      <w:numFmt w:val="lowerLetter"/>
      <w:start w:val="9"/>
    </w:lvl>
  </w:abstractNum>
  <w:abstractNum w:abstractNumId="25">
    <w:nsid w:val="26F324BA"/>
    <w:multiLevelType w:val="hybridMultilevel"/>
    <w:lvl w:ilvl="0">
      <w:lvlJc w:val="left"/>
      <w:lvlText w:val="(%1)"/>
      <w:numFmt w:val="lowerLetter"/>
      <w:start w:val="2"/>
    </w:lvl>
  </w:abstractNum>
  <w:abstractNum w:abstractNumId="26">
    <w:nsid w:val="7F01579B"/>
    <w:multiLevelType w:val="hybridMultilevel"/>
    <w:lvl w:ilvl="0">
      <w:lvlJc w:val="left"/>
      <w:lvlText w:val="(%1)"/>
      <w:numFmt w:val="lowerLetter"/>
      <w:start w:val="1"/>
    </w:lvl>
  </w:abstractNum>
  <w:abstractNum w:abstractNumId="27">
    <w:nsid w:val="49DA307D"/>
    <w:multiLevelType w:val="hybridMultilevel"/>
    <w:lvl w:ilvl="0">
      <w:lvlJc w:val="left"/>
      <w:lvlText w:val="(%1)"/>
      <w:numFmt w:val="lowerLetter"/>
      <w:start w:val="5"/>
    </w:lvl>
  </w:abstractNum>
  <w:abstractNum w:abstractNumId="28">
    <w:nsid w:val="7055A5F5"/>
    <w:multiLevelType w:val="hybridMultilevel"/>
    <w:lvl w:ilvl="0">
      <w:lvlJc w:val="left"/>
      <w:lvlText w:val="(%1)"/>
      <w:numFmt w:val="lowerLetter"/>
      <w:start w:val="1"/>
    </w:lvl>
    <w:lvl w:ilvl="1">
      <w:lvlJc w:val="left"/>
      <w:lvlText w:val="(%2)"/>
      <w:numFmt w:val="lowerLetter"/>
      <w:start w:val="9"/>
    </w:lvl>
  </w:abstractNum>
  <w:abstractNum w:abstractNumId="29">
    <w:nsid w:val="5FB8370B"/>
    <w:multiLevelType w:val="hybridMultilevel"/>
    <w:lvl w:ilvl="0">
      <w:lvlJc w:val="left"/>
      <w:lvlText w:val="%1"/>
      <w:numFmt w:val="lowerLetter"/>
      <w:start w:val="1"/>
    </w:lvl>
    <w:lvl w:ilvl="1">
      <w:lvlJc w:val="left"/>
      <w:lvlText w:val="(%2)"/>
      <w:numFmt w:val="lowerLetter"/>
      <w:start w:val="35"/>
    </w:lvl>
  </w:abstractNum>
  <w:abstractNum w:abstractNumId="30">
    <w:nsid w:val="50801EE1"/>
    <w:multiLevelType w:val="hybridMultilevel"/>
    <w:lvl w:ilvl="0">
      <w:lvlJc w:val="left"/>
      <w:lvlText w:val="(%1)"/>
      <w:numFmt w:val="lowerLetter"/>
      <w:start w:val="2"/>
    </w:lvl>
    <w:lvl w:ilvl="1">
      <w:lvlJc w:val="left"/>
      <w:lvlText w:val="%2"/>
      <w:numFmt w:val="lowerLetter"/>
      <w:start w:val="1"/>
    </w:lvl>
  </w:abstractNum>
  <w:abstractNum w:abstractNumId="31">
    <w:nsid w:val="488AC1A"/>
    <w:multiLevelType w:val="hybridMultilevel"/>
    <w:lvl w:ilvl="0">
      <w:lvlJc w:val="left"/>
      <w:lvlText w:val="(%1)"/>
      <w:numFmt w:val="lowerRoman"/>
      <w:start w:val="1"/>
    </w:lvl>
  </w:abstractNum>
  <w:abstractNum w:abstractNumId="32">
    <w:nsid w:val="5FB8011C"/>
    <w:multiLevelType w:val="hybridMultilevel"/>
    <w:lvl w:ilvl="0">
      <w:lvlJc w:val="left"/>
      <w:lvlText w:val="(%1)"/>
      <w:numFmt w:val="lowerLetter"/>
      <w:start w:val="1"/>
    </w:lvl>
  </w:abstractNum>
  <w:abstractNum w:abstractNumId="33">
    <w:nsid w:val="6AA78F7F"/>
    <w:multiLevelType w:val="hybridMultilevel"/>
    <w:lvl w:ilvl="0">
      <w:lvlJc w:val="left"/>
      <w:lvlText w:val="(%1)"/>
      <w:numFmt w:val="lowerLetter"/>
      <w:start w:val="6"/>
    </w:lvl>
  </w:abstractNum>
  <w:abstractNum w:abstractNumId="34">
    <w:nsid w:val="7672BD23"/>
    <w:multiLevelType w:val="hybridMultilevel"/>
    <w:lvl w:ilvl="0">
      <w:lvlJc w:val="left"/>
      <w:lvlText w:val="(%1)"/>
      <w:numFmt w:val="lowerLetter"/>
      <w:start w:val="2"/>
    </w:lvl>
    <w:lvl w:ilvl="1">
      <w:lvlJc w:val="left"/>
      <w:lvlText w:val="(%2)"/>
      <w:numFmt w:val="lowerRoman"/>
      <w:start w:val="1"/>
    </w:lvl>
  </w:abstractNum>
  <w:abstractNum w:abstractNumId="35">
    <w:nsid w:val="6FC75AF8"/>
    <w:multiLevelType w:val="hybridMultilevel"/>
    <w:lvl w:ilvl="0">
      <w:lvlJc w:val="left"/>
      <w:lvlText w:val="(%1)"/>
      <w:numFmt w:val="lowerLetter"/>
      <w:start w:val="3"/>
    </w:lvl>
  </w:abstractNum>
  <w:abstractNum w:abstractNumId="36">
    <w:nsid w:val="6A5F7029"/>
    <w:multiLevelType w:val="hybridMultilevel"/>
    <w:lvl w:ilvl="0">
      <w:lvlJc w:val="left"/>
      <w:lvlText w:val="(%1)"/>
      <w:numFmt w:val="lowerLetter"/>
      <w:start w:val="1"/>
    </w:lvl>
  </w:abstractNum>
  <w:abstractNum w:abstractNumId="37">
    <w:nsid w:val="7D5E18F8"/>
    <w:multiLevelType w:val="hybridMultilevel"/>
    <w:lvl w:ilvl="0">
      <w:lvlJc w:val="left"/>
      <w:lvlText w:val="(%1)"/>
      <w:numFmt w:val="lowerLetter"/>
      <w:start w:val="1"/>
    </w:lvl>
  </w:abstractNum>
  <w:abstractNum w:abstractNumId="38">
    <w:nsid w:val="5F3534A4"/>
    <w:multiLevelType w:val="hybridMultilevel"/>
    <w:lvl w:ilvl="0">
      <w:lvlJc w:val="left"/>
      <w:lvlText w:val="(%1)"/>
      <w:numFmt w:val="lowerLetter"/>
      <w:start w:val="5"/>
    </w:lvl>
  </w:abstractNum>
  <w:abstractNum w:abstractNumId="39">
    <w:nsid w:val="73A1821B"/>
    <w:multiLevelType w:val="hybridMultilevel"/>
    <w:lvl w:ilvl="0">
      <w:lvlJc w:val="left"/>
      <w:lvlText w:val="(%1)"/>
      <w:numFmt w:val="lowerLetter"/>
      <w:start w:val="1"/>
    </w:lvl>
  </w:abstractNum>
  <w:abstractNum w:abstractNumId="40">
    <w:nsid w:val="7DE67713"/>
    <w:multiLevelType w:val="hybridMultilevel"/>
    <w:lvl w:ilvl="0">
      <w:lvlJc w:val="left"/>
      <w:lvlText w:val="(%1)"/>
      <w:numFmt w:val="lowerLetter"/>
      <w:start w:val="5"/>
    </w:lvl>
  </w:abstractNum>
  <w:abstractNum w:abstractNumId="41">
    <w:nsid w:val="555C55B5"/>
    <w:multiLevelType w:val="hybridMultilevel"/>
    <w:lvl w:ilvl="0">
      <w:lvlJc w:val="left"/>
      <w:lvlText w:val="(%1)"/>
      <w:numFmt w:val="lowerLetter"/>
      <w:start w:val="1"/>
    </w:lvl>
  </w:abstractNum>
  <w:abstractNum w:abstractNumId="42">
    <w:nsid w:val="3FA62ACA"/>
    <w:multiLevelType w:val="hybridMultilevel"/>
    <w:lvl w:ilvl="0">
      <w:lvlJc w:val="left"/>
      <w:lvlText w:val="(%1)"/>
      <w:numFmt w:val="lowerLetter"/>
      <w:start w:val="1"/>
    </w:lvl>
    <w:lvl w:ilvl="1">
      <w:lvlJc w:val="left"/>
      <w:lvlText w:val="(%2)"/>
      <w:numFmt w:val="lowerRoman"/>
      <w:start w:val="1"/>
    </w:lvl>
  </w:abstractNum>
  <w:abstractNum w:abstractNumId="43">
    <w:nsid w:val="14FCE74E"/>
    <w:multiLevelType w:val="hybridMultilevel"/>
    <w:lvl w:ilvl="0">
      <w:lvlJc w:val="left"/>
      <w:lvlText w:val="(%1)"/>
      <w:numFmt w:val="lowerLetter"/>
      <w:start w:val="2"/>
    </w:lvl>
  </w:abstractNum>
  <w:abstractNum w:abstractNumId="44">
    <w:nsid w:val="6A3DD3E8"/>
    <w:multiLevelType w:val="hybridMultilevel"/>
    <w:lvl w:ilvl="0">
      <w:lvlJc w:val="left"/>
      <w:lvlText w:val="(%1)"/>
      <w:numFmt w:val="lowerLetter"/>
      <w:start w:val="1"/>
    </w:lvl>
  </w:abstractNum>
  <w:abstractNum w:abstractNumId="45">
    <w:nsid w:val="71C91298"/>
    <w:multiLevelType w:val="hybridMultilevel"/>
    <w:lvl w:ilvl="0">
      <w:lvlJc w:val="left"/>
      <w:lvlText w:val="(%1)"/>
      <w:numFmt w:val="lowerLetter"/>
      <w:start w:val="2"/>
    </w:lvl>
  </w:abstractNum>
  <w:abstractNum w:abstractNumId="46">
    <w:nsid w:val="9DAF632"/>
    <w:multiLevelType w:val="hybridMultilevel"/>
    <w:lvl w:ilvl="0">
      <w:lvlJc w:val="left"/>
      <w:lvlText w:val="(%1)"/>
      <w:numFmt w:val="lowerRoman"/>
      <w:start w:val="2"/>
    </w:lvl>
    <w:lvl w:ilvl="1">
      <w:lvlJc w:val="left"/>
      <w:lvlText w:val="(%2)"/>
      <w:numFmt w:val="upperLetter"/>
      <w:start w:val="1"/>
    </w:lvl>
  </w:abstractNum>
  <w:abstractNum w:abstractNumId="47">
    <w:nsid w:val="53299938"/>
    <w:multiLevelType w:val="hybridMultilevel"/>
    <w:lvl w:ilvl="0">
      <w:lvlJc w:val="left"/>
      <w:lvlText w:val="(%1)"/>
      <w:numFmt w:val="lowerRoman"/>
      <w:start w:val="3"/>
    </w:lvl>
  </w:abstractNum>
  <w:abstractNum w:abstractNumId="48">
    <w:nsid w:val="1FBFE8E0"/>
    <w:multiLevelType w:val="hybridMultilevel"/>
    <w:lvl w:ilvl="0">
      <w:lvlJc w:val="left"/>
      <w:lvlText w:val="(%1)"/>
      <w:numFmt w:val="lowerLetter"/>
      <w:start w:val="1"/>
    </w:lvl>
    <w:lvl w:ilvl="1">
      <w:lvlJc w:val="left"/>
      <w:lvlText w:val="(%2)"/>
      <w:numFmt w:val="lowerRoman"/>
      <w:start w:val="1"/>
    </w:lvl>
  </w:abstractNum>
  <w:abstractNum w:abstractNumId="49">
    <w:nsid w:val="5092CA79"/>
    <w:multiLevelType w:val="hybridMultilevel"/>
    <w:lvl w:ilvl="0">
      <w:lvlJc w:val="left"/>
      <w:lvlText w:val="(%1)"/>
      <w:numFmt w:val="lowerRoman"/>
      <w:start w:val="4"/>
    </w:lvl>
    <w:lvl w:ilvl="1">
      <w:lvlJc w:val="left"/>
      <w:lvlText w:val="(%2)"/>
      <w:numFmt w:val="upperLetter"/>
      <w:start w:val="1"/>
    </w:lvl>
  </w:abstractNum>
  <w:abstractNum w:abstractNumId="50">
    <w:nsid w:val="1D545C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51">
    <w:nsid w:val="59ADEA3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2">
    <w:nsid w:val="288F1A3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3">
    <w:nsid w:val="2A155DBC"/>
    <w:multiLevelType w:val="hybridMultilevel"/>
    <w:lvl w:ilvl="0">
      <w:lvlJc w:val="left"/>
      <w:lvlText w:val="(%1)"/>
      <w:numFmt w:val="lowerLetter"/>
      <w:start w:val="3"/>
    </w:lvl>
  </w:abstractNum>
  <w:abstractNum w:abstractNumId="54">
    <w:nsid w:val="1D9F6E5F"/>
    <w:multiLevelType w:val="hybridMultilevel"/>
    <w:lvl w:ilvl="0">
      <w:lvlJc w:val="left"/>
      <w:lvlText w:val="(%1)"/>
      <w:numFmt w:val="lowerLetter"/>
      <w:start w:val="8"/>
    </w:lvl>
  </w:abstractNum>
  <w:abstractNum w:abstractNumId="55">
    <w:nsid w:val="97E1B4E"/>
    <w:multiLevelType w:val="hybridMultilevel"/>
    <w:lvl w:ilvl="0">
      <w:lvlJc w:val="left"/>
      <w:lvlText w:val="(%1)"/>
      <w:numFmt w:val="lowerLetter"/>
      <w:start w:val="2"/>
    </w:lvl>
  </w:abstractNum>
  <w:abstractNum w:abstractNumId="56">
    <w:nsid w:val="51088277"/>
    <w:multiLevelType w:val="hybridMultilevel"/>
    <w:lvl w:ilvl="0">
      <w:lvlJc w:val="left"/>
      <w:lvlText w:val="(%1)"/>
      <w:numFmt w:val="lowerLetter"/>
      <w:start w:val="4"/>
    </w:lvl>
  </w:abstractNum>
  <w:abstractNum w:abstractNumId="57">
    <w:nsid w:val="1CA0C5FA"/>
    <w:multiLevelType w:val="hybridMultilevel"/>
    <w:lvl w:ilvl="0">
      <w:lvlJc w:val="left"/>
      <w:lvlText w:val="(%1)"/>
      <w:numFmt w:val="lowerRoman"/>
      <w:start w:val="1"/>
    </w:lvl>
  </w:abstractNum>
  <w:abstractNum w:abstractNumId="58">
    <w:nsid w:val="53584BCB"/>
    <w:multiLevelType w:val="hybridMultilevel"/>
    <w:lvl w:ilvl="0">
      <w:lvlJc w:val="left"/>
      <w:lvlText w:val="(%1)"/>
      <w:numFmt w:val="lowerLetter"/>
      <w:start w:val="6"/>
    </w:lvl>
  </w:abstractNum>
  <w:abstractNum w:abstractNumId="59">
    <w:nsid w:val="415E286C"/>
    <w:multiLevelType w:val="hybridMultilevel"/>
    <w:lvl w:ilvl="0">
      <w:lvlJc w:val="left"/>
      <w:lvlText w:val="(%1)"/>
      <w:numFmt w:val="lowerLetter"/>
      <w:start w:val="1"/>
    </w:lvl>
  </w:abstractNum>
  <w:abstractNum w:abstractNumId="60">
    <w:nsid w:val="7C58FD05"/>
    <w:multiLevelType w:val="hybridMultilevel"/>
    <w:lvl w:ilvl="0">
      <w:lvlJc w:val="left"/>
      <w:lvlText w:val="(%1)"/>
      <w:numFmt w:val="lowerLetter"/>
      <w:start w:val="2"/>
    </w:lvl>
  </w:abstractNum>
  <w:abstractNum w:abstractNumId="61">
    <w:nsid w:val="23D86AAC"/>
    <w:multiLevelType w:val="hybridMultilevel"/>
    <w:lvl w:ilvl="0">
      <w:lvlJc w:val="left"/>
      <w:lvlText w:val="X"/>
      <w:numFmt w:val="bullet"/>
      <w:start w:val="1"/>
    </w:lvl>
  </w:abstractNum>
  <w:abstractNum w:abstractNumId="62">
    <w:nsid w:val="45E6D486"/>
    <w:multiLevelType w:val="hybridMultilevel"/>
    <w:lvl w:ilvl="0">
      <w:lvlJc w:val="left"/>
      <w:lvlText w:val="Y"/>
      <w:numFmt w:val="bullet"/>
      <w:start w:val="1"/>
    </w:lvl>
  </w:abstractNum>
  <w:abstractNum w:abstractNumId="63">
    <w:nsid w:val="5C10FE21"/>
    <w:multiLevelType w:val="hybridMultilevel"/>
    <w:lvl w:ilvl="0">
      <w:lvlJc w:val="left"/>
      <w:lvlText w:val="(%1)"/>
      <w:numFmt w:val="lowerLetter"/>
      <w:start w:val="3"/>
    </w:lvl>
  </w:abstractNum>
  <w:abstractNum w:abstractNumId="64">
    <w:nsid w:val="E7FFA2B"/>
    <w:multiLevelType w:val="hybridMultilevel"/>
    <w:lvl w:ilvl="0">
      <w:lvlJc w:val="left"/>
      <w:lvlText w:val="(%1)"/>
      <w:numFmt w:val="upperLetter"/>
      <w:start w:val="1"/>
    </w:lvl>
  </w:abstractNum>
  <w:abstractNum w:abstractNumId="65">
    <w:nsid w:val="3C5991AA"/>
    <w:multiLevelType w:val="hybridMultilevel"/>
    <w:lvl w:ilvl="0">
      <w:lvlJc w:val="left"/>
      <w:lvlText w:val="(%1)"/>
      <w:numFmt w:val="lowerLetter"/>
      <w:start w:val="4"/>
    </w:lvl>
  </w:abstractNum>
  <w:abstractNum w:abstractNumId="66">
    <w:nsid w:val="4BD8591A"/>
    <w:multiLevelType w:val="hybridMultilevel"/>
    <w:lvl w:ilvl="0">
      <w:lvlJc w:val="left"/>
      <w:lvlText w:val="C"/>
      <w:numFmt w:val="bullet"/>
      <w:start w:val="1"/>
    </w:lvl>
  </w:abstractNum>
  <w:abstractNum w:abstractNumId="67">
    <w:nsid w:val="78DF6A55"/>
    <w:multiLevelType w:val="hybridMultilevel"/>
    <w:lvl w:ilvl="0">
      <w:lvlJc w:val="left"/>
      <w:lvlText w:val="(%1)"/>
      <w:numFmt w:val="lowerLetter"/>
      <w:start w:val="5"/>
    </w:lvl>
  </w:abstractNum>
  <w:abstractNum w:abstractNumId="68">
    <w:nsid w:val="39B7AAA2"/>
    <w:multiLevelType w:val="hybridMultilevel"/>
    <w:lvl w:ilvl="0">
      <w:lvlJc w:val="left"/>
      <w:lvlText w:val="(%1)"/>
      <w:numFmt w:val="lowerLetter"/>
      <w:start w:val="6"/>
    </w:lvl>
    <w:lvl w:ilvl="1">
      <w:lvlJc w:val="left"/>
      <w:lvlText w:val="(%2)"/>
      <w:numFmt w:val="lowerRoman"/>
      <w:start w:val="1"/>
    </w:lvl>
  </w:abstractNum>
  <w:abstractNum w:abstractNumId="69">
    <w:nsid w:val="2B0D8DBE"/>
    <w:multiLevelType w:val="hybridMultilevel"/>
    <w:lvl w:ilvl="0">
      <w:lvlJc w:val="left"/>
      <w:lvlText w:val="(%1)"/>
      <w:numFmt w:val="lowerLetter"/>
      <w:start w:val="10"/>
    </w:lvl>
  </w:abstractNum>
  <w:abstractNum w:abstractNumId="70">
    <w:nsid w:val="6C80EC70"/>
    <w:multiLevelType w:val="hybridMultilevel"/>
    <w:lvl w:ilvl="0">
      <w:lvlJc w:val="left"/>
      <w:lvlText w:val="(%1)"/>
      <w:numFmt w:val="lowerLetter"/>
      <w:start w:val="1"/>
    </w:lvl>
    <w:lvl w:ilvl="1">
      <w:lvlJc w:val="left"/>
      <w:lvlText w:val="(%2)"/>
      <w:numFmt w:val="lowerRoman"/>
      <w:start w:val="1"/>
    </w:lvl>
  </w:abstractNum>
  <w:abstractNum w:abstractNumId="71">
    <w:nsid w:val="379E21B5"/>
    <w:multiLevelType w:val="hybridMultilevel"/>
    <w:lvl w:ilvl="0">
      <w:lvlJc w:val="left"/>
      <w:lvlText w:val="(%1)"/>
      <w:numFmt w:val="lowerLetter"/>
      <w:start w:val="2"/>
    </w:lvl>
  </w:abstractNum>
  <w:abstractNum w:abstractNumId="72">
    <w:nsid w:val="69E373"/>
    <w:multiLevelType w:val="hybridMultilevel"/>
    <w:lvl w:ilvl="0">
      <w:lvlJc w:val="left"/>
      <w:lvlText w:val="(%1)"/>
      <w:numFmt w:val="lowerLetter"/>
      <w:start w:val="2"/>
    </w:lvl>
  </w:abstractNum>
  <w:abstractNum w:abstractNumId="73">
    <w:nsid w:val="2C27173B"/>
    <w:multiLevelType w:val="hybridMultilevel"/>
    <w:lvl w:ilvl="0">
      <w:lvlJc w:val="left"/>
      <w:lvlText w:val="(%1)"/>
      <w:numFmt w:val="lowerLetter"/>
      <w:start w:val="1"/>
    </w:lvl>
    <w:lvl w:ilvl="1">
      <w:lvlJc w:val="left"/>
      <w:lvlText w:val="(%2)"/>
      <w:numFmt w:val="lowerRoman"/>
      <w:start w:val="1"/>
    </w:lvl>
  </w:abstractNum>
  <w:abstractNum w:abstractNumId="74">
    <w:nsid w:val="4C9B0904"/>
    <w:multiLevelType w:val="hybridMultilevel"/>
    <w:lvl w:ilvl="0">
      <w:lvlJc w:val="left"/>
      <w:lvlText w:val="(%1)"/>
      <w:numFmt w:val="lowerRoman"/>
      <w:start w:val="1"/>
    </w:lvl>
  </w:abstractNum>
  <w:abstractNum w:abstractNumId="75">
    <w:nsid w:val="6AA7B75C"/>
    <w:multiLevelType w:val="hybridMultilevel"/>
    <w:lvl w:ilvl="0">
      <w:lvlJc w:val="left"/>
      <w:lvlText w:val="(%1)"/>
      <w:numFmt w:val="lowerLetter"/>
      <w:start w:val="3"/>
    </w:lvl>
    <w:lvl w:ilvl="1">
      <w:lvlJc w:val="left"/>
      <w:lvlText w:val="(%2)"/>
      <w:numFmt w:val="lowerRoman"/>
      <w:start w:val="1"/>
    </w:lvl>
  </w:abstractNum>
  <w:abstractNum w:abstractNumId="76">
    <w:nsid w:val="1DF029D3"/>
    <w:multiLevelType w:val="hybridMultilevel"/>
    <w:lvl w:ilvl="0">
      <w:lvlJc w:val="left"/>
      <w:lvlText w:val="(%1)"/>
      <w:numFmt w:val="lowerRoman"/>
      <w:start w:val="3"/>
    </w:lvl>
  </w:abstractNum>
  <w:abstractNum w:abstractNumId="77">
    <w:nsid w:val="5675FF36"/>
    <w:multiLevelType w:val="hybridMultilevel"/>
    <w:lvl w:ilvl="0">
      <w:lvlJc w:val="left"/>
      <w:lvlText w:val="(%1)"/>
      <w:numFmt w:val="lowerLetter"/>
      <w:start w:val="4"/>
    </w:lvl>
  </w:abstractNum>
  <w:abstractNum w:abstractNumId="78">
    <w:nsid w:val="3DD15094"/>
    <w:multiLevelType w:val="hybridMultilevel"/>
    <w:lvl w:ilvl="0">
      <w:lvlJc w:val="left"/>
      <w:lvlText w:val="(%1)"/>
      <w:numFmt w:val="lowerRoman"/>
      <w:start w:val="1"/>
    </w:lvl>
  </w:abstractNum>
  <w:abstractNum w:abstractNumId="79">
    <w:nsid w:val="3DB012B3"/>
    <w:multiLevelType w:val="hybridMultilevel"/>
    <w:lvl w:ilvl="0">
      <w:lvlJc w:val="left"/>
      <w:lvlText w:val="(%1)"/>
      <w:numFmt w:val="lowerLetter"/>
      <w:start w:val="2"/>
    </w:lvl>
  </w:abstractNum>
  <w:abstractNum w:abstractNumId="80">
    <w:nsid w:val="2708C9AF"/>
    <w:multiLevelType w:val="hybridMultilevel"/>
    <w:lvl w:ilvl="0">
      <w:lvlJc w:val="left"/>
      <w:lvlText w:val="(%1)"/>
      <w:numFmt w:val="lowerLetter"/>
      <w:start w:val="3"/>
    </w:lvl>
  </w:abstractNum>
  <w:abstractNum w:abstractNumId="81">
    <w:nsid w:val="5B25ACE2"/>
    <w:multiLevelType w:val="hybridMultilevel"/>
    <w:lvl w:ilvl="0">
      <w:lvlJc w:val="left"/>
      <w:lvlText w:val="(%1)"/>
      <w:numFmt w:val="lowerLetter"/>
      <w:start w:val="1"/>
    </w:lvl>
  </w:abstractNum>
  <w:abstractNum w:abstractNumId="82">
    <w:nsid w:val="175DFCF0"/>
    <w:multiLevelType w:val="hybridMultilevel"/>
    <w:lvl w:ilvl="0">
      <w:lvlJc w:val="left"/>
      <w:lvlText w:val="(%1)"/>
      <w:numFmt w:val="decimal"/>
      <w:start w:val="15"/>
    </w:lvl>
    <w:lvl w:ilvl="1">
      <w:lvlJc w:val="left"/>
      <w:lvlText w:val="(%2)"/>
      <w:numFmt w:val="lowerLetter"/>
      <w:start w:val="2"/>
    </w:lvl>
    <w:lvl w:ilvl="2">
      <w:lvlJc w:val="left"/>
      <w:lvlText w:val="(%3)"/>
      <w:numFmt w:val="lowerRoman"/>
      <w:start w:val="1"/>
    </w:lvl>
  </w:abstractNum>
  <w:abstractNum w:abstractNumId="83">
    <w:nsid w:val="4F97E3E4"/>
    <w:multiLevelType w:val="hybridMultilevel"/>
    <w:lvl w:ilvl="0">
      <w:lvlJc w:val="left"/>
      <w:lvlText w:val="(%1)"/>
      <w:numFmt w:val="lowerRoman"/>
      <w:start w:val="8"/>
    </w:lvl>
  </w:abstractNum>
  <w:abstractNum w:abstractNumId="84">
    <w:nsid w:val="53B0A9E"/>
    <w:multiLevelType w:val="hybridMultilevel"/>
    <w:lvl w:ilvl="0">
      <w:lvlJc w:val="left"/>
      <w:lvlText w:val="(%1)"/>
      <w:numFmt w:val="lowerLetter"/>
      <w:start w:val="4"/>
    </w:lvl>
  </w:abstractNum>
  <w:abstractNum w:abstractNumId="85">
    <w:nsid w:val="34FD6B4F"/>
    <w:multiLevelType w:val="hybridMultilevel"/>
    <w:lvl w:ilvl="0">
      <w:lvlJc w:val="left"/>
      <w:lvlText w:val="(%1)"/>
      <w:numFmt w:val="lowerLetter"/>
      <w:start w:val="2"/>
    </w:lvl>
  </w:abstractNum>
  <w:abstractNum w:abstractNumId="86">
    <w:nsid w:val="5915FF32"/>
    <w:multiLevelType w:val="hybridMultilevel"/>
    <w:lvl w:ilvl="0">
      <w:lvlJc w:val="left"/>
      <w:lvlText w:val="(%1)"/>
      <w:numFmt w:val="lowerLetter"/>
      <w:start w:val="1"/>
    </w:lvl>
  </w:abstractNum>
  <w:abstractNum w:abstractNumId="87">
    <w:nsid w:val="56438D15"/>
    <w:multiLevelType w:val="hybridMultilevel"/>
    <w:lvl w:ilvl="0">
      <w:lvlJc w:val="left"/>
      <w:lvlText w:val="(%1)"/>
      <w:numFmt w:val="lowerLetter"/>
      <w:start w:val="2"/>
    </w:lvl>
  </w:abstractNum>
  <w:abstractNum w:abstractNumId="88">
    <w:nsid w:val="519E3149"/>
    <w:multiLevelType w:val="hybridMultilevel"/>
    <w:lvl w:ilvl="0">
      <w:lvlJc w:val="left"/>
      <w:lvlText w:val="(%1)"/>
      <w:numFmt w:val="lowerLetter"/>
      <w:start w:val="1"/>
    </w:lvl>
    <w:lvl w:ilvl="1">
      <w:lvlJc w:val="left"/>
      <w:lvlText w:val="(%2)"/>
      <w:numFmt w:val="lowerLetter"/>
      <w:start w:val="9"/>
    </w:lvl>
  </w:abstractNum>
  <w:abstractNum w:abstractNumId="89">
    <w:nsid w:val="2C6E4AFD"/>
    <w:multiLevelType w:val="hybridMultilevel"/>
    <w:lvl w:ilvl="0">
      <w:lvlJc w:val="left"/>
      <w:lvlText w:val="1"/>
      <w:numFmt w:val="bullet"/>
      <w:start w:val="1"/>
    </w:lvl>
  </w:abstractNum>
  <w:abstractNum w:abstractNumId="90">
    <w:nsid w:val="17A1B582"/>
    <w:multiLevelType w:val="hybridMultilevel"/>
    <w:lvl w:ilvl="0">
      <w:lvlJc w:val="left"/>
      <w:lvlText w:val="(%1)"/>
      <w:numFmt w:val="lowerRoman"/>
      <w:start w:val="2"/>
    </w:lvl>
    <w:lvl w:ilvl="1">
      <w:lvlJc w:val="left"/>
      <w:lvlText w:val="(%2)"/>
      <w:numFmt w:val="upperLetter"/>
      <w:start w:val="1"/>
    </w:lvl>
  </w:abstractNum>
  <w:abstractNum w:abstractNumId="91">
    <w:nsid w:val="4DF72E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92">
    <w:nsid w:val="5046B5A9"/>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93">
    <w:nsid w:val="5D888A08"/>
    <w:multiLevelType w:val="hybridMultilevel"/>
    <w:lvl w:ilvl="0">
      <w:lvlJc w:val="left"/>
      <w:lvlText w:val="(%1)"/>
      <w:numFmt w:val="lowerLetter"/>
      <w:start w:val="1"/>
    </w:lvl>
    <w:lvl w:ilvl="1">
      <w:lvlJc w:val="left"/>
      <w:lvlText w:val="(%2)"/>
      <w:numFmt w:val="lowerRoman"/>
      <w:start w:val="1"/>
    </w:lvl>
  </w:abstractNum>
  <w:abstractNum w:abstractNumId="94">
    <w:nsid w:val="2A082C70"/>
    <w:multiLevelType w:val="hybridMultilevel"/>
    <w:lvl w:ilvl="0">
      <w:lvlJc w:val="left"/>
      <w:lvlText w:val="2"/>
      <w:numFmt w:val="bullet"/>
      <w:start w:val="1"/>
    </w:lvl>
  </w:abstractNum>
  <w:abstractNum w:abstractNumId="95">
    <w:nsid w:val="5EC6AFD4"/>
    <w:multiLevelType w:val="hybridMultilevel"/>
    <w:lvl w:ilvl="0">
      <w:lvlJc w:val="left"/>
      <w:lvlText w:val="(%1)"/>
      <w:numFmt w:val="lowerLetter"/>
      <w:start w:val="2"/>
    </w:lvl>
    <w:lvl w:ilvl="1">
      <w:lvlJc w:val="left"/>
      <w:lvlText w:val="(%2)"/>
      <w:numFmt w:val="lowerLetter"/>
      <w:start w:val="9"/>
    </w:lvl>
  </w:abstractNum>
  <w:abstractNum w:abstractNumId="96">
    <w:nsid w:val="19E21BB2"/>
    <w:multiLevelType w:val="hybridMultilevel"/>
    <w:lvl w:ilvl="0">
      <w:lvlJc w:val="left"/>
      <w:lvlText w:val="3"/>
      <w:numFmt w:val="bullet"/>
      <w:start w:val="1"/>
    </w:lvl>
  </w:abstractNum>
  <w:abstractNum w:abstractNumId="97">
    <w:nsid w:val="75E0858A"/>
    <w:multiLevelType w:val="hybridMultilevel"/>
    <w:lvl w:ilvl="0">
      <w:lvlJc w:val="left"/>
      <w:lvlText w:val="4"/>
      <w:numFmt w:val="bullet"/>
      <w:start w:val="1"/>
    </w:lvl>
  </w:abstractNum>
  <w:abstractNum w:abstractNumId="98">
    <w:nsid w:val="57A61A29"/>
    <w:multiLevelType w:val="hybridMultilevel"/>
    <w:lvl w:ilvl="0">
      <w:lvlJc w:val="left"/>
      <w:lvlText w:val="5"/>
      <w:numFmt w:val="bullet"/>
      <w:start w:val="1"/>
    </w:lvl>
  </w:abstractNum>
  <w:abstractNum w:abstractNumId="99">
    <w:nsid w:val="5399C654"/>
    <w:multiLevelType w:val="hybridMultilevel"/>
    <w:lvl w:ilvl="0">
      <w:lvlJc w:val="left"/>
      <w:lvlText w:val="6"/>
      <w:numFmt w:val="bullet"/>
      <w:start w:val="1"/>
    </w:lvl>
  </w:abstractNum>
  <w:abstractNum w:abstractNumId="100">
    <w:nsid w:val="20EE1348"/>
    <w:multiLevelType w:val="hybridMultilevel"/>
    <w:lvl w:ilvl="0">
      <w:lvlJc w:val="left"/>
      <w:lvlText w:val="7"/>
      <w:numFmt w:val="bullet"/>
      <w:start w:val="1"/>
    </w:lvl>
  </w:abstractNum>
  <w:abstractNum w:abstractNumId="101">
    <w:nsid w:val="4427069A"/>
    <w:multiLevelType w:val="hybridMultilevel"/>
    <w:lvl w:ilvl="0">
      <w:lvlJc w:val="left"/>
      <w:lvlText w:val="8"/>
      <w:numFmt w:val="bullet"/>
      <w:start w:val="1"/>
    </w:lvl>
  </w:abstractNum>
  <w:abstractNum w:abstractNumId="102">
    <w:nsid w:val="B37E80A"/>
    <w:multiLevelType w:val="hybridMultilevel"/>
    <w:lvl w:ilvl="0">
      <w:lvlJc w:val="left"/>
      <w:lvlText w:val="9"/>
      <w:numFmt w:val="bullet"/>
      <w:start w:val="1"/>
    </w:lvl>
  </w:abstractNum>
  <w:abstractNum w:abstractNumId="103">
    <w:nsid w:val="2157F6BC"/>
    <w:multiLevelType w:val="hybridMultilevel"/>
    <w:lvl w:ilvl="0">
      <w:lvlJc w:val="left"/>
      <w:lvlText w:val="%1."/>
      <w:numFmt w:val="decimal"/>
      <w:start w:val="1"/>
    </w:lvl>
  </w:abstractNum>
  <w:abstractNum w:abstractNumId="104">
    <w:nsid w:val="704E1DD5"/>
    <w:multiLevelType w:val="hybridMultilevel"/>
    <w:lvl w:ilvl="0">
      <w:lvlJc w:val="left"/>
      <w:lvlText w:val="%1"/>
      <w:numFmt w:val="decimal"/>
      <w:start w:val="120"/>
    </w:lvl>
  </w:abstractNum>
  <w:abstractNum w:abstractNumId="105">
    <w:nsid w:val="57D2F10E"/>
    <w:multiLevelType w:val="hybridMultilevel"/>
    <w:lvl w:ilvl="0">
      <w:lvlJc w:val="left"/>
      <w:lvlText w:val="1"/>
      <w:numFmt w:val="bullet"/>
      <w:start w:val="1"/>
    </w:lvl>
  </w:abstractNum>
  <w:abstractNum w:abstractNumId="106">
    <w:nsid w:val="BFFAE18"/>
    <w:multiLevelType w:val="hybridMultilevel"/>
    <w:lvl w:ilvl="0">
      <w:lvlJc w:val="left"/>
      <w:lvlText w:val="2"/>
      <w:numFmt w:val="bullet"/>
      <w:start w:val="1"/>
    </w:lvl>
  </w:abstractNum>
  <w:abstractNum w:abstractNumId="107">
    <w:nsid w:val="E3E47A8"/>
    <w:multiLevelType w:val="hybridMultilevel"/>
    <w:lvl w:ilvl="0">
      <w:lvlJc w:val="left"/>
      <w:lvlText w:val="3"/>
      <w:numFmt w:val="bullet"/>
      <w:start w:val="1"/>
    </w:lvl>
  </w:abstractNum>
  <w:abstractNum w:abstractNumId="108">
    <w:nsid w:val="2E48F044"/>
    <w:multiLevelType w:val="hybridMultilevel"/>
    <w:lvl w:ilvl="0">
      <w:lvlJc w:val="left"/>
      <w:lvlText w:val="4"/>
      <w:numFmt w:val="bullet"/>
      <w:start w:val="1"/>
    </w:lvl>
  </w:abstractNum>
  <w:abstractNum w:abstractNumId="109">
    <w:nsid w:val="49D0FEAC"/>
    <w:multiLevelType w:val="hybridMultilevel"/>
    <w:lvl w:ilvl="0">
      <w:lvlJc w:val="left"/>
      <w:lvlText w:val="5"/>
      <w:numFmt w:val="bullet"/>
      <w:start w:val="1"/>
    </w:lvl>
  </w:abstractNum>
  <w:abstractNum w:abstractNumId="110">
    <w:nsid w:val="4BEE5A5B"/>
    <w:multiLevelType w:val="hybridMultilevel"/>
    <w:lvl w:ilvl="0">
      <w:lvlJc w:val="left"/>
      <w:lvlText w:val="6"/>
      <w:numFmt w:val="bullet"/>
      <w:start w:val="1"/>
    </w:lvl>
  </w:abstractNum>
  <w:abstractNum w:abstractNumId="111">
    <w:nsid w:val="5551B9F3"/>
    <w:multiLevelType w:val="hybridMultilevel"/>
    <w:lvl w:ilvl="0">
      <w:lvlJc w:val="left"/>
      <w:lvlText w:val="7"/>
      <w:numFmt w:val="bullet"/>
      <w:start w:val="1"/>
    </w:lvl>
  </w:abstractNum>
  <w:abstractNum w:abstractNumId="112">
    <w:nsid w:val="24F6AB8E"/>
    <w:multiLevelType w:val="hybridMultilevel"/>
    <w:lvl w:ilvl="0">
      <w:lvlJc w:val="left"/>
      <w:lvlText w:val="8"/>
      <w:numFmt w:val="bullet"/>
      <w:start w:val="1"/>
    </w:lvl>
  </w:abstractNum>
  <w:abstractNum w:abstractNumId="113">
    <w:nsid w:val="634C574C"/>
    <w:multiLevelType w:val="hybridMultilevel"/>
    <w:lvl w:ilvl="0">
      <w:lvlJc w:val="left"/>
      <w:lvlText w:val="9"/>
      <w:numFmt w:val="bullet"/>
      <w:start w:val="1"/>
    </w:lvl>
  </w:abstractNum>
  <w:abstractNum w:abstractNumId="114">
    <w:nsid w:val="24E99DD7"/>
    <w:multiLevelType w:val="hybridMultilevel"/>
    <w:lvl w:ilvl="0">
      <w:lvlJc w:val="left"/>
      <w:lvlText w:val="%1"/>
      <w:numFmt w:val="decimal"/>
      <w:start w:val="10"/>
    </w:lvl>
  </w:abstractNum>
  <w:abstractNum w:abstractNumId="115">
    <w:nsid w:val="2A31B62D"/>
    <w:multiLevelType w:val="hybridMultilevel"/>
    <w:lvl w:ilvl="0">
      <w:lvlJc w:val="left"/>
      <w:lvlText w:val="%1."/>
      <w:numFmt w:val="decimal"/>
      <w:start w:val="1"/>
    </w:lvl>
  </w:abstractNum>
  <w:abstractNum w:abstractNumId="116">
    <w:nsid w:val="1849C29B"/>
    <w:multiLevelType w:val="hybridMultilevel"/>
    <w:lvl w:ilvl="0">
      <w:lvlJc w:val="left"/>
      <w:lvlText w:val="%1"/>
      <w:numFmt w:val="decimal"/>
      <w:start w:val="11"/>
    </w:lvl>
  </w:abstractNum>
  <w:abstractNum w:abstractNumId="117">
    <w:nsid w:val="7DFF9D09"/>
    <w:multiLevelType w:val="hybridMultilevel"/>
    <w:lvl w:ilvl="0">
      <w:lvlJc w:val="left"/>
      <w:lvlText w:val="%1"/>
      <w:numFmt w:val="decimal"/>
      <w:start w:val="12"/>
    </w:lvl>
  </w:abstractNum>
  <w:abstractNum w:abstractNumId="118">
    <w:nsid w:val="754342"/>
    <w:multiLevelType w:val="hybridMultilevel"/>
    <w:lvl w:ilvl="0">
      <w:lvlJc w:val="left"/>
      <w:lvlText w:val="%1"/>
      <w:numFmt w:val="decimal"/>
      <w:start w:val="15"/>
    </w:lvl>
  </w:abstractNum>
  <w:abstractNum w:abstractNumId="119">
    <w:nsid w:val="69E7F3E5"/>
    <w:multiLevelType w:val="hybridMultilevel"/>
    <w:lvl w:ilvl="0">
      <w:lvlJc w:val="left"/>
      <w:lvlText w:val="%1"/>
      <w:numFmt w:val="decimal"/>
      <w:start w:val="18"/>
    </w:lvl>
  </w:abstractNum>
  <w:abstractNum w:abstractNumId="120">
    <w:nsid w:val="2A6DE806"/>
    <w:multiLevelType w:val="hybridMultilevel"/>
    <w:lvl w:ilvl="0">
      <w:lvlJc w:val="left"/>
      <w:lvlText w:val="%1."/>
      <w:numFmt w:val="decimal"/>
      <w:start w:val="3"/>
    </w:lvl>
  </w:abstractNum>
  <w:abstractNum w:abstractNumId="121">
    <w:nsid w:val="1816F8C4"/>
    <w:multiLevelType w:val="hybridMultilevel"/>
    <w:lvl w:ilvl="0">
      <w:lvlJc w:val="left"/>
      <w:lvlText w:val="%1"/>
      <w:numFmt w:val="decimal"/>
      <w:start w:val="20"/>
    </w:lvl>
  </w:abstractNum>
  <w:abstractNum w:abstractNumId="122">
    <w:nsid w:val="37DF2233"/>
    <w:multiLevelType w:val="hybridMultilevel"/>
    <w:lvl w:ilvl="0">
      <w:lvlJc w:val="left"/>
      <w:lvlText w:val="(%1)"/>
      <w:numFmt w:val="lowerRoman"/>
      <w:start w:val="1"/>
    </w:lvl>
  </w:abstractNum>
  <w:abstractNum w:abstractNumId="123">
    <w:nsid w:val="7AB49DAF"/>
    <w:multiLevelType w:val="hybridMultilevel"/>
    <w:lvl w:ilvl="0">
      <w:lvlJc w:val="left"/>
      <w:lvlText w:val="%1"/>
      <w:numFmt w:val="decimal"/>
      <w:start w:val="22"/>
    </w:lvl>
  </w:abstractNum>
  <w:abstractNum w:abstractNumId="124">
    <w:nsid w:val="759F82CD"/>
    <w:multiLevelType w:val="hybridMultilevel"/>
    <w:lvl w:ilvl="0">
      <w:lvlJc w:val="left"/>
      <w:lvlText w:val="(%1)"/>
      <w:numFmt w:val="lowerLetter"/>
      <w:start w:val="61"/>
    </w:lvl>
    <w:lvl w:ilvl="1">
      <w:lvlJc w:val="left"/>
      <w:lvlText w:val="(%2)"/>
      <w:numFmt w:val="lowerLetter"/>
      <w:start w:val="2"/>
    </w:lvl>
  </w:abstractNum>
  <w:abstractNum w:abstractNumId="125">
    <w:nsid w:val="61E74EA3"/>
    <w:multiLevelType w:val="hybridMultilevel"/>
    <w:lvl w:ilvl="0">
      <w:lvlJc w:val="left"/>
      <w:lvlText w:val="%1"/>
      <w:numFmt w:val="decimal"/>
      <w:start w:val="28"/>
    </w:lvl>
  </w:abstractNum>
  <w:abstractNum w:abstractNumId="126">
    <w:nsid w:val="597B4D84"/>
    <w:multiLevelType w:val="hybridMultilevel"/>
    <w:lvl w:ilvl="0">
      <w:lvlJc w:val="left"/>
      <w:lvlText w:val="(%1)"/>
      <w:numFmt w:val="lowerRoman"/>
      <w:start w:val="10"/>
    </w:lvl>
  </w:abstractNum>
  <w:abstractNum w:abstractNumId="127">
    <w:nsid w:val="F819E7F"/>
    <w:multiLevelType w:val="hybridMultilevel"/>
    <w:lvl w:ilvl="0">
      <w:lvlJc w:val="left"/>
      <w:lvlText w:val="%1."/>
      <w:numFmt w:val="decimal"/>
      <w:start w:val="5"/>
    </w:lvl>
    <w:lvl w:ilvl="1">
      <w:lvlJc w:val="left"/>
      <w:lvlText w:val="(%2)"/>
      <w:numFmt w:val="lowerLetter"/>
      <w:start w:val="1"/>
    </w:lvl>
  </w:abstractNum>
  <w:abstractNum w:abstractNumId="128">
    <w:nsid w:val="57C7D42D"/>
    <w:multiLevelType w:val="hybridMultilevel"/>
    <w:lvl w:ilvl="0">
      <w:lvlJc w:val="left"/>
      <w:lvlText w:val="(%1)"/>
      <w:numFmt w:val="lowerLetter"/>
      <w:start w:val="3"/>
    </w:lvl>
  </w:abstractNum>
  <w:abstractNum w:abstractNumId="129">
    <w:nsid w:val="312167AD"/>
    <w:multiLevelType w:val="hybridMultilevel"/>
    <w:lvl w:ilvl="0">
      <w:lvlJc w:val="left"/>
      <w:lvlText w:val="%1"/>
      <w:numFmt w:val="decimal"/>
      <w:start w:val="1"/>
    </w:lvl>
    <w:lvl w:ilvl="1">
      <w:lvlJc w:val="left"/>
      <w:lvlText w:val="(%2)"/>
      <w:numFmt w:val="lowerLetter"/>
      <w:start w:val="12"/>
    </w:lvl>
  </w:abstractNum>
  <w:abstractNum w:abstractNumId="130">
    <w:nsid w:val="631B64D4"/>
    <w:multiLevelType w:val="hybridMultilevel"/>
    <w:lvl w:ilvl="0">
      <w:lvlJc w:val="left"/>
      <w:lvlText w:val="%1."/>
      <w:numFmt w:val="decimal"/>
      <w:start w:val="9"/>
    </w:lvl>
    <w:lvl w:ilvl="1">
      <w:lvlJc w:val="left"/>
      <w:lvlText w:val="(%2)"/>
      <w:numFmt w:val="lowerLetter"/>
      <w:start w:val="1"/>
    </w:lvl>
  </w:abstractNum>
  <w:abstractNum w:abstractNumId="131">
    <w:nsid w:val="78B5E776"/>
    <w:multiLevelType w:val="hybridMultilevel"/>
    <w:lvl w:ilvl="0">
      <w:lvlJc w:val="left"/>
      <w:lvlText w:val="%1"/>
      <w:numFmt w:val="decimal"/>
      <w:start w:val="32"/>
    </w:lvl>
  </w:abstractNum>
  <w:abstractNum w:abstractNumId="132">
    <w:nsid w:val="75486E4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3">
    <w:nsid w:val="6E534CDE"/>
    <w:multiLevelType w:val="hybridMultilevel"/>
    <w:lvl w:ilvl="0">
      <w:lvlJc w:val="left"/>
      <w:lvlText w:val="(%1)"/>
      <w:numFmt w:val="upperLetter"/>
      <w:start w:val="4"/>
    </w:lvl>
  </w:abstractNum>
  <w:abstractNum w:abstractNumId="134">
    <w:nsid w:val="1A0DDE32"/>
    <w:multiLevelType w:val="hybridMultilevel"/>
    <w:lvl w:ilvl="0">
      <w:lvlJc w:val="left"/>
      <w:lvlText w:val="(%1)"/>
      <w:numFmt w:val="lowerRoman"/>
      <w:start w:val="2"/>
    </w:lvl>
    <w:lvl w:ilvl="1">
      <w:lvlJc w:val="left"/>
      <w:lvlText w:val="(%2)"/>
      <w:numFmt w:val="decimal"/>
      <w:start w:val="2"/>
    </w:lvl>
  </w:abstractNum>
  <w:abstractNum w:abstractNumId="135">
    <w:nsid w:val="65968C1C"/>
    <w:multiLevelType w:val="hybridMultilevel"/>
    <w:lvl w:ilvl="0">
      <w:lvlJc w:val="left"/>
      <w:lvlText w:val="%1"/>
      <w:numFmt w:val="lowerLetter"/>
      <w:start w:val="1"/>
    </w:lvl>
    <w:lvl w:ilvl="1">
      <w:lvlJc w:val="left"/>
      <w:lvlText w:val="(%2)"/>
      <w:numFmt w:val="lowerLetter"/>
      <w:start w:val="61"/>
    </w:lvl>
  </w:abstractNum>
  <w:abstractNum w:abstractNumId="136">
    <w:nsid w:val="46263DEC"/>
    <w:multiLevelType w:val="hybridMultilevel"/>
    <w:lvl w:ilvl="0">
      <w:lvlJc w:val="left"/>
      <w:lvlText w:val="(%1)"/>
      <w:numFmt w:val="lowerLetter"/>
      <w:start w:val="6"/>
    </w:lvl>
    <w:lvl w:ilvl="1">
      <w:lvlJc w:val="left"/>
      <w:lvlText w:val="(%2)"/>
      <w:numFmt w:val="lowerLetter"/>
      <w:start w:val="9"/>
    </w:lvl>
  </w:abstractNum>
  <w:abstractNum w:abstractNumId="137">
    <w:nsid w:val="260D8C4A"/>
    <w:multiLevelType w:val="hybridMultilevel"/>
    <w:lvl w:ilvl="0">
      <w:lvlJc w:val="left"/>
      <w:lvlText w:val="%1"/>
      <w:numFmt w:val="lowerLetter"/>
      <w:start w:val="1"/>
    </w:lvl>
    <w:lvl w:ilvl="1">
      <w:lvlJc w:val="left"/>
      <w:lvlText w:val="(%2)"/>
      <w:numFmt w:val="lowerLetter"/>
      <w:start w:val="35"/>
    </w:lvl>
  </w:abstractNum>
  <w:abstractNum w:abstractNumId="138">
    <w:nsid w:val="73D4D3C4"/>
    <w:multiLevelType w:val="hybridMultilevel"/>
    <w:lvl w:ilvl="0">
      <w:lvlJc w:val="left"/>
      <w:lvlText w:val="(%1)"/>
      <w:numFmt w:val="lowerLetter"/>
      <w:start w:val="7"/>
    </w:lvl>
    <w:lvl w:ilvl="1">
      <w:lvlJc w:val="left"/>
      <w:lvlText w:val="%2"/>
      <w:numFmt w:val="lowerLetter"/>
      <w:start w:val="1"/>
    </w:lvl>
  </w:abstractNum>
  <w:abstractNum w:abstractNumId="139">
    <w:nsid w:val="746F2E30"/>
    <w:multiLevelType w:val="hybridMultilevel"/>
    <w:lvl w:ilvl="0">
      <w:lvlJc w:val="left"/>
      <w:lvlText w:val="(%1)"/>
      <w:numFmt w:val="lowerLetter"/>
      <w:start w:val="9"/>
    </w:lvl>
    <w:lvl w:ilvl="1">
      <w:lvlJc w:val="left"/>
      <w:lvlText w:val="(%2)"/>
      <w:numFmt w:val="lowerLetter"/>
      <w:start w:val="34"/>
    </w:lvl>
    <w:lvl w:ilvl="2">
      <w:lvlJc w:val="left"/>
      <w:lvlText w:val="(%3)"/>
      <w:numFmt w:val="lowerLetter"/>
      <w:start w:val="9"/>
    </w:lvl>
    <w:lvl w:ilvl="3">
      <w:lvlJc w:val="left"/>
      <w:lvlText w:val="(%4)"/>
      <w:numFmt w:val="upperLetter"/>
      <w:start w:val="1"/>
    </w:lvl>
  </w:abstractNum>
  <w:abstractNum w:abstractNumId="140">
    <w:nsid w:val="6FDE8AF6"/>
    <w:multiLevelType w:val="hybridMultilevel"/>
    <w:lvl w:ilvl="0">
      <w:lvlJc w:val="left"/>
      <w:lvlText w:val="%1"/>
      <w:numFmt w:val="decimal"/>
      <w:start w:val="34"/>
    </w:lvl>
  </w:abstractNum>
  <w:abstractNum w:abstractNumId="141">
    <w:nsid w:val="3FC32E20"/>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4"/>
    </w:lvl>
  </w:abstractNum>
  <w:abstractNum w:abstractNumId="142">
    <w:nsid w:val="49C0E823"/>
    <w:multiLevelType w:val="hybridMultilevel"/>
    <w:lvl w:ilvl="0">
      <w:lvlJc w:val="left"/>
      <w:lvlText w:val="(%1)"/>
      <w:numFmt w:val="lowerLetter"/>
      <w:start w:val="10"/>
    </w:lvl>
    <w:lvl w:ilvl="1">
      <w:lvlJc w:val="left"/>
      <w:lvlText w:val="(%2)"/>
      <w:numFmt w:val="lowerLetter"/>
      <w:start w:val="9"/>
    </w:lvl>
    <w:lvl w:ilvl="2">
      <w:lvlJc w:val="left"/>
      <w:lvlText w:val="%3"/>
      <w:numFmt w:val="decimal"/>
      <w:start w:val="1"/>
    </w:lvl>
  </w:abstractNum>
  <w:abstractNum w:abstractNumId="143">
    <w:nsid w:val="14D53685"/>
    <w:multiLevelType w:val="hybridMultilevel"/>
    <w:lvl w:ilvl="0">
      <w:lvlJc w:val="left"/>
      <w:lvlText w:val="%1"/>
      <w:numFmt w:val="decimal"/>
      <w:start w:val="35"/>
    </w:lvl>
  </w:abstractNum>
  <w:abstractNum w:abstractNumId="144">
    <w:nsid w:val="230F856C"/>
    <w:multiLevelType w:val="hybridMultilevel"/>
    <w:lvl w:ilvl="0">
      <w:lvlJc w:val="left"/>
      <w:lvlText w:val="%1"/>
      <w:numFmt w:val="lowerLetter"/>
      <w:start w:val="1"/>
    </w:lvl>
    <w:lvl w:ilvl="1">
      <w:lvlJc w:val="left"/>
      <w:lvlText w:val="(%2)"/>
      <w:numFmt w:val="lowerRoman"/>
      <w:start w:val="2"/>
    </w:lvl>
  </w:abstractNum>
  <w:abstractNum w:abstractNumId="145">
    <w:nsid w:val="6EAA85FB"/>
    <w:multiLevelType w:val="hybridMultilevel"/>
    <w:lvl w:ilvl="0">
      <w:lvlJc w:val="left"/>
      <w:lvlText w:val="(%1)"/>
      <w:numFmt w:val="lowerLetter"/>
      <w:start w:val="11"/>
    </w:lvl>
    <w:lvl w:ilvl="1">
      <w:lvlJc w:val="left"/>
      <w:lvlText w:val="%2"/>
      <w:numFmt w:val="lowerRoman"/>
      <w:start w:val="1"/>
    </w:lvl>
  </w:abstractNum>
  <w:abstractNum w:abstractNumId="146">
    <w:nsid w:val="3F06ECB2"/>
    <w:multiLevelType w:val="hybridMultilevel"/>
    <w:lvl w:ilvl="0">
      <w:lvlJc w:val="left"/>
      <w:lvlText w:val="(%1)"/>
      <w:numFmt w:val="lowerLetter"/>
      <w:start w:val="13"/>
    </w:lvl>
  </w:abstractNum>
  <w:abstractNum w:abstractNumId="147">
    <w:nsid w:val="3B594807"/>
    <w:multiLevelType w:val="hybridMultilevel"/>
    <w:lvl w:ilvl="0">
      <w:lvlJc w:val="left"/>
      <w:lvlText w:val="(%1)"/>
      <w:numFmt w:val="lowerLetter"/>
      <w:start w:val="14"/>
    </w:lvl>
  </w:abstractNum>
  <w:abstractNum w:abstractNumId="148">
    <w:nsid w:val="6CAA2304"/>
    <w:multiLevelType w:val="hybridMultilevel"/>
    <w:lvl w:ilvl="0">
      <w:lvlJc w:val="left"/>
      <w:lvlText w:val="(%1)"/>
      <w:numFmt w:val="lowerLetter"/>
      <w:start w:val="19"/>
    </w:lvl>
    <w:lvl w:ilvl="1">
      <w:lvlJc w:val="left"/>
      <w:lvlText w:val="(%2)"/>
      <w:numFmt w:val="lowerRoman"/>
      <w:start w:val="1"/>
    </w:lvl>
  </w:abstractNum>
  <w:abstractNum w:abstractNumId="149">
    <w:nsid w:val="3F7C2FF4"/>
    <w:multiLevelType w:val="hybridMultilevel"/>
    <w:lvl w:ilvl="0">
      <w:lvlJc w:val="left"/>
      <w:lvlText w:val="(%1)"/>
      <w:numFmt w:val="lowerRoman"/>
      <w:start w:val="1"/>
    </w:lvl>
  </w:abstractNum>
  <w:abstractNum w:abstractNumId="150">
    <w:nsid w:val="25413BEC"/>
    <w:multiLevelType w:val="hybridMultilevel"/>
    <w:lvl w:ilvl="0">
      <w:lvlJc w:val="left"/>
      <w:lvlText w:val="%1"/>
      <w:numFmt w:val="decimal"/>
      <w:start w:val="37"/>
    </w:lvl>
  </w:abstractNum>
  <w:abstractNum w:abstractNumId="151">
    <w:nsid w:val="17180B0B"/>
    <w:multiLevelType w:val="hybridMultilevel"/>
    <w:lvl w:ilvl="0">
      <w:lvlJc w:val="left"/>
      <w:lvlText w:val="(%1)"/>
      <w:numFmt w:val="lowerLetter"/>
      <w:start w:val="20"/>
    </w:lvl>
  </w:abstractNum>
  <w:abstractNum w:abstractNumId="152">
    <w:nsid w:val="579328B9"/>
    <w:multiLevelType w:val="hybridMultilevel"/>
    <w:lvl w:ilvl="0">
      <w:lvlJc w:val="left"/>
      <w:lvlText w:val="%1"/>
      <w:numFmt w:val="decimal"/>
      <w:start w:val="43"/>
    </w:lvl>
  </w:abstractNum>
  <w:abstractNum w:abstractNumId="153">
    <w:nsid w:val="5D205E20"/>
    <w:multiLevelType w:val="hybridMultilevel"/>
    <w:lvl w:ilvl="0">
      <w:lvlJc w:val="left"/>
      <w:lvlText w:val="(%1)"/>
      <w:numFmt w:val="lowerLetter"/>
      <w:start w:val="24"/>
    </w:lvl>
    <w:lvl w:ilvl="1">
      <w:lvlJc w:val="left"/>
      <w:lvlText w:val="(%2)"/>
      <w:numFmt w:val="lowerRoman"/>
      <w:start w:val="1"/>
    </w:lvl>
  </w:abstractNum>
  <w:abstractNum w:abstractNumId="154">
    <w:nsid w:val="11CCA8BA"/>
    <w:multiLevelType w:val="hybridMultilevel"/>
    <w:lvl w:ilvl="0">
      <w:lvlJc w:val="left"/>
      <w:lvlText w:val="(%1)"/>
      <w:numFmt w:val="lowerRoman"/>
      <w:start w:val="3"/>
    </w:lvl>
  </w:abstractNum>
  <w:abstractNum w:abstractNumId="155">
    <w:nsid w:val="4D32AB8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56">
    <w:nsid w:val="3F07ACC3"/>
    <w:multiLevelType w:val="hybridMultilevel"/>
    <w:lvl w:ilvl="0">
      <w:lvlJc w:val="left"/>
      <w:lvlText w:val="(%1)"/>
      <w:numFmt w:val="lowerLetter"/>
      <w:start w:val="26"/>
    </w:lvl>
    <w:lvl w:ilvl="1">
      <w:lvlJc w:val="left"/>
      <w:lvlText w:val="(%2)"/>
      <w:numFmt w:val="lowerLetter"/>
      <w:start w:val="2"/>
    </w:lvl>
    <w:lvl w:ilvl="2">
      <w:lvlJc w:val="left"/>
      <w:lvlText w:val="%3"/>
      <w:numFmt w:val="upperLetter"/>
      <w:start w:val="1"/>
    </w:lvl>
  </w:abstractNum>
  <w:abstractNum w:abstractNumId="157">
    <w:nsid w:val="6B47F63E"/>
    <w:multiLevelType w:val="hybridMultilevel"/>
    <w:lvl w:ilvl="0">
      <w:lvlJc w:val="left"/>
      <w:lvlText w:val="%1"/>
      <w:numFmt w:val="decimal"/>
      <w:start w:val="45"/>
    </w:lvl>
  </w:abstractNum>
  <w:abstractNum w:abstractNumId="158">
    <w:nsid w:val="5CB44A05"/>
    <w:multiLevelType w:val="hybridMultilevel"/>
    <w:lvl w:ilvl="0">
      <w:lvlJc w:val="left"/>
      <w:lvlText w:val="(%1)"/>
      <w:numFmt w:val="lowerLetter"/>
      <w:start w:val="27"/>
    </w:lvl>
  </w:abstractNum>
  <w:abstractNum w:abstractNumId="159">
    <w:nsid w:val="16CF80F1"/>
    <w:multiLevelType w:val="hybridMultilevel"/>
    <w:lvl w:ilvl="0">
      <w:lvlJc w:val="left"/>
      <w:lvlText w:val="%1"/>
      <w:numFmt w:val="decimal"/>
      <w:start w:val="46"/>
    </w:lvl>
  </w:abstractNum>
  <w:abstractNum w:abstractNumId="160">
    <w:nsid w:val="1C695DEC"/>
    <w:multiLevelType w:val="hybridMultilevel"/>
    <w:lvl w:ilvl="0">
      <w:lvlJc w:val="left"/>
      <w:lvlText w:val="●"/>
      <w:numFmt w:val="bullet"/>
      <w:start w:val="1"/>
    </w:lvl>
  </w:abstractNum>
  <w:abstractNum w:abstractNumId="161">
    <w:nsid w:val="3FCFAED9"/>
    <w:multiLevelType w:val="hybridMultilevel"/>
    <w:lvl w:ilvl="0">
      <w:lvlJc w:val="left"/>
      <w:lvlText w:val="●"/>
      <w:numFmt w:val="bullet"/>
      <w:start w:val="1"/>
    </w:lvl>
  </w:abstractNum>
  <w:abstractNum w:abstractNumId="162">
    <w:nsid w:val="F8568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2026-06-10T05:20:45Z</dcterms:created>
  <dcterms:modified xsi:type="dcterms:W3CDTF">2026-06-10T05:20:45Z</dcterms:modified>
</cp:coreProperties>
</file>