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 Yonge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M5C 1T4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 Fiscal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February 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001-40370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1, 2024 response to our comment letter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January 18,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4559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40-F for the Fiscal Year Ended December 31, 2023 Recovery of Erroneously Awarded Compensation, page 7</w:t>
      </w: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 have not provided your disclosure about your recovery analysis in an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 Data File in accordance with Rule 405 of Regulation S-T and the EDGAR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Filer Manual. In future filings where you conduct a recovery analysis, please also include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interactive data.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Cash Flows, page F-7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responses to comment 1 from our letter dated June 26, 2023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comment 1 from our letter dated September 18, 2023. Please revise to classify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from sales of your digital assets, which are classified as intangible assets, within</w:t>
      </w:r>
    </w:p>
    <w:p>
      <w:pPr>
        <w:ind w:left="120"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investing activities consistent with the requirements of IAS 7.16(b). July 31,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Basis of Presentation and Material Accounting Policy Information Revenue recognition, page F-12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 to prior comment 2. Please respond to the following and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in future filings to specifically address the following concerning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mining revenue recognition under IFRS 15: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you entered into arrangements with a mining pool and have undertaken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performance obligation of providing computing power used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hashing</w:t>
      </w:r>
    </w:p>
    <w:p>
      <w:pPr>
        <w:ind w:right="317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calculations to the mining pool in exchange for noncash consideration in the form of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cryptocurrency, which is variable consideration.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 Clarify in your disclosure, if true, that the contracts are with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mining pool</w:t>
      </w:r>
    </w:p>
    <w:p>
      <w:pPr>
        <w:ind w:right="25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operator, the mining pool operator is your customer, the services you provide to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customer are an output of your ordinary activities,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 single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obligation, and the form of noncash consideration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bitcoin.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You disclose your performance obligation is to provide computing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used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685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hashing calculations. In your response, you told us the mining pool operator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dictates how the computing power will be used. Clarify for us the nature of the</w:t>
      </w:r>
    </w:p>
    <w:p>
      <w:pPr>
        <w:ind w:right="24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you provide and tell us whether you perform hash calculations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pool operator. In this regard, we understand that you run software from the pool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operator that constructs block header candidates and performs hash computations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behalf of the pool operator.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If you do perform hash calculations for the pool operator, tell us whether a more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accurate description of your promise and single performance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is a</w:t>
      </w: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service to perform hash calculations for the pool operator, and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so, make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revision to your accounting policy and related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filing.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the duration of the contract is less than 24 hours and the contract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continuously renewed throughout the day. Tell us your consideration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that your enforceable right to compensation begins when and continues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 as you provide services, and you decide when to provide services under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contracts.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you recognize revenues upon delivery of the service over a 24-hour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 which generally coincides with the receipt of crypto assets in exchange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of computational power used for hashing calculations and the contract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inception date.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Tell us whether transfer of control of your services is 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time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delivery of the service over a 24-hour period. If so, clarify the disclosure to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when control transfers. Refer to IFRS 15.31.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Reconcile the disclosure that the timing of the receipt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coincides with the delivery of the service with your response that you receive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noncash consideration a few hours after the end of day you provide that service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your disclose accordingly.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further your response that you (a) recognize revenue only after receiving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confirmation from the mining pool when analyzing IFRS 15.46 and (b)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</w:t>
      </w:r>
    </w:p>
    <w:p>
      <w:pPr>
        <w:ind w:right="24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throughout the 24-hour period and update the estimated transaction price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day, after the 24-hour period is completed since these two statements appear to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contradictory. We note that the requirements of IFRS 15.31 indicate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occurs upon the transfer of control of the service, not upon receipt of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confirmation.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As applicable, revise your accounting policy to comply with IFRS 15, noting that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last paragraph in Note 3.b.i. on page F-13 you state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are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upon delivery of the service over a 24-hour period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yet tie that</w:t>
      </w:r>
    </w:p>
    <w:p>
      <w:pPr>
        <w:ind w:right="181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to receipt of consideration. Tell us if applying the corrected policy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periods results in a material change to the historical financial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presented.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You told us that for the fiscal years ended December 31, 2021 and 2022 and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analysis of 2023, you had not identified any material differences.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for us whether you identified any differences between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historical</w:t>
      </w:r>
    </w:p>
    <w:p>
      <w:pPr>
        <w:ind w:right="2559" w:firstLine="15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policy and what is required by IFRS 15. If you identified differences,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differences to us and how you determined the differences were not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 Explain further your response that you perform a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48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reasonability</w:t>
            </w:r>
          </w:p>
        </w:tc>
        <w:tc>
          <w:tcPr>
            <w:tcW w:w="106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analysis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 the</w:t>
            </w:r>
          </w:p>
        </w:tc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 the time it is received compared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average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price of bitcoin</w:t>
            </w: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purpose of this analysis, explain the process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more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detail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day. Tell us the</w:t>
            </w: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15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(including an example), and cite the accounting literature upon which you relied.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Kate Tillan at 202-551-3604 or Rolf Sundwall at 202-551-3105 if you</w:t>
      </w: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2025-02-04T23:08:27Z</dcterms:created>
  <dcterms:modified xsi:type="dcterms:W3CDTF">2025-02-04T23:08:27Z</dcterms:modified>
</cp:coreProperties>
</file>