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May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May 29, 2024, the Registrant filed with the Canadian Securities Regulatory Authorities on the System for Electronic Data Analysis and Retrieval + (SEDAR +) a material change report that includes a copy of a press release, a copy of which is attached hereto as Exhibit 99.1, and which is incorporated by reference 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the Registration Statement of Bitfarms Ltd. on </w:t>
      </w:r>
      <w:hyperlink r:id="rId20">
        <w:r>
          <w:rPr>
            <w:rFonts w:ascii="Times New Roman" w:cs="Times New Roman" w:eastAsia="Times New Roman" w:hAnsi="Times New Roman"/>
            <w:sz w:val="18"/>
            <w:szCs w:val="18"/>
            <w:u w:val="single" w:color="auto"/>
            <w:color w:val="0000EE"/>
          </w:rPr>
          <w:t>Form S-8</w:t>
        </w:r>
      </w:hyperlink>
      <w:r>
        <w:rPr>
          <w:rFonts w:ascii="Times New Roman" w:cs="Times New Roman" w:eastAsia="Times New Roman" w:hAnsi="Times New Roman"/>
          <w:sz w:val="18"/>
          <w:szCs w:val="18"/>
          <w:color w:val="auto"/>
        </w:rPr>
        <w:t xml:space="preserve"> (File No. 333-278868).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May 29, 2024</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Nicolas Bonta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Nicolas Bonta</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Interim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29,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May 29, 2024, by a newswire company in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Bitfarms Responds to Unsolicited Proposal from Riot Platforms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Committed to Maximizing Value for All Shareholders; Strategic Alternatives Process Underway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Reaffirms Confidence in Business and Guidance of 21 EH/s and 21 w/TH in 2024</w:t>
      </w:r>
    </w:p>
    <w:p>
      <w:pPr>
        <w:spacing w:after="0" w:line="225"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(May 29, 2024) </w:t>
      </w:r>
      <w:r>
        <w:rPr>
          <w:rFonts w:ascii="Times New Roman" w:cs="Times New Roman" w:eastAsia="Times New Roman" w:hAnsi="Times New Roman"/>
          <w:sz w:val="18"/>
          <w:szCs w:val="18"/>
          <w:color w:val="auto"/>
        </w:rPr>
        <w:t>- Bitfarms Ltd. (Nasdaq/TSX: BITF) (“Bitfarms” or the “Company”), a global Bitcoin vertically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integrated company, today confirms that the Company received a proposal by Riot Platforms, Inc. (“Riot”) on April 22, 2024 to acquire 100% of the common shares of Bitfarms, at a price of US$2.30 per common share consisting of cash and Riot common stock. A Special Committee of the Board comprised solely of independent directors (the “Special Committee”) carefully considered the proposal and determined it significantly undervalues the Company and its growth prospects. In order to advance discussions with Riot in a meaningful manner, the Special Committee requested customary confidentiality and non-solicitation protections to which Riot did not respond.</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Having received additional unsolicited expressions of interest, with each additional party executing a customary Non-Disclosure Agreement, the Special Committee is conducting a thorough strategic alternatives review to ensure it achieves maximum shareholder value. These alternatives could include, among others, continuing to execute on the Company’s business plan, a strategic business combination or other strategic transaction, or a sale of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announced, the Company’s CEO search remains on track and the Company continues to execute the expansion and transformative fleet upgrade. Bitfarms has realized notable efficiency gains and is progressing toward 2024 guidance of 21 EH/s and 21 w/TH, representing a 223% hashrate increase and 40% efficiency improvement. This would be the strongest growth and efficiency gains in both the Company’s history and among publicly-traded Bitcoin mining peers this year. The Company strongly believes that continued execution towards this growth plan maximizes shareholder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Moelis &amp; Company LLC is serving as financial advisor to Bitfarms. Skadden, Arps, Slate, Meagher &amp; Flom LLP, Peterson McVicar LLP and McMillan LLP are acting as legal advisors.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12 Bitcoin mining facilities and one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6035"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6035" cy="128270"/>
                    </a:xfrm>
                    <a:prstGeom prst="rect">
                      <a:avLst/>
                    </a:prstGeom>
                    <a:noFill/>
                  </pic:spPr>
                </pic:pic>
              </a:graphicData>
            </a:graphic>
          </wp:anchor>
        </w:drawing>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Riot Proposal, any negotiations in respect of the Riot proposal, the outcome of any transaction, the Company’s ongoing CEO search, growth opportunities and prospects for the Company, and other statements regarding future growth,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the Company’s facilities may not occur as currently planned, or at all; expansion may not materialize as currently anticipated, or at all; the power purchase agreements and economics thereof may not be as advantageous as expected;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potential adverse impact on the Company’s profitability; the ability to complete current and future financings; the impact of the Restatement on the price of the Company’s common shares, financial condition and results of operations;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t>
      </w:r>
      <w:r>
        <w:rPr>
          <w:rFonts w:ascii="Times New Roman" w:cs="Times New Roman" w:eastAsia="Times New Roman" w:hAnsi="Times New Roman"/>
          <w:sz w:val="18"/>
          <w:szCs w:val="18"/>
          <w:i w:val="1"/>
          <w:iCs w:val="1"/>
          <w:color w:val="auto"/>
          <w:highlight w:val="white"/>
        </w:rPr>
        <w:t>www.sedarplus.ca</w:t>
      </w:r>
      <w:r>
        <w:rPr>
          <w:rFonts w:ascii="Times New Roman" w:cs="Times New Roman" w:eastAsia="Times New Roman" w:hAnsi="Times New Roman"/>
          <w:sz w:val="18"/>
          <w:szCs w:val="18"/>
          <w:i w:val="1"/>
          <w:iCs w:val="1"/>
          <w:color w:val="auto"/>
        </w:rPr>
        <w:t xml:space="preserve"> (which are also available on the website of the U.S. Securities and Exchange Commission at </w:t>
      </w:r>
      <w:r>
        <w:rPr>
          <w:rFonts w:ascii="Times New Roman" w:cs="Times New Roman" w:eastAsia="Times New Roman" w:hAnsi="Times New Roman"/>
          <w:sz w:val="18"/>
          <w:szCs w:val="18"/>
          <w:i w:val="1"/>
          <w:iCs w:val="1"/>
          <w:color w:val="auto"/>
          <w:highlight w:val="white"/>
        </w:rPr>
        <w:t>www.sec.gov</w:t>
      </w:r>
      <w:r>
        <w:rPr>
          <w:rFonts w:ascii="Times New Roman" w:cs="Times New Roman" w:eastAsia="Times New Roman" w:hAnsi="Times New Roman"/>
          <w:sz w:val="18"/>
          <w:szCs w:val="18"/>
          <w:i w:val="1"/>
          <w:iCs w:val="1"/>
          <w:color w:val="auto"/>
        </w:rPr>
        <w:t xml:space="preserve">), including the MD&amp;A for the year-ended December 31, 2023, filed on March 7, 2024 </w:t>
      </w:r>
      <w:r>
        <w:rPr>
          <w:rFonts w:ascii="Times New Roman" w:cs="Times New Roman" w:eastAsia="Times New Roman" w:hAnsi="Times New Roman"/>
          <w:sz w:val="18"/>
          <w:szCs w:val="18"/>
          <w:i w:val="1"/>
          <w:iCs w:val="1"/>
          <w:color w:val="auto"/>
          <w:highlight w:val="white"/>
        </w:rPr>
        <w:t>and the MD&amp;A for three-month period ended March 31, 2024 filed on May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auto"/>
          <w:highlight w:val="white"/>
        </w:rPr>
        <w:t xml:space="preserve">2024. </w:t>
      </w:r>
      <w:r>
        <w:rPr>
          <w:rFonts w:ascii="Times New Roman" w:cs="Times New Roman" w:eastAsia="Times New Roman" w:hAnsi="Times New Roman"/>
          <w:sz w:val="18"/>
          <w:szCs w:val="18"/>
          <w:i w:val="1"/>
          <w:iCs w:val="1"/>
          <w:color w:val="auto"/>
        </w:rPr>
        <w:t>Although the Company has attempted to identify important factors that could cause actual results to differ materially from those expressed in</w:t>
      </w:r>
      <w:r>
        <w:rPr>
          <w:rFonts w:ascii="Times New Roman" w:cs="Times New Roman" w:eastAsia="Times New Roman" w:hAnsi="Times New Roman"/>
          <w:sz w:val="18"/>
          <w:szCs w:val="18"/>
          <w:i w:val="1"/>
          <w:iCs w:val="1"/>
          <w:color w:val="auto"/>
          <w:highlight w:val="white"/>
        </w:rPr>
        <w:t xml:space="preserve"> </w:t>
      </w:r>
      <w:r>
        <w:rPr>
          <w:rFonts w:ascii="Times New Roman" w:cs="Times New Roman" w:eastAsia="Times New Roman" w:hAnsi="Times New Roman"/>
          <w:sz w:val="18"/>
          <w:szCs w:val="18"/>
          <w:i w:val="1"/>
          <w:iCs w:val="1"/>
          <w:color w:val="auto"/>
        </w:rPr>
        <w:t>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Agency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Khushboo Chaudhary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+1 646-373-9946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Media: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212-355-4449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jpe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19" Type="http://schemas.openxmlformats.org/officeDocument/2006/relationships/hyperlink" Target="https://www.sec.gov/Archives/edgar/data/1812477/000121390023052498/ea180981-f10_bitfarmsltd.htm" TargetMode="External"/><Relationship Id="rId20" Type="http://schemas.openxmlformats.org/officeDocument/2006/relationships/hyperlink" Target="https://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2024-05-29T15:11:02Z</dcterms:created>
  <dcterms:modified xsi:type="dcterms:W3CDTF">2024-05-29T15:11:02Z</dcterms:modified>
</cp:coreProperties>
</file>