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09173B107</w:t>
      </w:r>
    </w:p>
    <w:p>
      <w:pPr>
        <w:spacing w:after="0" w:line="2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(Rule 13d-102)</w:t>
      </w:r>
    </w:p>
    <w:p>
      <w:pPr>
        <w:spacing w:after="0" w:line="225" w:lineRule="exact"/>
        <w:rPr>
          <w:sz w:val="24"/>
          <w:szCs w:val="24"/>
          <w:color w:val="auto"/>
        </w:rPr>
      </w:pPr>
    </w:p>
    <w:p>
      <w:pPr>
        <w:jc w:val="center"/>
        <w:ind w:left="500" w:right="258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 240.13d-1(b), (c) AND (d) AND AMENDMENTS THERETO FILED PURSUANT TO § 240.13d-2.</w:t>
      </w:r>
    </w:p>
    <w:p>
      <w:pPr>
        <w:spacing w:after="0" w:line="176"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(Amendment No. ____)*</w:t>
      </w:r>
    </w:p>
    <w:p>
      <w:pPr>
        <w:spacing w:after="0" w:line="22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color w:val="auto"/>
        </w:rPr>
        <w:t>Bitfarms Ltd.</w:t>
      </w:r>
    </w:p>
    <w:p>
      <w:pPr>
        <w:spacing w:after="0" w:line="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Common Shares, no par value</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09173B107</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November 24, 2023</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500" w:hanging="8"/>
        <w:spacing w:after="0" w:line="226" w:lineRule="exact"/>
        <w:tabs>
          <w:tab w:leader="none" w:pos="54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4" w:lineRule="exact"/>
        <w:rPr>
          <w:sz w:val="24"/>
          <w:szCs w:val="24"/>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783"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1140" w:right="7320" w:hanging="670"/>
        <w:spacing w:after="0" w:line="399"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CVI Investments, Inc.</w:t>
      </w:r>
    </w:p>
    <w:p>
      <w:pPr>
        <w:ind w:left="1140" w:hanging="670"/>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0"/>
          <w:szCs w:val="20"/>
          <w:color w:val="auto"/>
        </w:rPr>
      </w:pPr>
    </w:p>
    <w:p>
      <w:pPr>
        <w:ind w:left="1140" w:hanging="670"/>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59" w:lineRule="exact"/>
        <w:rPr>
          <w:rFonts w:ascii="Times New Roman" w:cs="Times New Roman" w:eastAsia="Times New Roman" w:hAnsi="Times New Roman"/>
          <w:sz w:val="18"/>
          <w:szCs w:val="18"/>
          <w:color w:val="auto"/>
        </w:rPr>
      </w:pPr>
    </w:p>
    <w:p>
      <w:pPr>
        <w:ind w:left="1140" w:right="6420" w:hanging="670"/>
        <w:spacing w:after="0" w:line="399"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ind w:left="2260" w:hanging="565"/>
        <w:spacing w:after="0"/>
        <w:tabs>
          <w:tab w:leader="none" w:pos="2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0</w:t>
      </w:r>
    </w:p>
    <w:tbl>
      <w:tblPr>
        <w:tblLayout w:type="fixed"/>
        <w:tblInd w:w="0" w:type="dxa"/>
        <w:tblCellMar>
          <w:top w:w="0" w:type="dxa"/>
          <w:left w:w="0" w:type="dxa"/>
          <w:bottom w:w="0" w:type="dxa"/>
          <w:right w:w="0" w:type="dxa"/>
        </w:tblCellMar>
      </w:tblPr>
      <w:tr>
        <w:trPr>
          <w:trHeight w:val="52"/>
        </w:trPr>
        <w:tc>
          <w:tcPr>
            <w:tcW w:w="14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NUMBER OF</w:t>
            </w:r>
          </w:p>
        </w:tc>
        <w:tc>
          <w:tcPr>
            <w:tcW w:w="220" w:type="dxa"/>
            <w:vAlign w:val="bottom"/>
          </w:tcPr>
          <w:p>
            <w:pPr>
              <w:spacing w:after="0"/>
              <w:rPr>
                <w:sz w:val="4"/>
                <w:szCs w:val="4"/>
                <w:color w:val="auto"/>
              </w:rPr>
            </w:pPr>
          </w:p>
        </w:tc>
        <w:tc>
          <w:tcPr>
            <w:tcW w:w="9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480" w:type="dxa"/>
            <w:vAlign w:val="bottom"/>
            <w:vMerge w:val="continue"/>
          </w:tcPr>
          <w:p>
            <w:pPr>
              <w:spacing w:after="0"/>
              <w:rPr>
                <w:sz w:val="10"/>
                <w:szCs w:val="10"/>
                <w:color w:val="auto"/>
              </w:rPr>
            </w:pPr>
          </w:p>
        </w:tc>
        <w:tc>
          <w:tcPr>
            <w:tcW w:w="9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(6)SHARED VOTING POWER **</w:t>
            </w:r>
          </w:p>
        </w:tc>
        <w:tc>
          <w:tcPr>
            <w:tcW w:w="0" w:type="dxa"/>
            <w:vAlign w:val="bottom"/>
          </w:tcPr>
          <w:p>
            <w:pPr>
              <w:spacing w:after="0"/>
              <w:rPr>
                <w:sz w:val="1"/>
                <w:szCs w:val="1"/>
                <w:color w:val="auto"/>
              </w:rPr>
            </w:pPr>
          </w:p>
        </w:tc>
      </w:tr>
      <w:tr>
        <w:trPr>
          <w:trHeight w:val="113"/>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9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20" w:type="dxa"/>
            <w:vAlign w:val="bottom"/>
            <w:vMerge w:val="restart"/>
          </w:tcPr>
          <w:p>
            <w:pPr>
              <w:spacing w:after="0"/>
              <w:rPr>
                <w:sz w:val="18"/>
                <w:szCs w:val="18"/>
                <w:color w:val="auto"/>
              </w:rPr>
            </w:pPr>
          </w:p>
        </w:tc>
        <w:tc>
          <w:tcPr>
            <w:tcW w:w="954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18,518,520</w:t>
            </w:r>
          </w:p>
        </w:tc>
        <w:tc>
          <w:tcPr>
            <w:tcW w:w="0" w:type="dxa"/>
            <w:vAlign w:val="bottom"/>
          </w:tcPr>
          <w:p>
            <w:pPr>
              <w:spacing w:after="0"/>
              <w:rPr>
                <w:sz w:val="1"/>
                <w:szCs w:val="1"/>
                <w:color w:val="auto"/>
              </w:rPr>
            </w:pPr>
          </w:p>
        </w:tc>
      </w:tr>
      <w:tr>
        <w:trPr>
          <w:trHeight w:val="118"/>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220" w:type="dxa"/>
            <w:vAlign w:val="bottom"/>
            <w:vMerge w:val="continue"/>
          </w:tcPr>
          <w:p>
            <w:pPr>
              <w:spacing w:after="0"/>
              <w:rPr>
                <w:sz w:val="9"/>
                <w:szCs w:val="9"/>
                <w:color w:val="auto"/>
              </w:rPr>
            </w:pPr>
          </w:p>
        </w:tc>
        <w:tc>
          <w:tcPr>
            <w:tcW w:w="9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9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w w:val="99"/>
              </w:rPr>
              <w:t>(7)SOLE DISPOSITIVE POWER</w:t>
            </w:r>
          </w:p>
        </w:tc>
        <w:tc>
          <w:tcPr>
            <w:tcW w:w="0" w:type="dxa"/>
            <w:vAlign w:val="bottom"/>
          </w:tcPr>
          <w:p>
            <w:pPr>
              <w:spacing w:after="0"/>
              <w:rPr>
                <w:sz w:val="1"/>
                <w:szCs w:val="1"/>
                <w:color w:val="auto"/>
              </w:rPr>
            </w:pPr>
          </w:p>
        </w:tc>
      </w:tr>
      <w:tr>
        <w:trPr>
          <w:trHeight w:val="153"/>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9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97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480" w:type="dxa"/>
            <w:vAlign w:val="bottom"/>
            <w:vMerge w:val="restart"/>
          </w:tcPr>
          <w:p>
            <w:pPr>
              <w:spacing w:after="0" w:line="195" w:lineRule="exact"/>
              <w:rPr>
                <w:sz w:val="20"/>
                <w:szCs w:val="20"/>
                <w:color w:val="auto"/>
              </w:rPr>
            </w:pPr>
            <w:r>
              <w:rPr>
                <w:rFonts w:ascii="Times New Roman" w:cs="Times New Roman" w:eastAsia="Times New Roman" w:hAnsi="Times New Roman"/>
                <w:sz w:val="18"/>
                <w:szCs w:val="18"/>
                <w:color w:val="auto"/>
              </w:rPr>
              <w:t>PERSON WITH</w:t>
            </w:r>
          </w:p>
        </w:tc>
        <w:tc>
          <w:tcPr>
            <w:tcW w:w="9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4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5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60" w:right="6220" w:hanging="565"/>
        <w:spacing w:after="0" w:line="387" w:lineRule="auto"/>
        <w:tabs>
          <w:tab w:leader="none" w:pos="2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 18,518,520</w:t>
      </w:r>
    </w:p>
    <w:p>
      <w:pPr>
        <w:ind w:left="1140" w:right="3540" w:hanging="670"/>
        <w:spacing w:after="0" w:line="399"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18,518,520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140" w:hanging="71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11" w:lineRule="exact"/>
        <w:rPr>
          <w:sz w:val="20"/>
          <w:szCs w:val="20"/>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3" w:lineRule="exact"/>
        <w:rPr>
          <w:sz w:val="20"/>
          <w:szCs w:val="20"/>
          <w:color w:val="auto"/>
        </w:rPr>
      </w:pPr>
    </w:p>
    <w:p>
      <w:pPr>
        <w:ind w:left="1140" w:hanging="712"/>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19"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w:t>
      </w:r>
    </w:p>
    <w:p>
      <w:pPr>
        <w:spacing w:after="0" w:line="49" w:lineRule="exact"/>
        <w:rPr>
          <w:rFonts w:ascii="Times New Roman" w:cs="Times New Roman" w:eastAsia="Times New Roman" w:hAnsi="Times New Roman"/>
          <w:sz w:val="18"/>
          <w:szCs w:val="18"/>
          <w:color w:val="auto"/>
        </w:rPr>
      </w:pPr>
    </w:p>
    <w:p>
      <w:pPr>
        <w:ind w:left="1140" w:right="5760" w:hanging="715"/>
        <w:spacing w:after="0" w:line="508"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1" w:lineRule="exact"/>
        <w:rPr>
          <w:rFonts w:ascii="Times New Roman" w:cs="Times New Roman" w:eastAsia="Times New Roman" w:hAnsi="Times New Roman"/>
          <w:sz w:val="18"/>
          <w:szCs w:val="18"/>
          <w:color w:val="auto"/>
        </w:rPr>
      </w:pPr>
    </w:p>
    <w:p>
      <w:pPr>
        <w:ind w:right="20" w:firstLine="8"/>
        <w:spacing w:after="0" w:line="282" w:lineRule="auto"/>
        <w:tabs>
          <w:tab w:leader="none" w:pos="2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p>
      <w:pPr>
        <w:ind w:left="1140" w:right="7320" w:hanging="670"/>
        <w:spacing w:after="0" w:line="422" w:lineRule="auto"/>
        <w:tabs>
          <w:tab w:leader="none" w:pos="11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Heights Capital Management, Inc.</w:t>
      </w:r>
    </w:p>
    <w:p>
      <w:pPr>
        <w:spacing w:after="0" w:line="1" w:lineRule="exact"/>
        <w:rPr>
          <w:rFonts w:ascii="Times New Roman" w:cs="Times New Roman" w:eastAsia="Times New Roman" w:hAnsi="Times New Roman"/>
          <w:sz w:val="17"/>
          <w:szCs w:val="17"/>
          <w:color w:val="auto"/>
        </w:rPr>
      </w:pPr>
    </w:p>
    <w:p>
      <w:pPr>
        <w:ind w:left="1140" w:hanging="670"/>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0"/>
          <w:szCs w:val="20"/>
          <w:color w:val="auto"/>
        </w:rPr>
      </w:pPr>
    </w:p>
    <w:p>
      <w:pPr>
        <w:ind w:left="1140" w:hanging="670"/>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59" w:lineRule="exact"/>
        <w:rPr>
          <w:rFonts w:ascii="Times New Roman" w:cs="Times New Roman" w:eastAsia="Times New Roman" w:hAnsi="Times New Roman"/>
          <w:sz w:val="18"/>
          <w:szCs w:val="18"/>
          <w:color w:val="auto"/>
        </w:rPr>
      </w:pPr>
    </w:p>
    <w:p>
      <w:pPr>
        <w:ind w:left="1140" w:right="6420" w:hanging="670"/>
        <w:spacing w:after="0" w:line="399"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260" w:hanging="565"/>
        <w:spacing w:after="0"/>
        <w:tabs>
          <w:tab w:leader="none" w:pos="2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0</w:t>
      </w:r>
    </w:p>
    <w:tbl>
      <w:tblPr>
        <w:tblLayout w:type="fixed"/>
        <w:tblInd w:w="0" w:type="dxa"/>
        <w:tblCellMar>
          <w:top w:w="0" w:type="dxa"/>
          <w:left w:w="0" w:type="dxa"/>
          <w:bottom w:w="0" w:type="dxa"/>
          <w:right w:w="0" w:type="dxa"/>
        </w:tblCellMar>
      </w:tblPr>
      <w:tr>
        <w:trPr>
          <w:trHeight w:val="52"/>
        </w:trPr>
        <w:tc>
          <w:tcPr>
            <w:tcW w:w="14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NUMBER OF</w:t>
            </w:r>
          </w:p>
        </w:tc>
        <w:tc>
          <w:tcPr>
            <w:tcW w:w="220" w:type="dxa"/>
            <w:vAlign w:val="bottom"/>
          </w:tcPr>
          <w:p>
            <w:pPr>
              <w:spacing w:after="0"/>
              <w:rPr>
                <w:sz w:val="4"/>
                <w:szCs w:val="4"/>
                <w:color w:val="auto"/>
              </w:rPr>
            </w:pPr>
          </w:p>
        </w:tc>
        <w:tc>
          <w:tcPr>
            <w:tcW w:w="9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480" w:type="dxa"/>
            <w:vAlign w:val="bottom"/>
            <w:vMerge w:val="continue"/>
          </w:tcPr>
          <w:p>
            <w:pPr>
              <w:spacing w:after="0"/>
              <w:rPr>
                <w:sz w:val="10"/>
                <w:szCs w:val="10"/>
                <w:color w:val="auto"/>
              </w:rPr>
            </w:pPr>
          </w:p>
        </w:tc>
        <w:tc>
          <w:tcPr>
            <w:tcW w:w="9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(6)SHARED VOTING POWER **</w:t>
            </w:r>
          </w:p>
        </w:tc>
        <w:tc>
          <w:tcPr>
            <w:tcW w:w="0" w:type="dxa"/>
            <w:vAlign w:val="bottom"/>
          </w:tcPr>
          <w:p>
            <w:pPr>
              <w:spacing w:after="0"/>
              <w:rPr>
                <w:sz w:val="1"/>
                <w:szCs w:val="1"/>
                <w:color w:val="auto"/>
              </w:rPr>
            </w:pPr>
          </w:p>
        </w:tc>
      </w:tr>
      <w:tr>
        <w:trPr>
          <w:trHeight w:val="113"/>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9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20" w:type="dxa"/>
            <w:vAlign w:val="bottom"/>
            <w:vMerge w:val="restart"/>
          </w:tcPr>
          <w:p>
            <w:pPr>
              <w:spacing w:after="0"/>
              <w:rPr>
                <w:sz w:val="18"/>
                <w:szCs w:val="18"/>
                <w:color w:val="auto"/>
              </w:rPr>
            </w:pPr>
          </w:p>
        </w:tc>
        <w:tc>
          <w:tcPr>
            <w:tcW w:w="954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18,518,520</w:t>
            </w:r>
          </w:p>
        </w:tc>
        <w:tc>
          <w:tcPr>
            <w:tcW w:w="0" w:type="dxa"/>
            <w:vAlign w:val="bottom"/>
          </w:tcPr>
          <w:p>
            <w:pPr>
              <w:spacing w:after="0"/>
              <w:rPr>
                <w:sz w:val="1"/>
                <w:szCs w:val="1"/>
                <w:color w:val="auto"/>
              </w:rPr>
            </w:pPr>
          </w:p>
        </w:tc>
      </w:tr>
      <w:tr>
        <w:trPr>
          <w:trHeight w:val="118"/>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220" w:type="dxa"/>
            <w:vAlign w:val="bottom"/>
            <w:vMerge w:val="continue"/>
          </w:tcPr>
          <w:p>
            <w:pPr>
              <w:spacing w:after="0"/>
              <w:rPr>
                <w:sz w:val="9"/>
                <w:szCs w:val="9"/>
                <w:color w:val="auto"/>
              </w:rPr>
            </w:pPr>
          </w:p>
        </w:tc>
        <w:tc>
          <w:tcPr>
            <w:tcW w:w="9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9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w w:val="99"/>
              </w:rPr>
              <w:t>(7)SOLE DISPOSITIVE POWER</w:t>
            </w:r>
          </w:p>
        </w:tc>
        <w:tc>
          <w:tcPr>
            <w:tcW w:w="0" w:type="dxa"/>
            <w:vAlign w:val="bottom"/>
          </w:tcPr>
          <w:p>
            <w:pPr>
              <w:spacing w:after="0"/>
              <w:rPr>
                <w:sz w:val="1"/>
                <w:szCs w:val="1"/>
                <w:color w:val="auto"/>
              </w:rPr>
            </w:pPr>
          </w:p>
        </w:tc>
      </w:tr>
      <w:tr>
        <w:trPr>
          <w:trHeight w:val="153"/>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9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97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480" w:type="dxa"/>
            <w:vAlign w:val="bottom"/>
            <w:vMerge w:val="restart"/>
          </w:tcPr>
          <w:p>
            <w:pPr>
              <w:spacing w:after="0" w:line="195" w:lineRule="exact"/>
              <w:rPr>
                <w:sz w:val="20"/>
                <w:szCs w:val="20"/>
                <w:color w:val="auto"/>
              </w:rPr>
            </w:pPr>
            <w:r>
              <w:rPr>
                <w:rFonts w:ascii="Times New Roman" w:cs="Times New Roman" w:eastAsia="Times New Roman" w:hAnsi="Times New Roman"/>
                <w:sz w:val="18"/>
                <w:szCs w:val="18"/>
                <w:color w:val="auto"/>
              </w:rPr>
              <w:t>PERSON WITH</w:t>
            </w:r>
          </w:p>
        </w:tc>
        <w:tc>
          <w:tcPr>
            <w:tcW w:w="9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4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5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60" w:right="6220" w:hanging="565"/>
        <w:spacing w:after="0" w:line="387" w:lineRule="auto"/>
        <w:tabs>
          <w:tab w:leader="none" w:pos="2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 18,518,520</w:t>
      </w:r>
    </w:p>
    <w:p>
      <w:pPr>
        <w:ind w:left="1140" w:right="3540" w:hanging="670"/>
        <w:spacing w:after="0" w:line="399"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18,518,520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140" w:hanging="71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11" w:lineRule="exact"/>
        <w:rPr>
          <w:sz w:val="20"/>
          <w:szCs w:val="20"/>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3" w:lineRule="exact"/>
        <w:rPr>
          <w:sz w:val="20"/>
          <w:szCs w:val="20"/>
          <w:color w:val="auto"/>
        </w:rPr>
      </w:pPr>
    </w:p>
    <w:p>
      <w:pPr>
        <w:ind w:left="1140" w:hanging="712"/>
        <w:spacing w:after="0"/>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19"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w:t>
      </w:r>
    </w:p>
    <w:p>
      <w:pPr>
        <w:spacing w:after="0" w:line="49" w:lineRule="exact"/>
        <w:rPr>
          <w:rFonts w:ascii="Times New Roman" w:cs="Times New Roman" w:eastAsia="Times New Roman" w:hAnsi="Times New Roman"/>
          <w:sz w:val="18"/>
          <w:szCs w:val="18"/>
          <w:color w:val="auto"/>
        </w:rPr>
      </w:pPr>
    </w:p>
    <w:p>
      <w:pPr>
        <w:ind w:left="1140" w:right="5760" w:hanging="715"/>
        <w:spacing w:after="0" w:line="508" w:lineRule="auto"/>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1" w:lineRule="exact"/>
        <w:rPr>
          <w:rFonts w:ascii="Times New Roman" w:cs="Times New Roman" w:eastAsia="Times New Roman" w:hAnsi="Times New Roman"/>
          <w:sz w:val="18"/>
          <w:szCs w:val="18"/>
          <w:color w:val="auto"/>
        </w:rPr>
      </w:pPr>
    </w:p>
    <w:p>
      <w:pPr>
        <w:ind w:right="20" w:firstLine="8"/>
        <w:spacing w:after="0" w:line="282" w:lineRule="auto"/>
        <w:tabs>
          <w:tab w:leader="none" w:pos="2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Ltd. (the “Company”)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Yonge Street, Suite 1601, Toronto, Ontario, M5C 1T4, Canada</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2(a).</w:t>
      </w:r>
      <w:r>
        <w:rPr>
          <w:sz w:val="20"/>
          <w:szCs w:val="20"/>
          <w:color w:val="auto"/>
        </w:rPr>
        <w:tab/>
      </w:r>
      <w:r>
        <w:rPr>
          <w:rFonts w:ascii="Times New Roman" w:cs="Times New Roman" w:eastAsia="Times New Roman" w:hAnsi="Times New Roman"/>
          <w:sz w:val="17"/>
          <w:szCs w:val="17"/>
          <w:color w:val="auto"/>
        </w:rPr>
        <w:t>Name of Person Filing</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statement is filed by the entities listed below, who are collectively referred to herein as “Reporting Persons,” with respect to the common shares of the Company, no par value (the “Shares”).</w:t>
      </w:r>
    </w:p>
    <w:p>
      <w:pPr>
        <w:spacing w:after="0" w:line="162"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CVI Investments, Inc.</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Heights Capital Management, Inc.</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2(b).</w:t>
      </w:r>
      <w:r>
        <w:rPr>
          <w:sz w:val="20"/>
          <w:szCs w:val="20"/>
          <w:color w:val="auto"/>
        </w:rPr>
        <w:tab/>
      </w:r>
      <w:r>
        <w:rPr>
          <w:rFonts w:ascii="Times New Roman" w:cs="Times New Roman" w:eastAsia="Times New Roman" w:hAnsi="Times New Roman"/>
          <w:sz w:val="17"/>
          <w:szCs w:val="17"/>
          <w:color w:val="auto"/>
        </w:rPr>
        <w:t>Address of Principal Business Office or, if none, Residence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the principal business office of CVI Investments, Inc. 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 Box 309GT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Ugland House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South Church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George Town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the principal business office of Heights Capital Management, Inc. 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 California Street, Suite 3250</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207"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2(c).</w:t>
      </w:r>
      <w:r>
        <w:rPr>
          <w:sz w:val="20"/>
          <w:szCs w:val="20"/>
          <w:color w:val="auto"/>
        </w:rPr>
        <w:tab/>
      </w:r>
      <w:r>
        <w:rPr>
          <w:rFonts w:ascii="Times New Roman" w:cs="Times New Roman" w:eastAsia="Times New Roman" w:hAnsi="Times New Roman"/>
          <w:sz w:val="17"/>
          <w:szCs w:val="17"/>
          <w:color w:val="auto"/>
        </w:rPr>
        <w:t>Citizenship</w:t>
      </w:r>
    </w:p>
    <w:p>
      <w:pPr>
        <w:spacing w:after="0" w:line="225"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Citizenship is set forth in Row 4 of the cover page for each Reporting Person hereto and is incorporated herein by reference for each such Reporting Person.</w:t>
      </w:r>
    </w:p>
    <w:p>
      <w:pPr>
        <w:spacing w:after="0" w:line="162"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shares, no par value</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7"/>
          <w:szCs w:val="17"/>
          <w:color w:val="auto"/>
        </w:rPr>
        <w:t>CUSIP Number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09173B107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320" w:top="904" w:right="7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§§240.13d-1(b) or 240.13d-2(b) or (c), check whether the person filing is a:</w:t>
      </w:r>
    </w:p>
    <w:p>
      <w:pPr>
        <w:spacing w:after="0" w:line="198" w:lineRule="exact"/>
        <w:rPr>
          <w:sz w:val="20"/>
          <w:szCs w:val="20"/>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11" w:lineRule="exact"/>
        <w:rPr>
          <w:rFonts w:ascii="Times New Roman" w:cs="Times New Roman" w:eastAsia="Times New Roman" w:hAnsi="Times New Roman"/>
          <w:sz w:val="18"/>
          <w:szCs w:val="18"/>
          <w:color w:val="auto"/>
        </w:rPr>
      </w:pPr>
    </w:p>
    <w:p>
      <w:pPr>
        <w:ind w:left="660" w:right="100" w:hanging="652"/>
        <w:spacing w:after="0" w:line="245" w:lineRule="exact"/>
        <w:tabs>
          <w:tab w:leader="none" w:pos="417"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71"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 ________________</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Ownership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 – (c) is set forth in Rows 5 – 11 of the cover page for each Reporting Person hereto and is incorporated herein by reference for each such Reporting Person.</w:t>
      </w:r>
    </w:p>
    <w:p>
      <w:pPr>
        <w:spacing w:after="0" w:line="162"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Amendment No. 3 to the Company’s Registration Statement on Form F-10 (Registration No. 333-272989), filed on November 20, 2023, indicates there were 277,684,000 Shares outstanding as of that date. In addition, the Company’s Report of Foreign Private Issuer on Form 6-K, filed on November 29, 2023, indicates the Company issued a total of 44,444,446 Shares in connection with the offering of Shares referred to therein (excluding Shares underlying warrants issued at the same time).</w:t>
      </w:r>
    </w:p>
    <w:p>
      <w:pPr>
        <w:spacing w:after="0" w:line="180" w:lineRule="exact"/>
        <w:rPr>
          <w:sz w:val="20"/>
          <w:szCs w:val="20"/>
          <w:color w:val="auto"/>
        </w:rPr>
      </w:pPr>
    </w:p>
    <w:p>
      <w:pPr>
        <w:ind w:left="660" w:right="160"/>
        <w:spacing w:after="0" w:line="266" w:lineRule="auto"/>
        <w:rPr>
          <w:sz w:val="20"/>
          <w:szCs w:val="20"/>
          <w:color w:val="auto"/>
        </w:rPr>
      </w:pPr>
      <w:r>
        <w:rPr>
          <w:rFonts w:ascii="Times New Roman" w:cs="Times New Roman" w:eastAsia="Times New Roman" w:hAnsi="Times New Roman"/>
          <w:sz w:val="18"/>
          <w:szCs w:val="18"/>
          <w:color w:val="auto"/>
        </w:rPr>
        <w:t>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176"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w:t>
      </w:r>
    </w:p>
    <w:p>
      <w:pPr>
        <w:spacing w:after="0" w:line="225" w:lineRule="exact"/>
        <w:rPr>
          <w:sz w:val="20"/>
          <w:szCs w:val="20"/>
          <w:color w:val="auto"/>
        </w:rPr>
      </w:pPr>
    </w:p>
    <w:p>
      <w:pPr>
        <w:ind w:firstLine="824"/>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920" w:hanging="890"/>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color w:val="auto"/>
        </w:rPr>
        <w:t>Identification and Classification of Members of the Group</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w:t>
      </w:r>
    </w:p>
    <w:p>
      <w:pPr>
        <w:spacing w:after="0" w:line="225" w:lineRule="exact"/>
        <w:rPr>
          <w:sz w:val="20"/>
          <w:szCs w:val="20"/>
          <w:color w:val="auto"/>
        </w:rPr>
      </w:pPr>
    </w:p>
    <w:p>
      <w:pPr>
        <w:ind w:right="260" w:firstLine="824"/>
        <w:spacing w:after="0" w:line="266"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160" w:firstLine="8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December 1, 2023</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CVI INVESTMENTS,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HEIGHTS CAPITAL MANAGEMENT, INC.</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Heights Capital Management, Inc. pursuant to a Limited Power of</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r>
      <w:tr>
        <w:trPr>
          <w:trHeight w:val="191"/>
        </w:trPr>
        <w:tc>
          <w:tcPr>
            <w:tcW w:w="5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Attorney, a copy of which is attached as Exhibit I hereto</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 Secretary</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c>
          <w:tcPr>
            <w:tcW w:w="780" w:type="dxa"/>
            <w:vAlign w:val="bottom"/>
          </w:tcPr>
          <w:p>
            <w:pPr>
              <w:spacing w:after="0"/>
              <w:rPr>
                <w:sz w:val="16"/>
                <w:szCs w:val="16"/>
                <w:color w:val="auto"/>
              </w:rPr>
            </w:pPr>
          </w:p>
        </w:tc>
        <w:tc>
          <w:tcPr>
            <w:tcW w:w="49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21"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140" w:hanging="113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Power of Attorney</w:t>
      </w:r>
    </w:p>
    <w:p>
      <w:pPr>
        <w:spacing w:after="0" w:line="2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LIMITED POWER OF ATTORNEY</w:t>
      </w:r>
    </w:p>
    <w:p>
      <w:pPr>
        <w:spacing w:after="0" w:line="229" w:lineRule="exact"/>
        <w:rPr>
          <w:sz w:val="20"/>
          <w:szCs w:val="20"/>
          <w:color w:val="auto"/>
        </w:rPr>
      </w:pPr>
    </w:p>
    <w:p>
      <w:pPr>
        <w:ind w:right="340" w:hanging="3"/>
        <w:spacing w:after="0" w:line="282" w:lineRule="auto"/>
        <w:rPr>
          <w:sz w:val="20"/>
          <w:szCs w:val="20"/>
          <w:color w:val="auto"/>
        </w:rPr>
      </w:pPr>
      <w:r>
        <w:rPr>
          <w:rFonts w:ascii="Times New Roman" w:cs="Times New Roman" w:eastAsia="Times New Roman" w:hAnsi="Times New Roman"/>
          <w:sz w:val="18"/>
          <w:szCs w:val="18"/>
          <w:color w:val="auto"/>
        </w:rPr>
        <w:t>THIS LIMITED POWER OF ATTORNEY given on the 16th day of July, 2015 by CVI Investments, Inc. (hereinafter called "the Company"), whose Registered Office is situated at PO Box 309GT, Ugland House, South Church Street, George Town, Grand Cayman, Cayman Islands.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WHEREAS, by agreement dated July 16, 2015, by and between the Company and Heights Capital Management, Inc., the Company expressly authorized Heights Capital Management, Inc. to enter into transactions in certain designated areas as defined in the Discretionary Investment Management Agreement attached hereto marked "Appendix l."</w:t>
      </w:r>
    </w:p>
    <w:p>
      <w:pPr>
        <w:spacing w:after="0" w:line="176" w:lineRule="exact"/>
        <w:rPr>
          <w:sz w:val="20"/>
          <w:szCs w:val="20"/>
          <w:color w:val="auto"/>
        </w:rPr>
      </w:pPr>
    </w:p>
    <w:p>
      <w:pPr>
        <w:ind w:left="240" w:right="40"/>
        <w:spacing w:after="0" w:line="254" w:lineRule="auto"/>
        <w:rPr>
          <w:sz w:val="20"/>
          <w:szCs w:val="20"/>
          <w:color w:val="auto"/>
        </w:rPr>
      </w:pPr>
      <w:r>
        <w:rPr>
          <w:rFonts w:ascii="Times New Roman" w:cs="Times New Roman" w:eastAsia="Times New Roman" w:hAnsi="Times New Roman"/>
          <w:sz w:val="18"/>
          <w:szCs w:val="18"/>
          <w:color w:val="auto"/>
        </w:rPr>
        <w:t>NOW THIS DEED WITNESSETH that William Walmsley, Director of the Company, hereby appoints on behalf of the Company the firm of HEIGHTS CAPITAL MANAGEMENT, INC., which through its officers, directors and employees is hereby formally granted limited power of attorney for the purpose of entering into transactions on behalf and for the account of the Company; and to take all actions on behalf of the Company as may be necessary to consummate such transactions, including but not limited to making, negotiating; signing, endorsing, executing, acknowledging and delivering in the name of the Company all applications, contracts, agreements, notes, statements, certificates, proxies and any other instruments of whatever kind and nature as may be necessary or proper in connection with the entering into of such transactions, instructing the transfer of funds where necessary with respect to such transactions, and performing all of the services specified under the Discretionary Investment Management Agreement with respect to such transactions.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WITNESS WHEREOF, the Company has caused this Limited Power of Attorney to take effect on the day and year above written.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CVI Investments, Inc.</w:t>
      </w:r>
    </w:p>
    <w:p>
      <w:pPr>
        <w:spacing w:after="0" w:line="2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William Walmsley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William Walmsley,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4" w:right="5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shares of Bitfarms Ltd., no par value,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as of December 1, 2023</w:t>
            </w:r>
          </w:p>
        </w:tc>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CVI INVESTMENTS, INC.</w:t>
            </w:r>
          </w:p>
        </w:tc>
        <w:tc>
          <w:tcPr>
            <w:tcW w:w="5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HEIGHTS CAPITAL MANAGEMENT, INC.</w:t>
            </w:r>
          </w:p>
        </w:tc>
      </w:tr>
      <w:tr>
        <w:trPr>
          <w:trHeight w:val="432"/>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Heights Capital Management, Inc. pursuant to a Limited Power of</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r>
      <w:tr>
        <w:trPr>
          <w:trHeight w:val="191"/>
        </w:trPr>
        <w:tc>
          <w:tcPr>
            <w:tcW w:w="55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Attorney</w:t>
            </w:r>
          </w:p>
        </w:tc>
        <w:tc>
          <w:tcPr>
            <w:tcW w:w="76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r>
      <w:tr>
        <w:trPr>
          <w:trHeight w:val="234"/>
        </w:trPr>
        <w:tc>
          <w:tcPr>
            <w:tcW w:w="6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c>
          <w:tcPr>
            <w:tcW w:w="76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86"/>
              </w:rPr>
              <w:t>Name:      </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c>
          <w:tcPr>
            <w:tcW w:w="760" w:type="dxa"/>
            <w:vAlign w:val="bottom"/>
          </w:tcPr>
          <w:p>
            <w:pPr>
              <w:spacing w:after="0"/>
              <w:rPr>
                <w:sz w:val="16"/>
                <w:szCs w:val="16"/>
                <w:color w:val="auto"/>
              </w:rPr>
            </w:pPr>
          </w:p>
        </w:tc>
        <w:tc>
          <w:tcPr>
            <w:tcW w:w="4940" w:type="dxa"/>
            <w:vAlign w:val="bottom"/>
          </w:tcPr>
          <w:p>
            <w:pPr>
              <w:spacing w:after="0"/>
              <w:rPr>
                <w:sz w:val="16"/>
                <w:szCs w:val="16"/>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Secretary</w:t>
            </w:r>
          </w:p>
        </w:tc>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675"/>
        </w:trPr>
        <w:tc>
          <w:tcPr>
            <w:tcW w:w="6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3"/>
    </w:lvl>
    <w:lvl w:ilvl="1">
      <w:lvlJc w:val="left"/>
      <w:lvlText w:val="(%2)"/>
      <w:numFmt w:val="decimal"/>
      <w:start w:val="5"/>
    </w:lvl>
  </w:abstractNum>
  <w:abstractNum w:abstractNumId="3">
    <w:nsid w:val="216231B"/>
    <w:multiLevelType w:val="hybridMultilevel"/>
    <w:lvl w:ilvl="0">
      <w:lvlJc w:val="left"/>
      <w:lvlText w:val="%1"/>
      <w:numFmt w:val="decimal"/>
      <w:start w:val="1"/>
    </w:lvl>
    <w:lvl w:ilvl="1">
      <w:lvlJc w:val="left"/>
      <w:lvlText w:val="(%2)"/>
      <w:numFmt w:val="decimal"/>
      <w:start w:val="8"/>
    </w:lvl>
  </w:abstractNum>
  <w:abstractNum w:abstractNumId="4">
    <w:nsid w:val="1F16E9E8"/>
    <w:multiLevelType w:val="hybridMultilevel"/>
    <w:lvl w:ilvl="0">
      <w:lvlJc w:val="left"/>
      <w:lvlText w:val="(%1)"/>
      <w:numFmt w:val="decimal"/>
      <w:start w:val="9"/>
    </w:lvl>
    <w:lvl w:ilvl="1">
      <w:lvlJc w:val="left"/>
      <w:lvlText w:val="%2"/>
      <w:numFmt w:val="decimal"/>
      <w:start w:val="1"/>
    </w:lvl>
  </w:abstractNum>
  <w:abstractNum w:abstractNumId="5">
    <w:nsid w:val="1190CDE7"/>
    <w:multiLevelType w:val="hybridMultilevel"/>
    <w:lvl w:ilvl="0">
      <w:lvlJc w:val="left"/>
      <w:lvlText w:val="(%1)"/>
      <w:numFmt w:val="decimal"/>
      <w:start w:val="10"/>
    </w:lvl>
  </w:abstractNum>
  <w:abstractNum w:abstractNumId="6">
    <w:nsid w:val="66EF438D"/>
    <w:multiLevelType w:val="hybridMultilevel"/>
    <w:lvl w:ilvl="0">
      <w:lvlJc w:val="left"/>
      <w:lvlText w:val="**"/>
      <w:numFmt w:val="bullet"/>
      <w:start w:val="1"/>
    </w:lvl>
    <w:lvl w:ilvl="1">
      <w:lvlJc w:val="left"/>
      <w:lvlText w:val="(%2)"/>
      <w:numFmt w:val="decimal"/>
      <w:start w:val="1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3"/>
    </w:lvl>
    <w:lvl w:ilvl="1">
      <w:lvlJc w:val="left"/>
      <w:lvlText w:val="(%2)"/>
      <w:numFmt w:val="decimal"/>
      <w:start w:val="5"/>
    </w:lvl>
  </w:abstractNum>
  <w:abstractNum w:abstractNumId="9">
    <w:nsid w:val="109CF92E"/>
    <w:multiLevelType w:val="hybridMultilevel"/>
    <w:lvl w:ilvl="0">
      <w:lvlJc w:val="left"/>
      <w:lvlText w:val="%1"/>
      <w:numFmt w:val="decimal"/>
      <w:start w:val="1"/>
    </w:lvl>
    <w:lvl w:ilvl="1">
      <w:lvlJc w:val="left"/>
      <w:lvlText w:val="(%2)"/>
      <w:numFmt w:val="decimal"/>
      <w:start w:val="8"/>
    </w:lvl>
  </w:abstractNum>
  <w:abstractNum w:abstractNumId="10">
    <w:nsid w:val="DED7263"/>
    <w:multiLevelType w:val="hybridMultilevel"/>
    <w:lvl w:ilvl="0">
      <w:lvlJc w:val="left"/>
      <w:lvlText w:val="(%1)"/>
      <w:numFmt w:val="decimal"/>
      <w:start w:val="9"/>
    </w:lvl>
    <w:lvl w:ilvl="1">
      <w:lvlJc w:val="left"/>
      <w:lvlText w:val="%2"/>
      <w:numFmt w:val="decimal"/>
      <w:start w:val="1"/>
    </w:lvl>
  </w:abstractNum>
  <w:abstractNum w:abstractNumId="11">
    <w:nsid w:val="7FDCC233"/>
    <w:multiLevelType w:val="hybridMultilevel"/>
    <w:lvl w:ilvl="0">
      <w:lvlJc w:val="left"/>
      <w:lvlText w:val="(%1)"/>
      <w:numFmt w:val="decimal"/>
      <w:start w:val="10"/>
    </w:lvl>
  </w:abstractNum>
  <w:abstractNum w:abstractNumId="12">
    <w:nsid w:val="1BEFD79F"/>
    <w:multiLevelType w:val="hybridMultilevel"/>
    <w:lvl w:ilvl="0">
      <w:lvlJc w:val="left"/>
      <w:lvlText w:val="**"/>
      <w:numFmt w:val="bullet"/>
      <w:start w:val="1"/>
    </w:lvl>
    <w:lvl w:ilvl="1">
      <w:lvlJc w:val="left"/>
      <w:lvlText w:val="(%2)"/>
      <w:numFmt w:val="decimal"/>
      <w:start w:val="1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Roman"/>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2023-12-01T13:33:59Z</dcterms:created>
  <dcterms:modified xsi:type="dcterms:W3CDTF">2023-12-01T13:33:59Z</dcterms:modified>
</cp:coreProperties>
</file>