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month of August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280"/>
        <w:spacing w:after="0" w:line="207" w:lineRule="exact"/>
        <w:tabs>
          <w:tab w:leader="none" w:pos="56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197485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643255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August 7,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August 7, 2023</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7" w:lineRule="exact"/>
        <w:rPr>
          <w:sz w:val="20"/>
          <w:szCs w:val="20"/>
          <w:color w:val="auto"/>
        </w:rPr>
      </w:pPr>
    </w:p>
    <w:p>
      <w:pPr>
        <w:ind w:left="704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7040"/>
        <w:spacing w:after="0"/>
        <w:tabs>
          <w:tab w:leader="none" w:pos="7580" w:val="left"/>
        </w:tabs>
        <w:rPr>
          <w:sz w:val="20"/>
          <w:szCs w:val="20"/>
          <w:color w:val="auto"/>
        </w:rPr>
      </w:pPr>
      <w:r>
        <w:rPr>
          <w:rFonts w:ascii="Arial" w:cs="Arial" w:eastAsia="Arial" w:hAnsi="Arial"/>
          <w:sz w:val="18"/>
          <w:szCs w:val="18"/>
          <w:color w:val="auto"/>
        </w:rPr>
        <w:t>Title:</w:t>
        <w:tab/>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7,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August 7,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20320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Initiates Deployment Plan for 50 MW of Hydropower in Paraguay</w:t>
      </w:r>
    </w:p>
    <w:p>
      <w:pPr>
        <w:spacing w:after="0" w:line="234" w:lineRule="exact"/>
        <w:rPr>
          <w:sz w:val="20"/>
          <w:szCs w:val="20"/>
          <w:color w:val="auto"/>
        </w:rPr>
      </w:pPr>
    </w:p>
    <w:p>
      <w:pPr>
        <w:ind w:left="4480" w:right="3520" w:hanging="951"/>
        <w:spacing w:after="0" w:line="274" w:lineRule="auto"/>
        <w:tabs>
          <w:tab w:leader="none" w:pos="3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20 MW of MicroBT hydro-cooled miners and containers purchased with vendor credits -</w:t>
      </w:r>
    </w:p>
    <w:p>
      <w:pPr>
        <w:ind w:left="4680" w:hanging="99"/>
        <w:spacing w:after="0"/>
        <w:tabs>
          <w:tab w:leader="none" w:pos="4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30 MW air-cooled facility -</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i w:val="1"/>
          <w:iCs w:val="1"/>
          <w:color w:val="auto"/>
        </w:rPr>
        <w:t>This news release constitutes a “designated news release” for purposes of the Company’s prospectus supplement dated August 16, 2021, to its short form base shelf prospectus dated August 12, 2021.</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(August 7,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initiated its first phase of development for its recently acquired 150 MW hydropower contracts in Paraguay announced July 19, 2023. Bitfarms will be building a new 50 MW farm at Paso Pe, Paraguay, which is located in close proximity to its Villarrica, Paraguay facility, and it expects its new farm to be fully commissioned at 50 MW in Q1 2024.</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“Achieving high operating efficiencies while minimizing capex is an overarching goal in our global growth strategy heading into next year’s halving. Based on our experience in the jurisdiction, Paraguay affords both low building costs and fast time to completion,” said Geoff Morphy, CEO of Bitfarms. “We will construct a 50 MW substation to power a 30 MW air-cooled warehouse and install 20 MW of containers specifically built for MicroBT M53S+ hydro-cooled miners, all of which are being purchased with vendor credits. These credits significantly reduce our overall cash outlay and will leverage cash-on-cash returns.”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 Gagnon, Chief Mining Officer of Bitfarms, added, “This marks our first deployment of hydro-cooled mining technology that has the potential to be less expensive than immersion technology. We look forward to integrating and quickly gaining experience with this new hydro-cooled technology in a cost effective manner. As the 1,920 M53S+ are expected to produce an impressive 675 PH/s with 28.5 w/TH efficiency, they are projected to be some of the highest performance miners in our fleet.”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MicroBT Equipment and Miner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 MicroBT 2.4 MW Hydro Containers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1,920 MicroBT M53S+ Hydro Miners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675 PHs at 28.5 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Miners and infrastructure purchased with credits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800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t>About Bitfarms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11 operating farms and 2 farms in development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W/TH = Watts per Terahas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Forward-Looking Statements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establishment of a new mining facility in Paraguay, and the performance of miners to be installed and the costs associated therewith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Noor Dar</w:t>
      </w:r>
    </w:p>
    <w:p>
      <w:pPr>
        <w:spacing w:after="0" w:line="9" w:lineRule="exact"/>
        <w:rPr>
          <w:sz w:val="20"/>
          <w:szCs w:val="20"/>
          <w:color w:val="auto"/>
        </w:rPr>
      </w:pPr>
    </w:p>
    <w:p>
      <w:pPr>
        <w:ind w:right="7959" w:firstLine="8"/>
        <w:spacing w:after="0" w:line="323" w:lineRule="auto"/>
        <w:tabs>
          <w:tab w:leader="none" w:pos="146" w:val="left"/>
        </w:tabs>
        <w:numPr>
          <w:ilvl w:val="0"/>
          <w:numId w:val="4"/>
        </w:numPr>
        <w:rPr>
          <w:rFonts w:ascii="Arial" w:cs="Arial" w:eastAsia="Arial" w:hAnsi="Arial"/>
          <w:sz w:val="16"/>
          <w:szCs w:val="16"/>
          <w:color w:val="auto"/>
        </w:rPr>
      </w:pPr>
      <w:r>
        <w:rPr>
          <w:rFonts w:ascii="Arial" w:cs="Arial" w:eastAsia="Arial" w:hAnsi="Arial"/>
          <w:sz w:val="16"/>
          <w:szCs w:val="16"/>
          <w:color w:val="auto"/>
        </w:rPr>
        <w:t>1 516-270-4009 mediarelations@bitfarms.com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2023-08-07T15:11:58Z</dcterms:created>
  <dcterms:modified xsi:type="dcterms:W3CDTF">2023-08-07T15:11:58Z</dcterms:modified>
</cp:coreProperties>
</file>