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10)*</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Riot Platforms,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3855 Ambrosia Street, Suite 301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Castle Rock, CO 80109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Telephone: (303) 794-2000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 to: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William Jackman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09173B107</w:t>
            </w:r>
          </w:p>
        </w:tc>
        <w:tc>
          <w:tcPr>
            <w:tcW w:w="10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5"/>
              </w:rPr>
              <w:t>Page 2 of 5</w:t>
            </w: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SCHEDULE 13D</w:t>
            </w: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2"/>
          </w:tcPr>
          <w:p>
            <w:pPr>
              <w:spacing w:after="0"/>
              <w:rPr>
                <w:sz w:val="18"/>
                <w:szCs w:val="18"/>
                <w:color w:val="auto"/>
              </w:rPr>
            </w:pPr>
          </w:p>
        </w:tc>
        <w:tc>
          <w:tcPr>
            <w:tcW w:w="5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5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Riot Platforms, Inc.</w:t>
            </w: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8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1340" w:type="dxa"/>
            <w:vAlign w:val="bottom"/>
            <w:tcBorders>
              <w:right w:val="single" w:sz="8" w:color="auto"/>
            </w:tcBorders>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600" w:type="dxa"/>
            <w:vAlign w:val="bottom"/>
            <w:tcBorders>
              <w:left w:val="single" w:sz="8" w:color="auto"/>
              <w:right w:val="single" w:sz="8" w:color="auto"/>
            </w:tcBorders>
          </w:tcPr>
          <w:p>
            <w:pPr>
              <w:spacing w:after="0"/>
              <w:rPr>
                <w:sz w:val="13"/>
                <w:szCs w:val="13"/>
                <w:color w:val="auto"/>
              </w:rPr>
            </w:pPr>
          </w:p>
        </w:tc>
        <w:tc>
          <w:tcPr>
            <w:tcW w:w="2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134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2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10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2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SOURCE OF FUNDS</w:t>
            </w:r>
          </w:p>
        </w:tc>
        <w:tc>
          <w:tcPr>
            <w:tcW w:w="10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242424"/>
              </w:rPr>
              <w:t>WC</w:t>
            </w: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8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5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876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w:t>
            </w:r>
          </w:p>
        </w:tc>
        <w:tc>
          <w:tcPr>
            <w:tcW w:w="8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54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Nevada</w:t>
            </w: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5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00" w:type="dxa"/>
            <w:vAlign w:val="bottom"/>
            <w:tcBorders>
              <w:left w:val="single" w:sz="8" w:color="auto"/>
            </w:tcBorders>
          </w:tcPr>
          <w:p>
            <w:pPr>
              <w:spacing w:after="0"/>
              <w:rPr>
                <w:sz w:val="24"/>
                <w:szCs w:val="24"/>
                <w:color w:val="auto"/>
              </w:rPr>
            </w:pPr>
          </w:p>
        </w:tc>
        <w:tc>
          <w:tcPr>
            <w:tcW w:w="2020" w:type="dxa"/>
            <w:vAlign w:val="bottom"/>
            <w:tcBorders>
              <w:right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color w:val="auto"/>
              </w:rPr>
              <w:t>NUMBER OF</w:t>
            </w:r>
          </w:p>
        </w:tc>
        <w:tc>
          <w:tcPr>
            <w:tcW w:w="1020" w:type="dxa"/>
            <w:vAlign w:val="bottom"/>
            <w:tcBorders>
              <w:bottom w:val="single" w:sz="8" w:color="auto"/>
              <w:right w:val="single" w:sz="8" w:color="auto"/>
            </w:tcBorders>
          </w:tcPr>
          <w:p>
            <w:pPr>
              <w:spacing w:after="0"/>
              <w:rPr>
                <w:sz w:val="24"/>
                <w:szCs w:val="24"/>
                <w:color w:val="auto"/>
              </w:rPr>
            </w:pPr>
          </w:p>
        </w:tc>
        <w:tc>
          <w:tcPr>
            <w:tcW w:w="5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85,293,054</w:t>
            </w: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5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BENEFICIALLY</w:t>
            </w:r>
          </w:p>
        </w:tc>
        <w:tc>
          <w:tcPr>
            <w:tcW w:w="1020" w:type="dxa"/>
            <w:vAlign w:val="bottom"/>
            <w:tcBorders>
              <w:right w:val="single" w:sz="8" w:color="auto"/>
            </w:tcBorders>
          </w:tcPr>
          <w:p>
            <w:pPr>
              <w:spacing w:after="0"/>
              <w:rPr>
                <w:sz w:val="18"/>
                <w:szCs w:val="18"/>
                <w:color w:val="auto"/>
              </w:rPr>
            </w:pPr>
          </w:p>
        </w:tc>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2020" w:type="dxa"/>
            <w:vAlign w:val="bottom"/>
            <w:tcBorders>
              <w:right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color w:val="auto"/>
              </w:rPr>
              <w:t>OWNED BY</w:t>
            </w:r>
          </w:p>
        </w:tc>
        <w:tc>
          <w:tcPr>
            <w:tcW w:w="1020" w:type="dxa"/>
            <w:vAlign w:val="bottom"/>
            <w:tcBorders>
              <w:bottom w:val="single" w:sz="8" w:color="auto"/>
              <w:right w:val="single" w:sz="8" w:color="auto"/>
            </w:tcBorders>
          </w:tcPr>
          <w:p>
            <w:pPr>
              <w:spacing w:after="0"/>
              <w:rPr>
                <w:sz w:val="20"/>
                <w:szCs w:val="20"/>
                <w:color w:val="auto"/>
              </w:rPr>
            </w:pPr>
          </w:p>
        </w:tc>
        <w:tc>
          <w:tcPr>
            <w:tcW w:w="572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00" w:type="dxa"/>
            <w:vAlign w:val="bottom"/>
            <w:tcBorders>
              <w:left w:val="single" w:sz="8" w:color="auto"/>
            </w:tcBorders>
          </w:tcPr>
          <w:p>
            <w:pPr>
              <w:spacing w:after="0"/>
              <w:rPr>
                <w:sz w:val="15"/>
                <w:szCs w:val="15"/>
                <w:color w:val="auto"/>
              </w:rPr>
            </w:pPr>
          </w:p>
        </w:tc>
        <w:tc>
          <w:tcPr>
            <w:tcW w:w="2020" w:type="dxa"/>
            <w:vAlign w:val="bottom"/>
            <w:tcBorders>
              <w:right w:val="single" w:sz="8" w:color="auto"/>
            </w:tcBorders>
          </w:tcPr>
          <w:p>
            <w:pPr>
              <w:jc w:val="center"/>
              <w:ind w:right="55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02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572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54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8"/>
              </w:rPr>
              <w:t>REPORTING</w:t>
            </w:r>
          </w:p>
        </w:tc>
        <w:tc>
          <w:tcPr>
            <w:tcW w:w="1020" w:type="dxa"/>
            <w:vAlign w:val="bottom"/>
            <w:tcBorders>
              <w:right w:val="single" w:sz="8" w:color="auto"/>
            </w:tcBorders>
          </w:tcPr>
          <w:p>
            <w:pPr>
              <w:spacing w:after="0"/>
              <w:rPr>
                <w:sz w:val="18"/>
                <w:szCs w:val="18"/>
                <w:color w:val="auto"/>
              </w:rPr>
            </w:pPr>
          </w:p>
        </w:tc>
        <w:tc>
          <w:tcPr>
            <w:tcW w:w="5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PERSON</w:t>
            </w:r>
          </w:p>
        </w:tc>
        <w:tc>
          <w:tcPr>
            <w:tcW w:w="1020" w:type="dxa"/>
            <w:vAlign w:val="bottom"/>
            <w:tcBorders>
              <w:right w:val="single" w:sz="8" w:color="auto"/>
            </w:tcBorders>
          </w:tcPr>
          <w:p>
            <w:pPr>
              <w:spacing w:after="0"/>
              <w:rPr>
                <w:sz w:val="18"/>
                <w:szCs w:val="18"/>
                <w:color w:val="auto"/>
              </w:rPr>
            </w:pPr>
          </w:p>
        </w:tc>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85,293,054</w:t>
            </w:r>
          </w:p>
        </w:tc>
        <w:tc>
          <w:tcPr>
            <w:tcW w:w="5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600" w:type="dxa"/>
            <w:vAlign w:val="bottom"/>
            <w:tcBorders>
              <w:left w:val="single" w:sz="8" w:color="auto"/>
            </w:tcBorders>
          </w:tcPr>
          <w:p>
            <w:pPr>
              <w:spacing w:after="0"/>
              <w:rPr>
                <w:sz w:val="5"/>
                <w:szCs w:val="5"/>
                <w:color w:val="auto"/>
              </w:rPr>
            </w:pPr>
          </w:p>
        </w:tc>
        <w:tc>
          <w:tcPr>
            <w:tcW w:w="2020" w:type="dxa"/>
            <w:vAlign w:val="bottom"/>
            <w:tcBorders>
              <w:right w:val="single" w:sz="8" w:color="auto"/>
            </w:tcBorders>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7"/>
              </w:rPr>
              <w:t>WITH</w:t>
            </w:r>
          </w:p>
        </w:tc>
        <w:tc>
          <w:tcPr>
            <w:tcW w:w="1020" w:type="dxa"/>
            <w:vAlign w:val="bottom"/>
            <w:tcBorders>
              <w:bottom w:val="single" w:sz="8" w:color="auto"/>
              <w:right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600" w:type="dxa"/>
            <w:vAlign w:val="bottom"/>
            <w:tcBorders>
              <w:left w:val="single" w:sz="8" w:color="auto"/>
            </w:tcBorders>
          </w:tcPr>
          <w:p>
            <w:pPr>
              <w:spacing w:after="0"/>
              <w:rPr>
                <w:sz w:val="13"/>
                <w:szCs w:val="13"/>
                <w:color w:val="auto"/>
              </w:rPr>
            </w:pPr>
          </w:p>
        </w:tc>
        <w:tc>
          <w:tcPr>
            <w:tcW w:w="2020" w:type="dxa"/>
            <w:vAlign w:val="bottom"/>
            <w:tcBorders>
              <w:right w:val="single" w:sz="8" w:color="auto"/>
            </w:tcBorders>
            <w:vMerge w:val="continue"/>
          </w:tcPr>
          <w:p>
            <w:pPr>
              <w:spacing w:after="0"/>
              <w:rPr>
                <w:sz w:val="13"/>
                <w:szCs w:val="13"/>
                <w:color w:val="auto"/>
              </w:rPr>
            </w:pPr>
          </w:p>
        </w:tc>
        <w:tc>
          <w:tcPr>
            <w:tcW w:w="10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54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600" w:type="dxa"/>
            <w:vAlign w:val="bottom"/>
            <w:tcBorders>
              <w:left w:val="single" w:sz="8" w:color="auto"/>
            </w:tcBorders>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5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4"/>
        </w:trPr>
        <w:tc>
          <w:tcPr>
            <w:tcW w:w="600" w:type="dxa"/>
            <w:vAlign w:val="bottom"/>
            <w:tcBorders>
              <w:left w:val="single" w:sz="8" w:color="auto"/>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5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w:t>
            </w:r>
          </w:p>
        </w:tc>
        <w:tc>
          <w:tcPr>
            <w:tcW w:w="3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0"/>
              </w:rPr>
              <w:t>AGGREGATE AMOUNT BENEFICIALLY</w:t>
            </w:r>
          </w:p>
        </w:tc>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OWNED BY EACH REPORTING PERSON</w:t>
            </w:r>
          </w:p>
        </w:tc>
        <w:tc>
          <w:tcPr>
            <w:tcW w:w="5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85,293,054</w:t>
            </w: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w:t>
            </w:r>
          </w:p>
        </w:tc>
        <w:tc>
          <w:tcPr>
            <w:tcW w:w="87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540" w:type="dxa"/>
            <w:vAlign w:val="bottom"/>
            <w:tcBorders>
              <w:bottom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w:t>
            </w:r>
          </w:p>
        </w:tc>
        <w:tc>
          <w:tcPr>
            <w:tcW w:w="8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54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242424"/>
              </w:rPr>
              <w:t>18.9%</w:t>
            </w: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w:t>
            </w:r>
          </w:p>
        </w:tc>
        <w:tc>
          <w:tcPr>
            <w:tcW w:w="3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5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6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3 of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Amendment No. 10 to Schedule 13D (“</w:t>
      </w:r>
      <w:r>
        <w:rPr>
          <w:rFonts w:ascii="Times New Roman" w:cs="Times New Roman" w:eastAsia="Times New Roman" w:hAnsi="Times New Roman"/>
          <w:sz w:val="18"/>
          <w:szCs w:val="18"/>
          <w:u w:val="single" w:color="auto"/>
          <w:color w:val="auto"/>
        </w:rPr>
        <w:t>Amendment No. 10</w:t>
      </w:r>
      <w:r>
        <w:rPr>
          <w:rFonts w:ascii="Times New Roman" w:cs="Times New Roman" w:eastAsia="Times New Roman" w:hAnsi="Times New Roman"/>
          <w:sz w:val="18"/>
          <w:szCs w:val="18"/>
          <w:color w:val="auto"/>
        </w:rPr>
        <w:t>”) relates to the Schedule 13D filed on May 28, 2024 (as amended by Amendment No. 1, dated May 29, 2024, Amendment No. 2, dated June 4, 2024, Amendment No. 3 dated June 5, 2024, Amendment No. 4 dated June 12, 2024, Amendment No. 5 dated June 13, 2024, Amendment No. 6 dated June 24, 2024, Amendment No. 7 dated July 31, 2024, Amendment No. 8 dated August 5, 2024 and Amendment No. 9 dated August 9,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by Riot Platforms, Inc., a Nevada corporation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relating to the Common Shares, no par value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Bitfarms Ltd., a corporation incorporated under the Canada Business Corporations Act and continued under the Business Corporations Act (Ontario), whose principal executive offices are located at 110 Yonge Street, Suite 1601, Toronto, Ontario, M5C 1T4.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specifically amended by this Amendment No. 10, the Schedule 13D is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restated to read in full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under Item 4 of the Schedule 13D (as amended by Amendment No. 10) is hereby incorporated by reference into this Item 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purchase price of the Common Shares held by the Reporting Person reported herein was US$190,940,256. The Common Shares beneficially owned by the Reporting Person were purchased using funds out of its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by adding the following information: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August 13, 2024, the Reporting Person issued a press release announcing that the Reporting Person had increased its beneficial ownership of the Common Shares to 18.9%. The foregoing summary of the press release is not intended to be complete and is qualified in its entirety by reference to the full text of the press release, which is filed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4 of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supplemented by adding the following information:</w:t>
      </w:r>
    </w:p>
    <w:p>
      <w:pPr>
        <w:spacing w:after="0" w:line="225" w:lineRule="exact"/>
        <w:rPr>
          <w:sz w:val="20"/>
          <w:szCs w:val="20"/>
          <w:color w:val="auto"/>
        </w:rPr>
      </w:pPr>
    </w:p>
    <w:p>
      <w:pPr>
        <w:ind w:firstLine="8"/>
        <w:spacing w:after="0" w:line="282" w:lineRule="auto"/>
        <w:tabs>
          <w:tab w:leader="none" w:pos="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concerning the Common Shares purchased by (or on behalf of) the Reporting Person during the 60-day period prior to this filing is added: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 Average Price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5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7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3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 Share (US$)</w:t>
            </w: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Price Range (US$)</w:t>
            </w:r>
          </w:p>
        </w:tc>
      </w:tr>
      <w:tr>
        <w:trPr>
          <w:trHeight w:val="210"/>
        </w:trPr>
        <w:tc>
          <w:tcPr>
            <w:tcW w:w="33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08/09/2024</w:t>
            </w:r>
          </w:p>
        </w:tc>
        <w:tc>
          <w:tcPr>
            <w:tcW w:w="1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w w:val="97"/>
              </w:rPr>
              <w:t>1,552,838</w:t>
            </w:r>
          </w:p>
        </w:tc>
        <w:tc>
          <w:tcPr>
            <w:tcW w:w="24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2.21 – 2.32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08/12/2024</w:t>
            </w:r>
          </w:p>
        </w:tc>
        <w:tc>
          <w:tcPr>
            <w:tcW w:w="120" w:type="dxa"/>
            <w:vAlign w:val="bottom"/>
          </w:tcPr>
          <w:p>
            <w:pPr>
              <w:spacing w:after="0"/>
              <w:rPr>
                <w:sz w:val="18"/>
                <w:szCs w:val="18"/>
                <w:color w:val="auto"/>
              </w:rPr>
            </w:pPr>
          </w:p>
        </w:tc>
        <w:tc>
          <w:tcPr>
            <w:tcW w:w="27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1,700,000</w:t>
            </w:r>
          </w:p>
        </w:tc>
        <w:tc>
          <w:tcPr>
            <w:tcW w:w="3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1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2.16 – 2.30</w:t>
            </w:r>
          </w:p>
        </w:tc>
      </w:tr>
      <w:tr>
        <w:trPr>
          <w:trHeight w:val="216"/>
        </w:trPr>
        <w:tc>
          <w:tcPr>
            <w:tcW w:w="33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08/13/2024</w:t>
            </w:r>
          </w:p>
        </w:tc>
        <w:tc>
          <w:tcPr>
            <w:tcW w:w="1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1,000,000</w:t>
            </w:r>
          </w:p>
        </w:tc>
        <w:tc>
          <w:tcPr>
            <w:tcW w:w="3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1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2.20 – 2.34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1:Press Release of the Reporting Person, dated August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5 of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Colin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Colin Yee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REPORTS BENEFICIAL OWNERSHIP OF 18.9% IN BITFARMS LTD.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CASTLE ROCK, CO, August 13, 2024 </w:t>
      </w:r>
      <w:r>
        <w:rPr>
          <w:rFonts w:ascii="Times New Roman" w:cs="Times New Roman" w:eastAsia="Times New Roman" w:hAnsi="Times New Roman"/>
          <w:sz w:val="18"/>
          <w:szCs w:val="18"/>
          <w:color w:val="auto"/>
        </w:rPr>
        <w:t>– Riot Platforms, Inc. (“</w:t>
      </w:r>
      <w:r>
        <w:rPr>
          <w:rFonts w:ascii="Times New Roman" w:cs="Times New Roman" w:eastAsia="Times New Roman" w:hAnsi="Times New Roman"/>
          <w:sz w:val="18"/>
          <w:szCs w:val="18"/>
          <w:b w:val="1"/>
          <w:bCs w:val="1"/>
          <w:color w:val="auto"/>
        </w:rPr>
        <w:t>Riot</w:t>
      </w:r>
      <w:r>
        <w:rPr>
          <w:rFonts w:ascii="Times New Roman" w:cs="Times New Roman" w:eastAsia="Times New Roman" w:hAnsi="Times New Roman"/>
          <w:sz w:val="18"/>
          <w:szCs w:val="18"/>
          <w:color w:val="auto"/>
        </w:rPr>
        <w:t xml:space="preserve">”) issues this press release pursuant to Part 3 of Canadian National Instrument 62-103 – </w:t>
      </w:r>
      <w:r>
        <w:rPr>
          <w:rFonts w:ascii="Times New Roman" w:cs="Times New Roman" w:eastAsia="Times New Roman" w:hAnsi="Times New Roman"/>
          <w:sz w:val="18"/>
          <w:szCs w:val="18"/>
          <w:i w:val="1"/>
          <w:iCs w:val="1"/>
          <w:color w:val="auto"/>
        </w:rPr>
        <w:t>The Early Warning System and Related Take-Over Bid and Insider Reporting Issues</w:t>
      </w:r>
      <w:r>
        <w:rPr>
          <w:rFonts w:ascii="Times New Roman" w:cs="Times New Roman" w:eastAsia="Times New Roman" w:hAnsi="Times New Roman"/>
          <w:sz w:val="18"/>
          <w:szCs w:val="18"/>
          <w:color w:val="auto"/>
        </w:rPr>
        <w:t xml:space="preserve"> and Part 5 of Canadian National Instrument 62-104 – </w:t>
      </w:r>
      <w:r>
        <w:rPr>
          <w:rFonts w:ascii="Times New Roman" w:cs="Times New Roman" w:eastAsia="Times New Roman" w:hAnsi="Times New Roman"/>
          <w:sz w:val="18"/>
          <w:szCs w:val="18"/>
          <w:i w:val="1"/>
          <w:iCs w:val="1"/>
          <w:color w:val="auto"/>
        </w:rPr>
        <w:t>Take-Over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Bids and Issuer Bids </w:t>
      </w:r>
      <w:r>
        <w:rPr>
          <w:rFonts w:ascii="Times New Roman" w:cs="Times New Roman" w:eastAsia="Times New Roman" w:hAnsi="Times New Roman"/>
          <w:sz w:val="18"/>
          <w:szCs w:val="18"/>
          <w:color w:val="auto"/>
        </w:rPr>
        <w:t>in respect of Bitfarms Ltd.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Riot announces that on August 13, 2024 it acquired ownership of 1,000,000 common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of the Company representing approximately 0.22% of the issued and outstanding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the Company (based on the information contained in the Company’s management’s discussion and analysis for the three and six months ended June 30, 2024 (the “</w:t>
      </w:r>
      <w:r>
        <w:rPr>
          <w:rFonts w:ascii="Times New Roman" w:cs="Times New Roman" w:eastAsia="Times New Roman" w:hAnsi="Times New Roman"/>
          <w:sz w:val="18"/>
          <w:szCs w:val="18"/>
          <w:b w:val="1"/>
          <w:bCs w:val="1"/>
          <w:color w:val="auto"/>
        </w:rPr>
        <w:t>Company’s Q2 MD&amp;A</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Purchased Shares were acquired through normal course purchases on the Nasdaq Stock Market and other open market trades for a weighted average price of approximately US$2.28 per Purchased Share (equivalent to approximately C$3.13 per Purchased Share based on the daily exchange rate posted by the Bank of Canada on August 13, 2024 (the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at a price range per Purchased Share of approximately US$2.20 to US$2.34 (equivalent to approximately C$3.02 to C$3.21 based on the Exchange Rate) for an aggregate amount equal to US$2,280,800.00 (equivalent to approximately C$3,129,942.84 based on the Exchange Rate).</w:t>
      </w:r>
    </w:p>
    <w:p>
      <w:pPr>
        <w:spacing w:after="0" w:line="183"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18"/>
          <w:szCs w:val="18"/>
          <w:color w:val="auto"/>
        </w:rPr>
        <w:t>Immediately prior to the acquisition of Common Shares giving rise to the issuance of this press release, Riot beneficially owned 84,293,054 Common Shares, representing approximately 18.68% of the issued and outstanding Common Shares (based on the information contained in the Company’s Q2 MD&amp;A). Following completion of the aforementioned acquisition, Riot beneficially owned 85,293,054 Common Shares, representing approximately 18.90% of the issued and outstanding Common Shares as at the date hereof (based on the information contained in the Company’s Q2 MD&amp;A).</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On June 24, 2024, Riot announced that it has requisitioned a special meeting of shareholders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at which Riot will seek to remove certain directors from the Company’s Board of Directors (the “</w:t>
      </w:r>
      <w:r>
        <w:rPr>
          <w:rFonts w:ascii="Times New Roman" w:cs="Times New Roman" w:eastAsia="Times New Roman" w:hAnsi="Times New Roman"/>
          <w:sz w:val="18"/>
          <w:szCs w:val="18"/>
          <w:b w:val="1"/>
          <w:bCs w:val="1"/>
          <w:color w:val="auto"/>
        </w:rPr>
        <w:t>Bitfarms Board</w:t>
      </w:r>
      <w:r>
        <w:rPr>
          <w:rFonts w:ascii="Times New Roman" w:cs="Times New Roman" w:eastAsia="Times New Roman" w:hAnsi="Times New Roman"/>
          <w:sz w:val="18"/>
          <w:szCs w:val="18"/>
          <w:color w:val="auto"/>
        </w:rPr>
        <w:t>”) and replace them with independent director candidates.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Riot intends to review its investment in the Company on a continuing basis and depending upon various factors, including without limitation, any discussion between Riot, the Company and/or the Bitfarms Board and its advisors regarding, among other things, the requisitioned Special Meeting and/or the composition of the Bitfarms Board, the Company’s financial position and strategic direction, overall market conditions, other investment opportunities available to Riot, and the availability of securities of the Company at prices that would make the purchase or sale of such securities desirable, Riot may</w:t>
      </w:r>
    </w:p>
    <w:p>
      <w:pPr>
        <w:spacing w:after="0" w:line="3" w:lineRule="exact"/>
        <w:rPr>
          <w:sz w:val="20"/>
          <w:szCs w:val="20"/>
          <w:color w:val="auto"/>
        </w:rPr>
      </w:pPr>
    </w:p>
    <w:p>
      <w:pPr>
        <w:jc w:val="both"/>
        <w:ind w:firstLine="8"/>
        <w:spacing w:after="0" w:line="252" w:lineRule="auto"/>
        <w:tabs>
          <w:tab w:leader="none" w:pos="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its position in the Company through, among other things, the purchase or sale of securities of the Company, including through transactions involving the Common Shares and/or other equity, debt, notes, other securities, or derivative or other instruments that are based upon or relate to the value of securities of the Company in the open market or otherwise, (ii) enter into transactions that increase or hedge its economic exposure to the Common Shares without affecting its beneficial ownership of the Common Shares or (iii) consider or propose one or more of the actions described in subparagraphs (a) - (k) of Item 5 of Riot’s early warning report filed in accordance with applicable Canadian securities laws, including submitting a revised proposal to acquire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is not meant to be, nor should it be construed as, an offer (or an intention to make an offer) to buy or the solicitation of an offer to sell any of the Company’s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Riot will file the Early Warning Report in accordance with applicable securities laws, which will be available under the Company’s profile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The head office of the Company is 110 Yonge Street, Suite 1601 Toronto, Ontario M5C 1T4. The address of Riot is 3855 Ambrosia Street, Suite 301, Castle Rock, CO 80109.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and to obtain a copy of the Early Warning Report, please see the Company’s profile on the SEDAR+ website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or contact Phil McPherson, Vice President, Capital Markets &amp; Investor Relations, at (303) 794-2000 ext. 110.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the Company to achieve best-in-class execution and create successful outcomes.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Riot, a Nevada corporation, is a Bitcoin mining and digital infrastructure company focused on a vertically integrated strategy. Riot has Bitcoin mining operations in central Texas and electrical switchgear engineering and fabrication operations in Denver,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the Company will enter into discussions with Riot regarding a proposed combination of Riot and the Company; the outcome of any such discussions, including the terms and conditions of any such potential combination; the future performance, liquidity and financial position of the combined company, and its ability to achieve expected synergies; and uncertainties as to timing of the Special Meeting or the outcome.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press release, may be found in Riot’s filings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www.sec.gov.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to Purchase or Sell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press release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IR@Riot.Inc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Goldfarb / Chuck Garske, (877) 285-5990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info@okapipartners.com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jgermani@longacresquare.com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dzacchei@longacresquare.com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2024-08-14T06:07:37Z</dcterms:created>
  <dcterms:modified xsi:type="dcterms:W3CDTF">2024-08-14T06:07:37Z</dcterms:modified>
</cp:coreProperties>
</file>