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September 19,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100" w:type="dxa"/>
            <w:vAlign w:val="bottom"/>
          </w:tcPr>
          <w:p>
            <w:pPr>
              <w:spacing w:after="0"/>
              <w:rPr>
                <w:sz w:val="20"/>
                <w:szCs w:val="20"/>
                <w:color w:val="auto"/>
              </w:rPr>
            </w:pPr>
          </w:p>
        </w:tc>
      </w:tr>
      <w:tr>
        <w:trPr>
          <w:trHeight w:val="44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9"/>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September 19, 2022</w:t>
            </w:r>
          </w:p>
        </w:tc>
      </w:tr>
      <w:tr>
        <w:trPr>
          <w:trHeight w:val="547"/>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60" w:type="dxa"/>
            <w:vAlign w:val="bottom"/>
            <w:tcBorders>
              <w:top w:val="single" w:sz="8" w:color="0000EE"/>
              <w:bottom w:val="single" w:sz="8" w:color="auto"/>
            </w:tcBorders>
          </w:tcPr>
          <w:p>
            <w:pPr>
              <w:spacing w:after="0"/>
              <w:rPr>
                <w:sz w:val="24"/>
                <w:szCs w:val="24"/>
                <w:color w:val="auto"/>
              </w:rPr>
            </w:pPr>
          </w:p>
        </w:tc>
        <w:tc>
          <w:tcPr>
            <w:tcW w:w="6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1012"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2022.</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19,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111760</wp:posOffset>
            </wp:positionV>
            <wp:extent cx="203136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Hashrate Exceeds 4 EH/s Milestone as It Commences Production at its First Warehouse in Argentina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Marks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mining facility and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country in production with Argentinian warehouse -</w:t>
      </w:r>
    </w:p>
    <w:p>
      <w:pPr>
        <w:jc w:val="center"/>
        <w:spacing w:after="0"/>
        <w:rPr>
          <w:sz w:val="20"/>
          <w:szCs w:val="20"/>
          <w:color w:val="auto"/>
        </w:rPr>
      </w:pPr>
      <w:r>
        <w:rPr>
          <w:rFonts w:ascii="Times New Roman" w:cs="Times New Roman" w:eastAsia="Times New Roman" w:hAnsi="Times New Roman"/>
          <w:sz w:val="18"/>
          <w:szCs w:val="18"/>
          <w:color w:val="auto"/>
        </w:rPr>
        <w:t>- Exceeds 4 EH/s milestone -</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19,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NASDAQ/TSX: BITF</w:t>
      </w:r>
      <w:r>
        <w:rPr>
          <w:rFonts w:ascii="Times New Roman" w:cs="Times New Roman" w:eastAsia="Times New Roman" w:hAnsi="Times New Roman"/>
          <w:sz w:val="18"/>
          <w:szCs w:val="18"/>
          <w:color w:val="auto"/>
        </w:rPr>
        <w:t>), a global Bitcoin self-mining company, hashrate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exceeded the 4 exahash per second (EH/s) milestone as it commenced production at the first of two 50-megawatt (MW) warehouses under development in Argentina. The initial start-up adds 10 MW of capacity, increasing total corporate capacity to 176 MW. Throughout the remainder of Q3 2022 and during Q4 2022, the Company plans to light up additional 10 MW increments with a goal of the entire 50 MW being energized by December 31, 2022.</w:t>
      </w:r>
    </w:p>
    <w:p>
      <w:pPr>
        <w:spacing w:after="0" w:line="1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proud to start production ahead of plan at our first 50 MW warehouse in Rio Cuarto, marking our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mining facility and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country now in production,” said Geoff Morphy, President and COO of Bitfarms. “Additionally, adjacent to the first facility, we commenced construction at our second 50 MW warehouse, which we continue to expect to complete around the beginning of Q2 2023. With attractive electricity pricing established last year under an 8-year private party power contract, both facilities are expected to lower overall energy costs for our portfolio, despite rising commodity costs in the energy market. The initial production in our new farm in Rio Cuarto combined with refinements at some of our Quebec and Washington farms also pushed actual production past 4.1 EH/s.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“Executing our diversified global growth strategy to increase portfolio stability and reduce geographic and climactic risks, Argentina marks our fourth country in production. We have built a strong team in LATAM and look forward to further leveraging our presence and opportunities in the region,” concluded Morphy.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Bitfarms contracted with a private power company in Argentina to supply up to 210 MW to Bitfarms for warehouses being developed beside and on the same property as the generating facilities. For the first four-years, electrical costs are calculated based on a formula in which the cost of power is based on a combination of market-based pricing and at a base rate of US 2.2 cents per kilowatt. Following an initial start-up period and based on current foreign currency exchange rates and natural gas prices in Argentina, the cost of the power in Rio Cuarto is expected to be the lowest in Bitfarms portfolio, creating a significant advantage. Currently, Bitfarms operations in Argentina employs 28 team members, which is expected to increase as production is added.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expectations for growth, power costs,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ectPr>
          <w:pgSz w:w="11900" w:h="16838" w:orient="portrait"/>
          <w:cols w:equalWidth="0" w:num="1">
            <w:col w:w="11240"/>
          </w:cols>
          <w:pgMar w:left="320" w:top="968" w:right="339" w:bottom="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2022-09-19T15:03:43Z</dcterms:created>
  <dcterms:modified xsi:type="dcterms:W3CDTF">2022-09-19T15:03:43Z</dcterms:modified>
</cp:coreProperties>
</file>