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29, 2024,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4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9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7360" w:type="dxa"/>
            <w:vAlign w:val="bottom"/>
            <w:tcBorders>
              <w:top w:val="single" w:sz="8" w:color="auto"/>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January 29, 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0000EE"/>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17145</wp:posOffset>
            </wp:positionV>
            <wp:extent cx="2674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2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020"/>
        <w:spacing w:after="0"/>
        <w:tabs>
          <w:tab w:leader="none" w:pos="75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19685</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to Ring Nasdaq Closing Bell on January 30</w:t>
      </w:r>
      <w:r>
        <w:rPr>
          <w:rFonts w:ascii="Times New Roman" w:cs="Times New Roman" w:eastAsia="Times New Roman" w:hAnsi="Times New Roman"/>
          <w:sz w:val="41"/>
          <w:szCs w:val="41"/>
          <w:b w:val="1"/>
          <w:bCs w:val="1"/>
          <w:color w:val="auto"/>
          <w:vertAlign w:val="superscript"/>
        </w:rPr>
        <w:t>th</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29, 2024) </w:t>
      </w:r>
      <w:r>
        <w:rPr>
          <w:rFonts w:ascii="Times New Roman" w:cs="Times New Roman" w:eastAsia="Times New Roman" w:hAnsi="Times New Roman"/>
          <w:sz w:val="18"/>
          <w:szCs w:val="18"/>
          <w:color w:val="auto"/>
        </w:rPr>
        <w:t>- Bitfarms Ltd. (NASDAQ: BITF // TSX: BITF),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Bitfarms’ management and directors, led by President &amp; CEO Geoff Morphy and co-founders Nicolas Bonta and Emiliano Grodzki, will ring the closing bell at Nasdaq MarketSite in New York’s Time Square on Tuesday, January 30th, 2024 at 4:00 pm 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honored to celebrate our listing on Nasdaq, which commenced in June 2021,” said Geoff Morphy. “Achieving a dual-listing status has provided us access to a broader set of institutional investors and enabled us to increase trading liquidity. Ringing the closing bell highlights our 2023 ranking as the 8th top performing stock on Nasdaq, our transformational growth strategy, and our strong trajectory as Bitcoin and the mining industry gain industry adoption around the globe.”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event will be webcast live on January 30th from 3:45 pm ET to 4:00 pm ET and can be viewed with the following links to Nasdaq and the Company website: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https://www.nasdaq.com/marketsite/bell-ringing-ceremony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https://investor.bitfarms.com/news-events/ir-calendar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11 farms in production, one in expansion, one under construction, and one in development, in four countries: Canada, the United States, Paraguay, and Argentina. Powered by predominantly environmentally friendly hydro-electric and long- term power contracts, Bitfarms is committed to using sustainable, locally based, and often underutilized energy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To learn more about Bitfarms’ events, developments, and online communities: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 Khushboo Chaudhary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 Louis-Martin Leclerc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2024-01-29T15:23:58Z</dcterms:created>
  <dcterms:modified xsi:type="dcterms:W3CDTF">2024-01-29T15:23:58Z</dcterms:modified>
</cp:coreProperties>
</file>