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January 14, 2026,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w:t>
        </w:r>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auto"/>
          </w:rPr>
          <w:t xml:space="preserve"> (File No. 333-272989)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January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Bitfarms Ltd. (“Bitfarms” or the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2026</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January 14, 2026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Reliance of subsection 7.1(2) of National Instrument 51-102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 Gagnon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(647) 259-1790</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Bitfarms Announces Board Chair Transition in Anticipation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Redomiciliation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-Edie Hofmeister to Succeed Brian Howlett as Chair; Howlett to Remain 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New York (January 14, 2026) </w:t>
      </w:r>
      <w:r>
        <w:rPr>
          <w:rFonts w:ascii="Times New Roman" w:cs="Times New Roman" w:eastAsia="Times New Roman" w:hAnsi="Times New Roman"/>
          <w:sz w:val="18"/>
          <w:szCs w:val="18"/>
          <w:color w:val="auto"/>
        </w:rPr>
        <w:t>- Bitfarms Ltd. (NASDAQ/TSX: BITF) (“Bitfarms” or the “Company”), a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 energy and digital infrastructure company, today announced that Edie Hofmeister has been appointed as Chair of the Board of Bitfarms. This appointment supports Bitfarms’ previously announced strategy of redomiciling to the United States. Ms. Hofmeister succeeds Brian Howlett who has served as Director since 2020, and Chairman since 2024. Mr. Howlett will continue to serve as an Independent Director.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Hofmeister brings over two decades of extensive expertise in legal affairs, corporate governance, and business strategy, developed over years in senior leadership roles. As an American business leader, she has successfully guided multinational companies through public and private offerings, NYSE and NASDAQ listings, intricate debt financings, joint ventures, complex litigation and multi-billion-dollar acquisitions. Drawing on her deep understanding of U.S. corporate and securities law, she has played a pivotal role in shaping governance practices aligned with American standards. From 2010-2019 she served as EVP Corporate Affairs and General Counsel for Tahoe Resources where, as its first employee, she helped build the company from a start-up to a mid-cap precious metals producer with operations throughout the Americas. In this role, she helped lead capital raises and large infrastructure development projects. Ms. Hofmeister joined Bitfarms’ Board of Directors in November 2022 and has since served as Chair of the Governance and Nominating Committee, and the Environmental and Social Responsibility Committee.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 am honored to assume the role of Chair of the Board at such a defining moment for Bitfarms,” said incoming Chair, Edie Hofmeister. “My experience building large-scale infrastructure and leading risk and governance functions has taught me the importance of strong foundations during periods of change. Redomiciling to the United States is expected to increase our access to U.S. capital pools, broaden our U.S. investor base, and improve our eligibility for inclusion in certain stock indices. As the Company advances its U.S. redomiciliation, my focus will be on maintaining strong governance foundations while supporting execution of Bitfarms’ HPC/AI growth strategy. I look forward to working closely with Brian, Ben and the Board as we navigate this transition.”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CEO Ben Gagnon added, “We thank Brian for his leadership as Chairman. He has been instrumental in shaping our direction and driving meaningful progress at Bitfarms. We will continue to draw on his experience and perspective as an Independent Director. This transition reflects our commitment to strong governance and strategic growth as we prepare for U.S. redomiciliation. Edie’s experience as an executive and seasoned public board director makes her uniquely qualified to lead the Board during this pivotal chapter.”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2.1 GW North American energy portfolio, comprised of energized, under development, and pipeline MW, is clustered in data center hotspots with robust access to power and fiber infrastructure.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Company’s intention to redomicile to the United States, the appointment of a new Chair of the Board with skills and experience to support the Company’s U.S. redomiciliation strategy, the benefits of redomiciling the Company to the United States and other statements regarding future growth, plans and objectives of the Company are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anticipated benefits of redomiciling the Company to the United States may not be realized or may not meet the expectations of the Company, may not occur at all, and may have unanticipated costs for the Company; the anticipated benefits of the rebalancing of operations to North America and the North American energy and compute infrastructure strategy may not be realized or the realization of such benefits may be delayed;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Tara Goldstein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tgoldstein@bitfarms.com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9"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2026-01-14T07:55:46Z</dcterms:created>
  <dcterms:modified xsi:type="dcterms:W3CDTF">2026-01-14T07:55:46Z</dcterms:modified>
</cp:coreProperties>
</file>